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AC9" w:rsidRDefault="009E5AC9" w:rsidP="009E5AC9">
      <w:pPr>
        <w:spacing w:before="0"/>
        <w:jc w:val="center"/>
        <w:rPr>
          <w:b/>
          <w:sz w:val="52"/>
          <w:szCs w:val="52"/>
        </w:rPr>
      </w:pPr>
      <w:bookmarkStart w:id="0" w:name="_Ref309573347"/>
      <w:r>
        <w:rPr>
          <w:b/>
          <w:noProof/>
          <w:sz w:val="48"/>
          <w:szCs w:val="48"/>
          <w:lang w:val="en-GB" w:eastAsia="en-GB"/>
        </w:rPr>
        <w:drawing>
          <wp:inline distT="0" distB="0" distL="0" distR="0" wp14:anchorId="39C2A2EB" wp14:editId="7AF0E0CB">
            <wp:extent cx="2532156" cy="1009935"/>
            <wp:effectExtent l="19050" t="0" r="1494" b="0"/>
            <wp:docPr id="241" name="Picture 86" descr="D:\Research\Graphs\univers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Research\Graphs\university logo.jpg"/>
                    <pic:cNvPicPr>
                      <a:picLocks noChangeAspect="1" noChangeArrowheads="1"/>
                    </pic:cNvPicPr>
                  </pic:nvPicPr>
                  <pic:blipFill>
                    <a:blip r:embed="rId9" cstate="print"/>
                    <a:srcRect/>
                    <a:stretch>
                      <a:fillRect/>
                    </a:stretch>
                  </pic:blipFill>
                  <pic:spPr bwMode="auto">
                    <a:xfrm>
                      <a:off x="0" y="0"/>
                      <a:ext cx="2548418" cy="1016421"/>
                    </a:xfrm>
                    <a:prstGeom prst="rect">
                      <a:avLst/>
                    </a:prstGeom>
                    <a:noFill/>
                    <a:ln w="9525">
                      <a:noFill/>
                      <a:miter lim="800000"/>
                      <a:headEnd/>
                      <a:tailEnd/>
                    </a:ln>
                  </pic:spPr>
                </pic:pic>
              </a:graphicData>
            </a:graphic>
          </wp:inline>
        </w:drawing>
      </w:r>
    </w:p>
    <w:p w:rsidR="009E5AC9" w:rsidRDefault="009E5AC9" w:rsidP="009E5AC9">
      <w:pPr>
        <w:spacing w:before="0"/>
        <w:jc w:val="center"/>
        <w:rPr>
          <w:b/>
          <w:sz w:val="52"/>
          <w:szCs w:val="52"/>
        </w:rPr>
      </w:pPr>
    </w:p>
    <w:p w:rsidR="009E5AC9" w:rsidRPr="009E5AC9" w:rsidRDefault="009E5AC9" w:rsidP="009E5AC9">
      <w:pPr>
        <w:spacing w:before="0"/>
        <w:jc w:val="center"/>
        <w:rPr>
          <w:b/>
          <w:sz w:val="44"/>
          <w:szCs w:val="44"/>
        </w:rPr>
      </w:pPr>
      <w:r w:rsidRPr="009E5AC9">
        <w:rPr>
          <w:b/>
          <w:sz w:val="44"/>
          <w:szCs w:val="44"/>
        </w:rPr>
        <w:t xml:space="preserve">Growth and Development in the Genus </w:t>
      </w:r>
      <w:r w:rsidRPr="009E5AC9">
        <w:rPr>
          <w:b/>
          <w:i/>
          <w:sz w:val="44"/>
          <w:szCs w:val="44"/>
        </w:rPr>
        <w:t>Pan</w:t>
      </w:r>
      <w:r w:rsidR="00E114A6">
        <w:rPr>
          <w:b/>
          <w:sz w:val="44"/>
          <w:szCs w:val="44"/>
        </w:rPr>
        <w:t>:</w:t>
      </w:r>
      <w:r w:rsidRPr="009E5AC9">
        <w:rPr>
          <w:b/>
          <w:sz w:val="44"/>
          <w:szCs w:val="44"/>
        </w:rPr>
        <w:t xml:space="preserve"> </w:t>
      </w:r>
      <w:r>
        <w:rPr>
          <w:b/>
          <w:sz w:val="44"/>
          <w:szCs w:val="44"/>
        </w:rPr>
        <w:t>a</w:t>
      </w:r>
      <w:r w:rsidRPr="009E5AC9">
        <w:rPr>
          <w:b/>
          <w:sz w:val="44"/>
          <w:szCs w:val="44"/>
        </w:rPr>
        <w:t xml:space="preserve"> </w:t>
      </w:r>
      <w:r>
        <w:rPr>
          <w:b/>
          <w:sz w:val="44"/>
          <w:szCs w:val="44"/>
        </w:rPr>
        <w:t>Life-History A</w:t>
      </w:r>
      <w:r w:rsidRPr="009E5AC9">
        <w:rPr>
          <w:b/>
          <w:sz w:val="44"/>
          <w:szCs w:val="44"/>
        </w:rPr>
        <w:t>pproach</w:t>
      </w:r>
    </w:p>
    <w:p w:rsidR="009E5AC9" w:rsidRPr="001143B8" w:rsidRDefault="009E5AC9" w:rsidP="009E5AC9">
      <w:pPr>
        <w:spacing w:before="0"/>
        <w:jc w:val="center"/>
        <w:rPr>
          <w:b/>
          <w:sz w:val="48"/>
          <w:szCs w:val="48"/>
        </w:rPr>
      </w:pPr>
    </w:p>
    <w:p w:rsidR="009E5AC9" w:rsidRDefault="009E5AC9" w:rsidP="009E5AC9">
      <w:pPr>
        <w:jc w:val="center"/>
      </w:pPr>
    </w:p>
    <w:p w:rsidR="009E5AC9" w:rsidRPr="004D0F6B" w:rsidRDefault="009E5AC9" w:rsidP="009E5AC9">
      <w:pPr>
        <w:jc w:val="center"/>
        <w:rPr>
          <w:sz w:val="52"/>
          <w:szCs w:val="52"/>
        </w:rPr>
      </w:pPr>
    </w:p>
    <w:p w:rsidR="009E5AC9" w:rsidRPr="00A35CA0" w:rsidRDefault="009E5AC9" w:rsidP="009E5AC9">
      <w:pPr>
        <w:jc w:val="center"/>
        <w:rPr>
          <w:b/>
          <w:sz w:val="36"/>
          <w:szCs w:val="36"/>
        </w:rPr>
      </w:pPr>
      <w:r w:rsidRPr="00A35CA0">
        <w:rPr>
          <w:rFonts w:hint="eastAsia"/>
          <w:b/>
          <w:sz w:val="36"/>
          <w:szCs w:val="36"/>
        </w:rPr>
        <w:t xml:space="preserve">Thesis </w:t>
      </w:r>
      <w:r w:rsidRPr="00A35CA0">
        <w:rPr>
          <w:b/>
          <w:sz w:val="36"/>
          <w:szCs w:val="36"/>
        </w:rPr>
        <w:t xml:space="preserve">Submitted for the </w:t>
      </w:r>
      <w:r w:rsidRPr="00A35CA0">
        <w:rPr>
          <w:rFonts w:hint="eastAsia"/>
          <w:b/>
          <w:sz w:val="36"/>
          <w:szCs w:val="36"/>
        </w:rPr>
        <w:t>D</w:t>
      </w:r>
      <w:r w:rsidRPr="00A35CA0">
        <w:rPr>
          <w:b/>
          <w:sz w:val="36"/>
          <w:szCs w:val="36"/>
        </w:rPr>
        <w:t xml:space="preserve">egree of </w:t>
      </w:r>
    </w:p>
    <w:p w:rsidR="009E5AC9" w:rsidRPr="00A35CA0" w:rsidRDefault="009E5AC9" w:rsidP="009E5AC9">
      <w:pPr>
        <w:jc w:val="center"/>
        <w:rPr>
          <w:b/>
          <w:sz w:val="36"/>
          <w:szCs w:val="36"/>
        </w:rPr>
      </w:pPr>
      <w:r w:rsidRPr="00A35CA0">
        <w:rPr>
          <w:b/>
          <w:sz w:val="36"/>
          <w:szCs w:val="36"/>
        </w:rPr>
        <w:t>Doctor of Philosophy</w:t>
      </w:r>
    </w:p>
    <w:p w:rsidR="009E5AC9" w:rsidRPr="001143B8" w:rsidRDefault="009E5AC9" w:rsidP="009E5AC9">
      <w:pPr>
        <w:jc w:val="center"/>
        <w:rPr>
          <w:b/>
          <w:sz w:val="28"/>
          <w:szCs w:val="28"/>
        </w:rPr>
      </w:pPr>
    </w:p>
    <w:p w:rsidR="009E5AC9" w:rsidRPr="001143B8" w:rsidRDefault="009E5AC9" w:rsidP="009E5AC9">
      <w:pPr>
        <w:jc w:val="center"/>
        <w:rPr>
          <w:b/>
          <w:sz w:val="28"/>
          <w:szCs w:val="28"/>
        </w:rPr>
      </w:pPr>
    </w:p>
    <w:p w:rsidR="009E5AC9" w:rsidRPr="001143B8" w:rsidRDefault="009E5AC9" w:rsidP="009E5AC9">
      <w:pPr>
        <w:jc w:val="center"/>
        <w:rPr>
          <w:b/>
          <w:sz w:val="44"/>
          <w:szCs w:val="44"/>
        </w:rPr>
      </w:pPr>
      <w:r>
        <w:rPr>
          <w:b/>
          <w:sz w:val="44"/>
          <w:szCs w:val="44"/>
        </w:rPr>
        <w:t>Conrad Brimacombe</w:t>
      </w:r>
      <w:r w:rsidR="00090C49">
        <w:rPr>
          <w:b/>
          <w:sz w:val="44"/>
          <w:szCs w:val="44"/>
        </w:rPr>
        <w:t xml:space="preserve">  </w:t>
      </w:r>
      <w:r w:rsidRPr="001143B8">
        <w:rPr>
          <w:b/>
          <w:sz w:val="44"/>
          <w:szCs w:val="44"/>
        </w:rPr>
        <w:t xml:space="preserve"> BSc MSc </w:t>
      </w:r>
    </w:p>
    <w:p w:rsidR="009E5AC9" w:rsidRPr="001143B8" w:rsidRDefault="009E5AC9" w:rsidP="009E5AC9">
      <w:pPr>
        <w:jc w:val="center"/>
        <w:rPr>
          <w:b/>
          <w:sz w:val="32"/>
          <w:szCs w:val="32"/>
        </w:rPr>
      </w:pPr>
      <w:r w:rsidRPr="001143B8">
        <w:rPr>
          <w:b/>
          <w:sz w:val="32"/>
          <w:szCs w:val="32"/>
        </w:rPr>
        <w:t xml:space="preserve">Department of </w:t>
      </w:r>
      <w:r>
        <w:rPr>
          <w:b/>
          <w:sz w:val="32"/>
          <w:szCs w:val="32"/>
        </w:rPr>
        <w:t>Archaeology</w:t>
      </w:r>
    </w:p>
    <w:p w:rsidR="009E5AC9" w:rsidRPr="001143B8" w:rsidRDefault="009E5AC9" w:rsidP="009E5AC9">
      <w:pPr>
        <w:jc w:val="center"/>
        <w:rPr>
          <w:b/>
          <w:sz w:val="32"/>
          <w:szCs w:val="32"/>
        </w:rPr>
      </w:pPr>
      <w:r w:rsidRPr="001143B8">
        <w:rPr>
          <w:b/>
          <w:sz w:val="32"/>
          <w:szCs w:val="32"/>
        </w:rPr>
        <w:t xml:space="preserve">The University </w:t>
      </w:r>
      <w:r w:rsidRPr="001143B8">
        <w:rPr>
          <w:rFonts w:hint="eastAsia"/>
          <w:b/>
          <w:sz w:val="32"/>
          <w:szCs w:val="32"/>
        </w:rPr>
        <w:t>O</w:t>
      </w:r>
      <w:r w:rsidRPr="001143B8">
        <w:rPr>
          <w:b/>
          <w:sz w:val="32"/>
          <w:szCs w:val="32"/>
        </w:rPr>
        <w:t>f Sheffield</w:t>
      </w:r>
    </w:p>
    <w:p w:rsidR="009E5AC9" w:rsidRPr="001143B8" w:rsidRDefault="009E5AC9" w:rsidP="009E5AC9">
      <w:pPr>
        <w:jc w:val="center"/>
        <w:rPr>
          <w:b/>
          <w:sz w:val="32"/>
          <w:szCs w:val="32"/>
        </w:rPr>
      </w:pPr>
      <w:r>
        <w:rPr>
          <w:b/>
          <w:sz w:val="32"/>
          <w:szCs w:val="32"/>
        </w:rPr>
        <w:t>November</w:t>
      </w:r>
      <w:r w:rsidRPr="001143B8">
        <w:rPr>
          <w:b/>
          <w:sz w:val="32"/>
          <w:szCs w:val="32"/>
        </w:rPr>
        <w:t xml:space="preserve"> 201</w:t>
      </w:r>
      <w:r>
        <w:rPr>
          <w:b/>
          <w:sz w:val="32"/>
          <w:szCs w:val="32"/>
        </w:rPr>
        <w:t>3</w:t>
      </w:r>
    </w:p>
    <w:p w:rsidR="009E5AC9" w:rsidRDefault="009E5AC9" w:rsidP="009E5AC9">
      <w:pPr>
        <w:jc w:val="center"/>
        <w:rPr>
          <w:sz w:val="32"/>
          <w:szCs w:val="32"/>
        </w:rPr>
      </w:pPr>
    </w:p>
    <w:p w:rsidR="009E5AC9" w:rsidRDefault="009E5AC9" w:rsidP="009E5AC9">
      <w:pPr>
        <w:jc w:val="center"/>
        <w:rPr>
          <w:sz w:val="32"/>
          <w:szCs w:val="32"/>
        </w:rPr>
        <w:sectPr w:rsidR="009E5AC9" w:rsidSect="00281A87">
          <w:footerReference w:type="default" r:id="rId10"/>
          <w:pgSz w:w="11906" w:h="16838"/>
          <w:pgMar w:top="1134" w:right="1134" w:bottom="1021" w:left="2268" w:header="708" w:footer="708" w:gutter="0"/>
          <w:pgNumType w:fmt="lowerRoman" w:start="1"/>
          <w:cols w:space="708"/>
          <w:docGrid w:linePitch="360"/>
        </w:sectPr>
      </w:pPr>
    </w:p>
    <w:bookmarkEnd w:id="0"/>
    <w:p w:rsidR="00BE69BD" w:rsidRDefault="00BE69BD" w:rsidP="00BB0D78">
      <w:pPr>
        <w:jc w:val="center"/>
        <w:rPr>
          <w:b/>
          <w:sz w:val="28"/>
          <w:szCs w:val="28"/>
        </w:rPr>
      </w:pPr>
      <w:r>
        <w:rPr>
          <w:b/>
          <w:sz w:val="28"/>
          <w:szCs w:val="28"/>
        </w:rPr>
        <w:lastRenderedPageBreak/>
        <w:t>Acknowledgements</w:t>
      </w:r>
    </w:p>
    <w:p w:rsidR="00BE69BD" w:rsidRDefault="00BE69BD" w:rsidP="00BE69BD">
      <w:r>
        <w:t xml:space="preserve">I would like to express my gratitude to my supervisors, Dr. Pia Nystrom and Dr. Kevin Kuykendall for their support and encouragement throughout this entire process.  I </w:t>
      </w:r>
      <w:r w:rsidR="004D7E23">
        <w:t xml:space="preserve">am </w:t>
      </w:r>
      <w:r>
        <w:t xml:space="preserve">also indebted to the Charles B. Lockwood Memorial </w:t>
      </w:r>
      <w:r w:rsidR="004D7E23">
        <w:t>G</w:t>
      </w:r>
      <w:r>
        <w:t xml:space="preserve">rant from </w:t>
      </w:r>
      <w:r w:rsidR="00134827">
        <w:t xml:space="preserve">the </w:t>
      </w:r>
      <w:r>
        <w:t>Primate Society of Great Britain</w:t>
      </w:r>
      <w:r w:rsidR="004D7E23">
        <w:t>.  T</w:t>
      </w:r>
      <w:r>
        <w:t xml:space="preserve">he receipt of this funding provided much-needed financial assistance for the data collection process.  </w:t>
      </w:r>
      <w:r w:rsidR="00134827">
        <w:t>I am also incredibly grateful for the assistance provided by all individuals by the University of Zurich, the Powell-Cotton Museum and the Museum of Central Africa.</w:t>
      </w:r>
      <w:r w:rsidR="00894025">
        <w:t xml:space="preserve">  </w:t>
      </w:r>
      <w:r w:rsidR="00134827">
        <w:t>Without their efforts this project would never have possible.  I greatly appreciate t</w:t>
      </w:r>
      <w:r>
        <w:t xml:space="preserve">he help and support of colleagues, </w:t>
      </w:r>
      <w:r w:rsidR="004F53EE">
        <w:t>notably</w:t>
      </w:r>
      <w:r>
        <w:t xml:space="preserve"> Isabelle Heyerdahl King, who so kindly spent hours looking at my X-rays of teeth</w:t>
      </w:r>
      <w:r w:rsidR="004F53EE">
        <w:t xml:space="preserve"> for error analysis.  My parents have also been a significant source of support as well as my girlfriend, </w:t>
      </w:r>
      <w:r w:rsidR="001D4EC1">
        <w:t xml:space="preserve">Dr. </w:t>
      </w:r>
      <w:r w:rsidR="004F53EE">
        <w:t xml:space="preserve">Yi Jin, whose encouragement and help in the final months of this project could not have been more </w:t>
      </w:r>
      <w:r w:rsidR="004D7E23">
        <w:t>inspiring</w:t>
      </w:r>
      <w:r w:rsidR="004F53EE">
        <w:t>.</w:t>
      </w:r>
    </w:p>
    <w:p w:rsidR="00BE69BD" w:rsidRDefault="00BE69BD" w:rsidP="00BB0D78">
      <w:pPr>
        <w:jc w:val="center"/>
        <w:rPr>
          <w:b/>
          <w:sz w:val="28"/>
          <w:szCs w:val="28"/>
        </w:rPr>
      </w:pPr>
    </w:p>
    <w:p w:rsidR="00BE69BD" w:rsidRDefault="00BE69BD">
      <w:pPr>
        <w:spacing w:before="0" w:after="200" w:line="276" w:lineRule="auto"/>
        <w:jc w:val="left"/>
        <w:rPr>
          <w:b/>
          <w:sz w:val="28"/>
          <w:szCs w:val="28"/>
        </w:rPr>
      </w:pPr>
      <w:r>
        <w:rPr>
          <w:b/>
          <w:sz w:val="28"/>
          <w:szCs w:val="28"/>
        </w:rPr>
        <w:br w:type="page"/>
      </w:r>
    </w:p>
    <w:p w:rsidR="00A35CA0" w:rsidRDefault="00A35CA0" w:rsidP="00BB0D78">
      <w:pPr>
        <w:jc w:val="center"/>
        <w:rPr>
          <w:b/>
          <w:sz w:val="28"/>
          <w:szCs w:val="28"/>
        </w:rPr>
        <w:sectPr w:rsidR="00A35CA0" w:rsidSect="0090621D">
          <w:pgSz w:w="12240" w:h="15840" w:code="1"/>
          <w:pgMar w:top="1418" w:right="1134" w:bottom="1418" w:left="1985" w:header="709" w:footer="709" w:gutter="0"/>
          <w:cols w:space="708"/>
          <w:docGrid w:linePitch="360"/>
        </w:sectPr>
      </w:pPr>
    </w:p>
    <w:p w:rsidR="00BB0D78" w:rsidRPr="00BB0D78" w:rsidRDefault="00BB0D78" w:rsidP="00BB0D78">
      <w:pPr>
        <w:jc w:val="center"/>
        <w:rPr>
          <w:b/>
          <w:sz w:val="28"/>
          <w:szCs w:val="28"/>
        </w:rPr>
      </w:pPr>
      <w:r w:rsidRPr="00BB0D78">
        <w:rPr>
          <w:b/>
          <w:sz w:val="28"/>
          <w:szCs w:val="28"/>
        </w:rPr>
        <w:lastRenderedPageBreak/>
        <w:t>Abstract</w:t>
      </w:r>
    </w:p>
    <w:p w:rsidR="007539D3" w:rsidRPr="001D5485" w:rsidRDefault="005E288E" w:rsidP="001D5485">
      <w:r>
        <w:t xml:space="preserve">Comparative analysis between extant apes and modern humans has for decades been used to </w:t>
      </w:r>
      <w:r w:rsidR="00CF0A8C">
        <w:t>inform</w:t>
      </w:r>
      <w:r>
        <w:t xml:space="preserve"> the understanding of how humans have evolved their present life-history pattern</w:t>
      </w:r>
      <w:r w:rsidR="006E1ABA">
        <w:t>s</w:t>
      </w:r>
      <w:r>
        <w:t xml:space="preserve">.  </w:t>
      </w:r>
      <w:r w:rsidR="00CF0A8C">
        <w:t xml:space="preserve">Such studies have specifically focused on skeletal life-history as </w:t>
      </w:r>
      <w:r w:rsidR="006E1ABA">
        <w:t>patterns of skeletal development may</w:t>
      </w:r>
      <w:r w:rsidR="00CF0A8C">
        <w:t xml:space="preserve"> be repres</w:t>
      </w:r>
      <w:r w:rsidR="006E1ABA">
        <w:t xml:space="preserve">ented in fossil human ancestors.  Theoretical approaches to analyzing life-history have invoked the principles of heterochrony where changes in growth rate and sequences of maturational events have been </w:t>
      </w:r>
      <w:r w:rsidR="00AD060A">
        <w:t xml:space="preserve">proposed to explain differences between </w:t>
      </w:r>
      <w:r w:rsidR="008D20E4">
        <w:rPr>
          <w:i/>
        </w:rPr>
        <w:t xml:space="preserve">Pan </w:t>
      </w:r>
      <w:r w:rsidR="008D20E4">
        <w:t xml:space="preserve">and </w:t>
      </w:r>
      <w:r w:rsidR="008D20E4">
        <w:rPr>
          <w:i/>
        </w:rPr>
        <w:t>Homo</w:t>
      </w:r>
      <w:r w:rsidR="006E1ABA">
        <w:t xml:space="preserve">.  </w:t>
      </w:r>
      <w:r w:rsidR="008D20E4">
        <w:t>Debate has arisen as to whether humans demonstrate neoteny (retention of sub-adult features into adult form), hypermorphosis (attainment of adult form prior to complete maturation)</w:t>
      </w:r>
      <w:r w:rsidR="007B6C0A">
        <w:t xml:space="preserve"> or</w:t>
      </w:r>
      <w:r w:rsidR="008D20E4">
        <w:t xml:space="preserve"> a mixture of both.  </w:t>
      </w:r>
      <w:r w:rsidR="001D5485">
        <w:t xml:space="preserve">This debate remains unresolved partly due to incomplete data </w:t>
      </w:r>
      <w:r w:rsidR="00516339">
        <w:t>for</w:t>
      </w:r>
      <w:r w:rsidR="001D5485">
        <w:t xml:space="preserve"> development in </w:t>
      </w:r>
      <w:r w:rsidR="001D5485">
        <w:rPr>
          <w:i/>
        </w:rPr>
        <w:t xml:space="preserve">Pan </w:t>
      </w:r>
      <w:r w:rsidR="001D5485">
        <w:t>and lack of integration of data for different skeletal sub-systems such as dental development and epiphyseal fusion.  Th</w:t>
      </w:r>
      <w:r w:rsidR="00983E1B">
        <w:t>e objective of this study is</w:t>
      </w:r>
      <w:r w:rsidR="001D5485">
        <w:t xml:space="preserve"> to improve upon the present state of knowledge by evaluating skeletal development in </w:t>
      </w:r>
      <w:r w:rsidR="00983E1B">
        <w:t xml:space="preserve">a sample of </w:t>
      </w:r>
      <w:r w:rsidR="001D5485">
        <w:rPr>
          <w:i/>
        </w:rPr>
        <w:t xml:space="preserve">Pan </w:t>
      </w:r>
      <w:proofErr w:type="gramStart"/>
      <w:r w:rsidR="001D5485">
        <w:rPr>
          <w:i/>
        </w:rPr>
        <w:t>troglodytes</w:t>
      </w:r>
      <w:proofErr w:type="gramEnd"/>
      <w:r w:rsidR="001D5485">
        <w:t xml:space="preserve"> and </w:t>
      </w:r>
      <w:r w:rsidR="001D5485">
        <w:rPr>
          <w:i/>
        </w:rPr>
        <w:t>Pan paniscus</w:t>
      </w:r>
      <w:r w:rsidR="001D5485">
        <w:t xml:space="preserve"> </w:t>
      </w:r>
      <w:r w:rsidR="000C38AB">
        <w:t>from osteological collections.</w:t>
      </w:r>
    </w:p>
    <w:p w:rsidR="009A0FB7" w:rsidRDefault="0022729E" w:rsidP="009842D8">
      <w:r>
        <w:t>The sample used in this study consist</w:t>
      </w:r>
      <w:r w:rsidR="00560298">
        <w:t>ed</w:t>
      </w:r>
      <w:r>
        <w:t xml:space="preserve"> of </w:t>
      </w:r>
      <w:r w:rsidR="001F7482">
        <w:t xml:space="preserve">177 </w:t>
      </w:r>
      <w:r w:rsidR="001F7482" w:rsidRPr="00D532A7">
        <w:rPr>
          <w:i/>
        </w:rPr>
        <w:t xml:space="preserve">Pan </w:t>
      </w:r>
      <w:proofErr w:type="gramStart"/>
      <w:r w:rsidR="001F7482" w:rsidRPr="00D532A7">
        <w:rPr>
          <w:i/>
        </w:rPr>
        <w:t>troglodytes</w:t>
      </w:r>
      <w:proofErr w:type="gramEnd"/>
      <w:r w:rsidRPr="0022729E">
        <w:t xml:space="preserve"> </w:t>
      </w:r>
      <w:r>
        <w:t xml:space="preserve">and 37 </w:t>
      </w:r>
      <w:r w:rsidRPr="00D532A7">
        <w:rPr>
          <w:i/>
        </w:rPr>
        <w:t>Pan paniscus</w:t>
      </w:r>
      <w:r>
        <w:t xml:space="preserve"> individuals sourced from the Powell-Cotton Museum</w:t>
      </w:r>
      <w:r w:rsidR="009A0FB7">
        <w:t xml:space="preserve"> (United Kingdom)</w:t>
      </w:r>
      <w:r>
        <w:t>, the Museum of Central Africa</w:t>
      </w:r>
      <w:r w:rsidR="009A0FB7">
        <w:t xml:space="preserve"> (Belgium)</w:t>
      </w:r>
      <w:r>
        <w:t xml:space="preserve">, and the </w:t>
      </w:r>
      <w:r w:rsidR="005A0690">
        <w:t xml:space="preserve">Adolph Schultz Collection at </w:t>
      </w:r>
      <w:r>
        <w:t>University of Zurich</w:t>
      </w:r>
      <w:r w:rsidR="009A0FB7">
        <w:t xml:space="preserve"> (Switzerland)</w:t>
      </w:r>
      <w:r>
        <w:t xml:space="preserve">.  The majority of individuals were wild-shot.  </w:t>
      </w:r>
      <w:r w:rsidR="005665C4">
        <w:t>E</w:t>
      </w:r>
      <w:r>
        <w:t xml:space="preserve">piphyseal fusion was assessed </w:t>
      </w:r>
      <w:r w:rsidR="00E77447">
        <w:t>using</w:t>
      </w:r>
      <w:r>
        <w:t xml:space="preserve"> a method based on</w:t>
      </w:r>
      <w:r w:rsidR="005665C4">
        <w:t xml:space="preserve"> </w:t>
      </w:r>
      <w:r>
        <w:t xml:space="preserve">McKern and Stewart.  Radiographs were taken </w:t>
      </w:r>
      <w:r w:rsidR="004F4887">
        <w:t>for</w:t>
      </w:r>
      <w:r>
        <w:t xml:space="preserve"> mandibular dentition.  Dentition was assessed by the Demirjian method for 8 teeth.  </w:t>
      </w:r>
      <w:r w:rsidR="00BD2CDA">
        <w:t>L</w:t>
      </w:r>
      <w:r>
        <w:t>ength wa</w:t>
      </w:r>
      <w:r w:rsidR="009842D8">
        <w:t>s measured for all long-bones.</w:t>
      </w:r>
    </w:p>
    <w:p w:rsidR="003F075A" w:rsidRDefault="0034550E" w:rsidP="00F067C2">
      <w:r>
        <w:t>Data</w:t>
      </w:r>
      <w:r w:rsidR="00B33093">
        <w:t xml:space="preserve"> w</w:t>
      </w:r>
      <w:r w:rsidR="0025178F">
        <w:t>ere</w:t>
      </w:r>
      <w:r w:rsidR="00B33093">
        <w:t xml:space="preserve"> </w:t>
      </w:r>
      <w:r w:rsidR="00497127">
        <w:t xml:space="preserve">analysed </w:t>
      </w:r>
      <w:r w:rsidR="001A0079">
        <w:t xml:space="preserve">for </w:t>
      </w:r>
      <w:r w:rsidR="00B33093">
        <w:t xml:space="preserve">three major parameters </w:t>
      </w:r>
      <w:r w:rsidR="004F1514">
        <w:t xml:space="preserve">of skeletal </w:t>
      </w:r>
      <w:r w:rsidR="00B33093">
        <w:t>growth</w:t>
      </w:r>
      <w:r w:rsidR="0025178F">
        <w:t>, these being</w:t>
      </w:r>
      <w:r w:rsidR="00B33093">
        <w:t xml:space="preserve"> growth rate, sequence of maturational </w:t>
      </w:r>
      <w:r w:rsidR="00497127">
        <w:t>events, and allometric change</w:t>
      </w:r>
      <w:r w:rsidR="0025178F">
        <w:t xml:space="preserve">.  </w:t>
      </w:r>
      <w:r w:rsidR="00637B8A">
        <w:t xml:space="preserve">Comparisons between chimpanzees and bonobos found these two species to be essentially the same in terms of </w:t>
      </w:r>
      <w:r w:rsidR="003C55F2">
        <w:t xml:space="preserve">measured </w:t>
      </w:r>
      <w:r w:rsidR="007327DA">
        <w:t>skeletal maturation</w:t>
      </w:r>
      <w:r w:rsidR="003C55F2">
        <w:t xml:space="preserve"> parameters</w:t>
      </w:r>
      <w:r w:rsidR="00637B8A">
        <w:t xml:space="preserve">.  </w:t>
      </w:r>
      <w:r w:rsidR="007327DA">
        <w:t>Analysis of</w:t>
      </w:r>
      <w:r w:rsidR="00637B8A">
        <w:t xml:space="preserve"> </w:t>
      </w:r>
      <w:r w:rsidR="00637B8A">
        <w:rPr>
          <w:i/>
        </w:rPr>
        <w:t xml:space="preserve">Pan </w:t>
      </w:r>
      <w:proofErr w:type="gramStart"/>
      <w:r w:rsidR="00637B8A">
        <w:rPr>
          <w:i/>
        </w:rPr>
        <w:t>paniscus</w:t>
      </w:r>
      <w:proofErr w:type="gramEnd"/>
      <w:r w:rsidR="00637B8A">
        <w:t xml:space="preserve"> </w:t>
      </w:r>
      <w:r w:rsidR="007327DA">
        <w:t xml:space="preserve">was more limited </w:t>
      </w:r>
      <w:r w:rsidR="00637B8A">
        <w:t xml:space="preserve">due to smaller sample size.  </w:t>
      </w:r>
      <w:r w:rsidR="007327DA">
        <w:t xml:space="preserve">Comparison between </w:t>
      </w:r>
      <w:r w:rsidR="007327DA">
        <w:rPr>
          <w:i/>
        </w:rPr>
        <w:t>Pan</w:t>
      </w:r>
      <w:r w:rsidR="007327DA">
        <w:t xml:space="preserve"> and </w:t>
      </w:r>
      <w:r w:rsidR="007327DA">
        <w:rPr>
          <w:i/>
        </w:rPr>
        <w:t>Homo</w:t>
      </w:r>
      <w:r w:rsidR="007327DA">
        <w:t xml:space="preserve"> focused primarily on comparison between chimp</w:t>
      </w:r>
      <w:r w:rsidR="00904FB5">
        <w:t xml:space="preserve">anzees and humans due to sample </w:t>
      </w:r>
      <w:r w:rsidR="007327DA">
        <w:t xml:space="preserve">size limitations for </w:t>
      </w:r>
      <w:r w:rsidR="007327DA">
        <w:rPr>
          <w:i/>
        </w:rPr>
        <w:t xml:space="preserve">Pan </w:t>
      </w:r>
      <w:proofErr w:type="gramStart"/>
      <w:r w:rsidR="007327DA" w:rsidRPr="007327DA">
        <w:rPr>
          <w:i/>
        </w:rPr>
        <w:t>paniscus</w:t>
      </w:r>
      <w:proofErr w:type="gramEnd"/>
      <w:r w:rsidR="007327DA">
        <w:t xml:space="preserve">.  </w:t>
      </w:r>
      <w:r w:rsidR="0025178F">
        <w:t xml:space="preserve">Comparisons of sequences found broad similarities between </w:t>
      </w:r>
      <w:r w:rsidR="00133068">
        <w:t>these two species in terms of epiphyseal fusion events</w:t>
      </w:r>
      <w:r w:rsidR="0025178F">
        <w:t xml:space="preserve">.  Comparisons of </w:t>
      </w:r>
      <w:r w:rsidR="00D813FA">
        <w:t xml:space="preserve">fusion </w:t>
      </w:r>
      <w:r w:rsidR="00133068">
        <w:t xml:space="preserve">sequences </w:t>
      </w:r>
      <w:r w:rsidR="0025178F">
        <w:t xml:space="preserve">and dental </w:t>
      </w:r>
      <w:r w:rsidR="00133068">
        <w:t xml:space="preserve">maturation </w:t>
      </w:r>
      <w:r w:rsidR="0025178F">
        <w:t xml:space="preserve">showed some </w:t>
      </w:r>
      <w:r w:rsidR="00D813FA">
        <w:t>differences, especially in the later stages of maturation for these two systems</w:t>
      </w:r>
      <w:r w:rsidR="0025178F">
        <w:t xml:space="preserve">.  </w:t>
      </w:r>
      <w:r w:rsidR="00C94A12">
        <w:t xml:space="preserve">Epiphyseal fusion event timing was also considered in the context of </w:t>
      </w:r>
      <w:r w:rsidR="00743E20">
        <w:t xml:space="preserve">proportional </w:t>
      </w:r>
      <w:r w:rsidR="00C94A12">
        <w:t>change</w:t>
      </w:r>
      <w:r w:rsidR="00743E20">
        <w:t xml:space="preserve"> in length</w:t>
      </w:r>
      <w:r w:rsidR="00C94A12">
        <w:t xml:space="preserve"> of long-bones.  It was found that the relative timing of fusion events as proportion of growth in length was the same for both chimpanzees</w:t>
      </w:r>
      <w:r w:rsidR="004342AE">
        <w:t xml:space="preserve"> and humans</w:t>
      </w:r>
      <w:r w:rsidR="00F067C2">
        <w:t xml:space="preserve">.  Estimates of chronological age </w:t>
      </w:r>
      <w:r w:rsidR="009C4E41">
        <w:t>of</w:t>
      </w:r>
      <w:r w:rsidR="00F067C2">
        <w:t xml:space="preserve"> fusion were produced for epiphyses </w:t>
      </w:r>
      <w:r w:rsidR="009C4E41">
        <w:t>analysed in prior</w:t>
      </w:r>
      <w:r w:rsidR="002520CD">
        <w:t xml:space="preserve"> studies</w:t>
      </w:r>
      <w:r w:rsidR="009C4E41">
        <w:t xml:space="preserve"> as well as additional centres not previously evaluated.  </w:t>
      </w:r>
      <w:r w:rsidR="009C4E41">
        <w:lastRenderedPageBreak/>
        <w:t>This was done using Kuykendall’s regression equation for 8 teeth</w:t>
      </w:r>
      <w:r w:rsidR="00F067C2">
        <w:t xml:space="preserve">.  </w:t>
      </w:r>
      <w:r w:rsidR="009C4E41">
        <w:t>Estimates for age of fusion determined in this study closely matched the data for sites observed in prior studies</w:t>
      </w:r>
      <w:r w:rsidR="006106AE">
        <w:t xml:space="preserve"> using known-age samples</w:t>
      </w:r>
      <w:r w:rsidR="00282AB9">
        <w:t xml:space="preserve">.  This indicates that the estimates </w:t>
      </w:r>
      <w:r w:rsidR="00C17997">
        <w:t>for</w:t>
      </w:r>
      <w:r w:rsidR="00282AB9">
        <w:t xml:space="preserve"> age</w:t>
      </w:r>
      <w:r w:rsidR="00C17997">
        <w:t xml:space="preserve"> for previously undocumented</w:t>
      </w:r>
      <w:r w:rsidR="00282AB9">
        <w:t xml:space="preserve"> </w:t>
      </w:r>
      <w:r w:rsidR="00C17997">
        <w:t xml:space="preserve">sites in </w:t>
      </w:r>
      <w:r w:rsidR="00282AB9">
        <w:t>the present study are likely accurate.</w:t>
      </w:r>
    </w:p>
    <w:p w:rsidR="005665C4" w:rsidRDefault="00FF38E5" w:rsidP="00F067C2">
      <w:r>
        <w:t xml:space="preserve">The implications </w:t>
      </w:r>
      <w:r w:rsidR="00660A66">
        <w:t xml:space="preserve">of </w:t>
      </w:r>
      <w:r w:rsidR="003F075A">
        <w:t>these results for theoretical approaches to studying growth as well as the study of fossil hominids</w:t>
      </w:r>
      <w:r w:rsidR="003F075A" w:rsidRPr="003F075A">
        <w:t xml:space="preserve"> </w:t>
      </w:r>
      <w:r w:rsidR="00522821">
        <w:t>are</w:t>
      </w:r>
      <w:r w:rsidR="003F075A">
        <w:t xml:space="preserve"> discussed.  Humans a</w:t>
      </w:r>
      <w:r w:rsidR="001848D0">
        <w:t>ppear</w:t>
      </w:r>
      <w:r w:rsidR="003F075A">
        <w:t xml:space="preserve"> more divergent from apes </w:t>
      </w:r>
      <w:r w:rsidR="001848D0">
        <w:t>when maturational events are considered in the</w:t>
      </w:r>
      <w:r w:rsidR="003F075A">
        <w:t xml:space="preserve"> context of chronological years.  Comparison</w:t>
      </w:r>
      <w:r w:rsidR="00920357">
        <w:t>s</w:t>
      </w:r>
      <w:r w:rsidR="003F075A">
        <w:t xml:space="preserve"> based strictly on maturational events suggest that the differences in growth rate may distort the perception of </w:t>
      </w:r>
      <w:r w:rsidR="00920357">
        <w:t>how large differences in</w:t>
      </w:r>
      <w:r w:rsidR="003F075A">
        <w:t xml:space="preserve"> life-history</w:t>
      </w:r>
      <w:r w:rsidR="00FF4A6A">
        <w:t xml:space="preserve"> pattern</w:t>
      </w:r>
      <w:r w:rsidR="00920357">
        <w:t xml:space="preserve"> actually are.</w:t>
      </w:r>
    </w:p>
    <w:p w:rsidR="00795735" w:rsidRDefault="00795735" w:rsidP="00795735">
      <w:pPr>
        <w:spacing w:before="0" w:after="200" w:line="276" w:lineRule="auto"/>
        <w:jc w:val="left"/>
      </w:pPr>
    </w:p>
    <w:p w:rsidR="00795735" w:rsidRDefault="00795735" w:rsidP="00795735">
      <w:pPr>
        <w:spacing w:before="0" w:after="200" w:line="276" w:lineRule="auto"/>
        <w:jc w:val="left"/>
        <w:sectPr w:rsidR="00795735" w:rsidSect="00A35CA0">
          <w:pgSz w:w="12240" w:h="15840" w:code="1"/>
          <w:pgMar w:top="1418" w:right="1134" w:bottom="1418" w:left="1985" w:header="709" w:footer="709" w:gutter="0"/>
          <w:cols w:space="708"/>
          <w:docGrid w:linePitch="360"/>
        </w:sectPr>
      </w:pPr>
    </w:p>
    <w:p w:rsidR="00795735" w:rsidRPr="00795735" w:rsidRDefault="00795735" w:rsidP="00165556">
      <w:pPr>
        <w:pStyle w:val="TOC1"/>
      </w:pPr>
      <w:r w:rsidRPr="00795735">
        <w:lastRenderedPageBreak/>
        <w:t>Table of Contents</w:t>
      </w:r>
    </w:p>
    <w:p w:rsidR="00795735" w:rsidRDefault="00795735" w:rsidP="00165556">
      <w:pPr>
        <w:pStyle w:val="TOC1"/>
        <w:rPr>
          <w:rFonts w:asciiTheme="minorHAnsi" w:eastAsiaTheme="minorEastAsia" w:hAnsiTheme="minorHAnsi" w:cstheme="minorBidi"/>
          <w:lang w:val="en-GB" w:eastAsia="en-GB"/>
        </w:rPr>
      </w:pPr>
      <w:r w:rsidRPr="00916223">
        <w:t>Chapter 1</w:t>
      </w:r>
      <w:r>
        <w:rPr>
          <w:rFonts w:asciiTheme="minorHAnsi" w:eastAsiaTheme="minorEastAsia" w:hAnsiTheme="minorHAnsi" w:cstheme="minorBidi"/>
          <w:lang w:val="en-GB" w:eastAsia="en-GB"/>
        </w:rPr>
        <w:t xml:space="preserve"> </w:t>
      </w:r>
      <w:r w:rsidRPr="00916223">
        <w:t>Introduction</w:t>
      </w:r>
      <w:r>
        <w:rPr>
          <w:webHidden/>
        </w:rPr>
        <w:tab/>
      </w:r>
      <w:r w:rsidRPr="00795735">
        <w:rPr>
          <w:webHidden/>
        </w:rPr>
        <w:t>1</w:t>
      </w:r>
    </w:p>
    <w:p w:rsidR="00795735" w:rsidRDefault="00795735" w:rsidP="00165556">
      <w:pPr>
        <w:pStyle w:val="TOC2"/>
        <w:rPr>
          <w:rFonts w:asciiTheme="minorHAnsi" w:eastAsiaTheme="minorEastAsia" w:hAnsiTheme="minorHAnsi" w:cstheme="minorBidi"/>
          <w:noProof/>
          <w:lang w:val="en-GB" w:eastAsia="en-GB"/>
        </w:rPr>
      </w:pPr>
      <w:r w:rsidRPr="00916223">
        <w:rPr>
          <w:noProof/>
        </w:rPr>
        <w:t>1.1</w:t>
      </w:r>
      <w:r>
        <w:rPr>
          <w:rFonts w:asciiTheme="minorHAnsi" w:eastAsiaTheme="minorEastAsia" w:hAnsiTheme="minorHAnsi" w:cstheme="minorBidi"/>
          <w:noProof/>
          <w:lang w:val="en-GB" w:eastAsia="en-GB"/>
        </w:rPr>
        <w:tab/>
      </w:r>
      <w:r w:rsidRPr="00916223">
        <w:rPr>
          <w:noProof/>
        </w:rPr>
        <w:t>The problem with sub-adult skeletal and dental development in paleoanthropology</w:t>
      </w:r>
      <w:r>
        <w:rPr>
          <w:noProof/>
          <w:webHidden/>
        </w:rPr>
        <w:tab/>
        <w:t>1</w:t>
      </w:r>
    </w:p>
    <w:p w:rsidR="00795735" w:rsidRDefault="00795735" w:rsidP="00165556">
      <w:pPr>
        <w:pStyle w:val="TOC2"/>
        <w:rPr>
          <w:rFonts w:asciiTheme="minorHAnsi" w:eastAsiaTheme="minorEastAsia" w:hAnsiTheme="minorHAnsi" w:cstheme="minorBidi"/>
          <w:noProof/>
          <w:lang w:val="en-GB" w:eastAsia="en-GB"/>
        </w:rPr>
      </w:pPr>
      <w:r w:rsidRPr="00916223">
        <w:rPr>
          <w:noProof/>
        </w:rPr>
        <w:t>1.2</w:t>
      </w:r>
      <w:r>
        <w:rPr>
          <w:rFonts w:asciiTheme="minorHAnsi" w:eastAsiaTheme="minorEastAsia" w:hAnsiTheme="minorHAnsi" w:cstheme="minorBidi"/>
          <w:noProof/>
          <w:lang w:val="en-GB" w:eastAsia="en-GB"/>
        </w:rPr>
        <w:tab/>
      </w:r>
      <w:r w:rsidRPr="00916223">
        <w:rPr>
          <w:noProof/>
        </w:rPr>
        <w:t>The main objectives of this study</w:t>
      </w:r>
      <w:r>
        <w:rPr>
          <w:noProof/>
          <w:webHidden/>
        </w:rPr>
        <w:tab/>
        <w:t>2</w:t>
      </w:r>
    </w:p>
    <w:p w:rsidR="00795735" w:rsidRDefault="00795735" w:rsidP="00165556">
      <w:pPr>
        <w:pStyle w:val="TOC2"/>
        <w:rPr>
          <w:rFonts w:asciiTheme="minorHAnsi" w:eastAsiaTheme="minorEastAsia" w:hAnsiTheme="minorHAnsi" w:cstheme="minorBidi"/>
          <w:noProof/>
          <w:lang w:val="en-GB" w:eastAsia="en-GB"/>
        </w:rPr>
      </w:pPr>
      <w:r w:rsidRPr="00916223">
        <w:rPr>
          <w:noProof/>
        </w:rPr>
        <w:t>1.3</w:t>
      </w:r>
      <w:r>
        <w:rPr>
          <w:rFonts w:asciiTheme="minorHAnsi" w:eastAsiaTheme="minorEastAsia" w:hAnsiTheme="minorHAnsi" w:cstheme="minorBidi"/>
          <w:noProof/>
          <w:lang w:val="en-GB" w:eastAsia="en-GB"/>
        </w:rPr>
        <w:tab/>
      </w:r>
      <w:r w:rsidR="00C93B09">
        <w:rPr>
          <w:noProof/>
        </w:rPr>
        <w:t>The contribution this study will make</w:t>
      </w:r>
      <w:r w:rsidRPr="00916223">
        <w:rPr>
          <w:noProof/>
        </w:rPr>
        <w:t xml:space="preserve"> to model</w:t>
      </w:r>
      <w:r w:rsidR="00FB5872">
        <w:rPr>
          <w:noProof/>
        </w:rPr>
        <w:t>l</w:t>
      </w:r>
      <w:r w:rsidRPr="00916223">
        <w:rPr>
          <w:noProof/>
        </w:rPr>
        <w:t>ing of growth and development in hominins</w:t>
      </w:r>
      <w:r>
        <w:rPr>
          <w:noProof/>
          <w:webHidden/>
        </w:rPr>
        <w:tab/>
        <w:t>3</w:t>
      </w:r>
    </w:p>
    <w:p w:rsidR="00795735" w:rsidRDefault="00795735" w:rsidP="00165556">
      <w:pPr>
        <w:pStyle w:val="TOC2"/>
        <w:rPr>
          <w:rFonts w:asciiTheme="minorHAnsi" w:eastAsiaTheme="minorEastAsia" w:hAnsiTheme="minorHAnsi" w:cstheme="minorBidi"/>
          <w:noProof/>
          <w:lang w:val="en-GB" w:eastAsia="en-GB"/>
        </w:rPr>
      </w:pPr>
      <w:r w:rsidRPr="00916223">
        <w:rPr>
          <w:noProof/>
        </w:rPr>
        <w:t>1.4</w:t>
      </w:r>
      <w:r>
        <w:rPr>
          <w:rFonts w:asciiTheme="minorHAnsi" w:eastAsiaTheme="minorEastAsia" w:hAnsiTheme="minorHAnsi" w:cstheme="minorBidi"/>
          <w:noProof/>
          <w:lang w:val="en-GB" w:eastAsia="en-GB"/>
        </w:rPr>
        <w:tab/>
      </w:r>
      <w:r w:rsidRPr="00916223">
        <w:rPr>
          <w:noProof/>
        </w:rPr>
        <w:t>Study approach</w:t>
      </w:r>
      <w:r>
        <w:rPr>
          <w:noProof/>
          <w:webHidden/>
        </w:rPr>
        <w:tab/>
      </w:r>
      <w:r w:rsidR="004B6B83">
        <w:rPr>
          <w:noProof/>
          <w:webHidden/>
        </w:rPr>
        <w:t>6</w:t>
      </w:r>
    </w:p>
    <w:p w:rsidR="00795735" w:rsidRDefault="00795735" w:rsidP="00165556">
      <w:pPr>
        <w:pStyle w:val="TOC2"/>
        <w:rPr>
          <w:rFonts w:asciiTheme="minorHAnsi" w:eastAsiaTheme="minorEastAsia" w:hAnsiTheme="minorHAnsi" w:cstheme="minorBidi"/>
          <w:noProof/>
          <w:lang w:val="en-GB" w:eastAsia="en-GB"/>
        </w:rPr>
      </w:pPr>
      <w:r w:rsidRPr="00916223">
        <w:rPr>
          <w:noProof/>
        </w:rPr>
        <w:t>1.5</w:t>
      </w:r>
      <w:r>
        <w:rPr>
          <w:rFonts w:asciiTheme="minorHAnsi" w:eastAsiaTheme="minorEastAsia" w:hAnsiTheme="minorHAnsi" w:cstheme="minorBidi"/>
          <w:noProof/>
          <w:lang w:val="en-GB" w:eastAsia="en-GB"/>
        </w:rPr>
        <w:tab/>
      </w:r>
      <w:r w:rsidRPr="00916223">
        <w:rPr>
          <w:noProof/>
        </w:rPr>
        <w:t>Chapter overview</w:t>
      </w:r>
      <w:r>
        <w:rPr>
          <w:noProof/>
          <w:webHidden/>
        </w:rPr>
        <w:tab/>
        <w:t>6</w:t>
      </w:r>
    </w:p>
    <w:p w:rsidR="00795735" w:rsidRDefault="00795735" w:rsidP="00165556">
      <w:pPr>
        <w:pStyle w:val="TOC1"/>
        <w:rPr>
          <w:rFonts w:asciiTheme="minorHAnsi" w:eastAsiaTheme="minorEastAsia" w:hAnsiTheme="minorHAnsi" w:cstheme="minorBidi"/>
          <w:lang w:val="en-GB" w:eastAsia="en-GB"/>
        </w:rPr>
      </w:pPr>
      <w:r w:rsidRPr="00916223">
        <w:t>Chapter 2</w:t>
      </w:r>
      <w:r>
        <w:rPr>
          <w:rFonts w:asciiTheme="minorHAnsi" w:eastAsiaTheme="minorEastAsia" w:hAnsiTheme="minorHAnsi" w:cstheme="minorBidi"/>
          <w:lang w:val="en-GB" w:eastAsia="en-GB"/>
        </w:rPr>
        <w:t xml:space="preserve"> </w:t>
      </w:r>
      <w:r w:rsidRPr="00916223">
        <w:t>Background</w:t>
      </w:r>
      <w:r>
        <w:rPr>
          <w:webHidden/>
        </w:rPr>
        <w:tab/>
      </w:r>
      <w:r w:rsidRPr="00795735">
        <w:rPr>
          <w:webHidden/>
        </w:rPr>
        <w:t>8</w:t>
      </w:r>
    </w:p>
    <w:p w:rsidR="00795735" w:rsidRDefault="00795735" w:rsidP="00165556">
      <w:pPr>
        <w:pStyle w:val="TOC2"/>
        <w:rPr>
          <w:rFonts w:asciiTheme="minorHAnsi" w:eastAsiaTheme="minorEastAsia" w:hAnsiTheme="minorHAnsi" w:cstheme="minorBidi"/>
          <w:noProof/>
          <w:lang w:val="en-GB" w:eastAsia="en-GB"/>
        </w:rPr>
      </w:pPr>
      <w:r w:rsidRPr="00916223">
        <w:rPr>
          <w:noProof/>
        </w:rPr>
        <w:t>2.1</w:t>
      </w:r>
      <w:r>
        <w:rPr>
          <w:rFonts w:asciiTheme="minorHAnsi" w:eastAsiaTheme="minorEastAsia" w:hAnsiTheme="minorHAnsi" w:cstheme="minorBidi"/>
          <w:noProof/>
          <w:lang w:val="en-GB" w:eastAsia="en-GB"/>
        </w:rPr>
        <w:tab/>
      </w:r>
      <w:r w:rsidRPr="00916223">
        <w:rPr>
          <w:noProof/>
        </w:rPr>
        <w:t>Theoretical approaches to growth</w:t>
      </w:r>
      <w:r>
        <w:rPr>
          <w:noProof/>
          <w:webHidden/>
        </w:rPr>
        <w:tab/>
        <w:t>8</w:t>
      </w:r>
    </w:p>
    <w:p w:rsidR="00795735" w:rsidRDefault="00795735" w:rsidP="00165556">
      <w:pPr>
        <w:pStyle w:val="TOC3"/>
        <w:rPr>
          <w:rFonts w:asciiTheme="minorHAnsi" w:eastAsiaTheme="minorEastAsia" w:hAnsiTheme="minorHAnsi" w:cstheme="minorBidi"/>
          <w:noProof/>
          <w:lang w:val="en-GB" w:eastAsia="en-GB"/>
        </w:rPr>
      </w:pPr>
      <w:r w:rsidRPr="00916223">
        <w:rPr>
          <w:noProof/>
        </w:rPr>
        <w:t>2.1.1</w:t>
      </w:r>
      <w:r>
        <w:rPr>
          <w:rFonts w:asciiTheme="minorHAnsi" w:eastAsiaTheme="minorEastAsia" w:hAnsiTheme="minorHAnsi" w:cstheme="minorBidi"/>
          <w:noProof/>
          <w:lang w:val="en-GB" w:eastAsia="en-GB"/>
        </w:rPr>
        <w:tab/>
      </w:r>
      <w:r w:rsidRPr="00916223">
        <w:rPr>
          <w:noProof/>
        </w:rPr>
        <w:t>Fundamental concepts: measuring skeletal growth</w:t>
      </w:r>
      <w:r>
        <w:rPr>
          <w:noProof/>
          <w:webHidden/>
        </w:rPr>
        <w:tab/>
        <w:t>8</w:t>
      </w:r>
    </w:p>
    <w:p w:rsidR="00795735" w:rsidRDefault="00795735" w:rsidP="00165556">
      <w:pPr>
        <w:pStyle w:val="TOC3"/>
        <w:rPr>
          <w:rFonts w:asciiTheme="minorHAnsi" w:eastAsiaTheme="minorEastAsia" w:hAnsiTheme="minorHAnsi" w:cstheme="minorBidi"/>
          <w:noProof/>
          <w:lang w:val="en-GB" w:eastAsia="en-GB"/>
        </w:rPr>
      </w:pPr>
      <w:r w:rsidRPr="00916223">
        <w:rPr>
          <w:noProof/>
        </w:rPr>
        <w:t>2.1.2</w:t>
      </w:r>
      <w:r>
        <w:rPr>
          <w:rFonts w:asciiTheme="minorHAnsi" w:eastAsiaTheme="minorEastAsia" w:hAnsiTheme="minorHAnsi" w:cstheme="minorBidi"/>
          <w:noProof/>
          <w:lang w:val="en-GB" w:eastAsia="en-GB"/>
        </w:rPr>
        <w:tab/>
      </w:r>
      <w:r w:rsidRPr="00916223">
        <w:rPr>
          <w:noProof/>
        </w:rPr>
        <w:t>Developmental Theory</w:t>
      </w:r>
      <w:r>
        <w:rPr>
          <w:noProof/>
          <w:webHidden/>
        </w:rPr>
        <w:tab/>
        <w:t>11</w:t>
      </w:r>
    </w:p>
    <w:p w:rsidR="00795735" w:rsidRDefault="00795735" w:rsidP="00165556">
      <w:pPr>
        <w:pStyle w:val="TOC3"/>
        <w:rPr>
          <w:rFonts w:asciiTheme="minorHAnsi" w:eastAsiaTheme="minorEastAsia" w:hAnsiTheme="minorHAnsi" w:cstheme="minorBidi"/>
          <w:noProof/>
          <w:lang w:val="en-GB" w:eastAsia="en-GB"/>
        </w:rPr>
      </w:pPr>
      <w:r w:rsidRPr="00916223">
        <w:rPr>
          <w:noProof/>
        </w:rPr>
        <w:t>2.1.3</w:t>
      </w:r>
      <w:r>
        <w:rPr>
          <w:rFonts w:asciiTheme="minorHAnsi" w:eastAsiaTheme="minorEastAsia" w:hAnsiTheme="minorHAnsi" w:cstheme="minorBidi"/>
          <w:noProof/>
          <w:lang w:val="en-GB" w:eastAsia="en-GB"/>
        </w:rPr>
        <w:tab/>
      </w:r>
      <w:r w:rsidRPr="00916223">
        <w:rPr>
          <w:noProof/>
        </w:rPr>
        <w:t>How this study can contribute to the theory of growth</w:t>
      </w:r>
      <w:r>
        <w:rPr>
          <w:noProof/>
          <w:webHidden/>
        </w:rPr>
        <w:tab/>
        <w:t>17</w:t>
      </w:r>
    </w:p>
    <w:p w:rsidR="00795735" w:rsidRDefault="00795735" w:rsidP="00165556">
      <w:pPr>
        <w:pStyle w:val="TOC2"/>
        <w:rPr>
          <w:rFonts w:asciiTheme="minorHAnsi" w:eastAsiaTheme="minorEastAsia" w:hAnsiTheme="minorHAnsi" w:cstheme="minorBidi"/>
          <w:noProof/>
          <w:lang w:val="en-GB" w:eastAsia="en-GB"/>
        </w:rPr>
      </w:pPr>
      <w:r w:rsidRPr="00916223">
        <w:rPr>
          <w:noProof/>
        </w:rPr>
        <w:t>2.2</w:t>
      </w:r>
      <w:r>
        <w:rPr>
          <w:rFonts w:asciiTheme="minorHAnsi" w:eastAsiaTheme="minorEastAsia" w:hAnsiTheme="minorHAnsi" w:cstheme="minorBidi"/>
          <w:noProof/>
          <w:lang w:val="en-GB" w:eastAsia="en-GB"/>
        </w:rPr>
        <w:tab/>
      </w:r>
      <w:r w:rsidRPr="00916223">
        <w:rPr>
          <w:noProof/>
        </w:rPr>
        <w:t>Organisation of sections for each species</w:t>
      </w:r>
      <w:r>
        <w:rPr>
          <w:noProof/>
          <w:webHidden/>
        </w:rPr>
        <w:tab/>
        <w:t>17</w:t>
      </w:r>
    </w:p>
    <w:p w:rsidR="00795735" w:rsidRDefault="00795735" w:rsidP="00165556">
      <w:pPr>
        <w:pStyle w:val="TOC2"/>
        <w:rPr>
          <w:rFonts w:asciiTheme="minorHAnsi" w:eastAsiaTheme="minorEastAsia" w:hAnsiTheme="minorHAnsi" w:cstheme="minorBidi"/>
          <w:noProof/>
          <w:lang w:val="en-GB" w:eastAsia="en-GB"/>
        </w:rPr>
      </w:pPr>
      <w:r w:rsidRPr="00916223">
        <w:rPr>
          <w:noProof/>
        </w:rPr>
        <w:t>2.3</w:t>
      </w:r>
      <w:r>
        <w:rPr>
          <w:rFonts w:asciiTheme="minorHAnsi" w:eastAsiaTheme="minorEastAsia" w:hAnsiTheme="minorHAnsi" w:cstheme="minorBidi"/>
          <w:noProof/>
          <w:lang w:val="en-GB" w:eastAsia="en-GB"/>
        </w:rPr>
        <w:tab/>
      </w:r>
      <w:r w:rsidRPr="00916223">
        <w:rPr>
          <w:noProof/>
        </w:rPr>
        <w:t>Epiphyseal fusion</w:t>
      </w:r>
      <w:r>
        <w:rPr>
          <w:noProof/>
          <w:webHidden/>
        </w:rPr>
        <w:tab/>
        <w:t>1</w:t>
      </w:r>
      <w:r w:rsidR="004B6B83">
        <w:rPr>
          <w:noProof/>
          <w:webHidden/>
        </w:rPr>
        <w:t>8</w:t>
      </w:r>
    </w:p>
    <w:p w:rsidR="00795735" w:rsidRDefault="00795735" w:rsidP="00165556">
      <w:pPr>
        <w:pStyle w:val="TOC3"/>
        <w:rPr>
          <w:rFonts w:asciiTheme="minorHAnsi" w:eastAsiaTheme="minorEastAsia" w:hAnsiTheme="minorHAnsi" w:cstheme="minorBidi"/>
          <w:noProof/>
          <w:lang w:val="en-GB" w:eastAsia="en-GB"/>
        </w:rPr>
      </w:pPr>
      <w:r w:rsidRPr="00916223">
        <w:rPr>
          <w:noProof/>
        </w:rPr>
        <w:t>2.3.1</w:t>
      </w:r>
      <w:r>
        <w:rPr>
          <w:rFonts w:asciiTheme="minorHAnsi" w:eastAsiaTheme="minorEastAsia" w:hAnsiTheme="minorHAnsi" w:cstheme="minorBidi"/>
          <w:noProof/>
          <w:lang w:val="en-GB" w:eastAsia="en-GB"/>
        </w:rPr>
        <w:tab/>
      </w:r>
      <w:r w:rsidRPr="00916223">
        <w:rPr>
          <w:noProof/>
        </w:rPr>
        <w:t>The physiology of growth and fusion</w:t>
      </w:r>
      <w:r>
        <w:rPr>
          <w:noProof/>
          <w:webHidden/>
        </w:rPr>
        <w:tab/>
        <w:t>18</w:t>
      </w:r>
    </w:p>
    <w:p w:rsidR="00795735" w:rsidRDefault="00795735" w:rsidP="00165556">
      <w:pPr>
        <w:pStyle w:val="TOC3"/>
        <w:rPr>
          <w:rFonts w:asciiTheme="minorHAnsi" w:eastAsiaTheme="minorEastAsia" w:hAnsiTheme="minorHAnsi" w:cstheme="minorBidi"/>
          <w:noProof/>
          <w:lang w:val="en-GB" w:eastAsia="en-GB"/>
        </w:rPr>
      </w:pPr>
      <w:r w:rsidRPr="00916223">
        <w:rPr>
          <w:noProof/>
        </w:rPr>
        <w:t>2.3.2</w:t>
      </w:r>
      <w:r>
        <w:rPr>
          <w:rFonts w:asciiTheme="minorHAnsi" w:eastAsiaTheme="minorEastAsia" w:hAnsiTheme="minorHAnsi" w:cstheme="minorBidi"/>
          <w:noProof/>
          <w:lang w:val="en-GB" w:eastAsia="en-GB"/>
        </w:rPr>
        <w:tab/>
      </w:r>
      <w:r w:rsidRPr="00916223">
        <w:rPr>
          <w:noProof/>
        </w:rPr>
        <w:t>Epiphyseal fusion studies from the mammalian world</w:t>
      </w:r>
      <w:r>
        <w:rPr>
          <w:noProof/>
          <w:webHidden/>
        </w:rPr>
        <w:tab/>
      </w:r>
      <w:r w:rsidR="004B6B83">
        <w:rPr>
          <w:noProof/>
          <w:webHidden/>
        </w:rPr>
        <w:t>20</w:t>
      </w:r>
    </w:p>
    <w:p w:rsidR="00795735" w:rsidRDefault="00795735" w:rsidP="00165556">
      <w:pPr>
        <w:pStyle w:val="TOC3"/>
        <w:rPr>
          <w:rFonts w:asciiTheme="minorHAnsi" w:eastAsiaTheme="minorEastAsia" w:hAnsiTheme="minorHAnsi" w:cstheme="minorBidi"/>
          <w:noProof/>
          <w:lang w:val="en-GB" w:eastAsia="en-GB"/>
        </w:rPr>
      </w:pPr>
      <w:r w:rsidRPr="00916223">
        <w:rPr>
          <w:noProof/>
        </w:rPr>
        <w:t>2.3.3</w:t>
      </w:r>
      <w:r>
        <w:rPr>
          <w:rFonts w:asciiTheme="minorHAnsi" w:eastAsiaTheme="minorEastAsia" w:hAnsiTheme="minorHAnsi" w:cstheme="minorBidi"/>
          <w:noProof/>
          <w:lang w:val="en-GB" w:eastAsia="en-GB"/>
        </w:rPr>
        <w:tab/>
      </w:r>
      <w:r w:rsidRPr="00916223">
        <w:rPr>
          <w:noProof/>
        </w:rPr>
        <w:t>Epiphyseal fusion in primates</w:t>
      </w:r>
      <w:r>
        <w:rPr>
          <w:noProof/>
          <w:webHidden/>
        </w:rPr>
        <w:tab/>
        <w:t>21</w:t>
      </w:r>
    </w:p>
    <w:p w:rsidR="00795735" w:rsidRDefault="00795735" w:rsidP="00165556">
      <w:pPr>
        <w:pStyle w:val="TOC3"/>
        <w:rPr>
          <w:rFonts w:asciiTheme="minorHAnsi" w:eastAsiaTheme="minorEastAsia" w:hAnsiTheme="minorHAnsi" w:cstheme="minorBidi"/>
          <w:noProof/>
          <w:lang w:val="en-GB" w:eastAsia="en-GB"/>
        </w:rPr>
      </w:pPr>
      <w:r w:rsidRPr="00916223">
        <w:rPr>
          <w:noProof/>
        </w:rPr>
        <w:t>2.3.4</w:t>
      </w:r>
      <w:r>
        <w:rPr>
          <w:rFonts w:asciiTheme="minorHAnsi" w:eastAsiaTheme="minorEastAsia" w:hAnsiTheme="minorHAnsi" w:cstheme="minorBidi"/>
          <w:noProof/>
          <w:lang w:val="en-GB" w:eastAsia="en-GB"/>
        </w:rPr>
        <w:tab/>
      </w:r>
      <w:r w:rsidRPr="00916223">
        <w:rPr>
          <w:noProof/>
        </w:rPr>
        <w:t>Epiphyseal fusion in humans</w:t>
      </w:r>
      <w:r>
        <w:rPr>
          <w:noProof/>
          <w:webHidden/>
        </w:rPr>
        <w:tab/>
        <w:t>22</w:t>
      </w:r>
    </w:p>
    <w:p w:rsidR="00795735" w:rsidRDefault="00795735" w:rsidP="00165556">
      <w:pPr>
        <w:pStyle w:val="TOC3"/>
        <w:rPr>
          <w:rFonts w:asciiTheme="minorHAnsi" w:eastAsiaTheme="minorEastAsia" w:hAnsiTheme="minorHAnsi" w:cstheme="minorBidi"/>
          <w:noProof/>
          <w:lang w:val="en-GB" w:eastAsia="en-GB"/>
        </w:rPr>
      </w:pPr>
      <w:r w:rsidRPr="00916223">
        <w:rPr>
          <w:noProof/>
        </w:rPr>
        <w:t>2.3.5</w:t>
      </w:r>
      <w:r>
        <w:rPr>
          <w:rFonts w:asciiTheme="minorHAnsi" w:eastAsiaTheme="minorEastAsia" w:hAnsiTheme="minorHAnsi" w:cstheme="minorBidi"/>
          <w:noProof/>
          <w:lang w:val="en-GB" w:eastAsia="en-GB"/>
        </w:rPr>
        <w:tab/>
      </w:r>
      <w:r w:rsidRPr="00916223">
        <w:rPr>
          <w:noProof/>
        </w:rPr>
        <w:t>Epiphyseal fusion in chimpanzees</w:t>
      </w:r>
      <w:r>
        <w:rPr>
          <w:noProof/>
          <w:webHidden/>
        </w:rPr>
        <w:tab/>
        <w:t>28</w:t>
      </w:r>
    </w:p>
    <w:p w:rsidR="00795735" w:rsidRDefault="00795735" w:rsidP="00165556">
      <w:pPr>
        <w:pStyle w:val="TOC3"/>
        <w:rPr>
          <w:rFonts w:asciiTheme="minorHAnsi" w:eastAsiaTheme="minorEastAsia" w:hAnsiTheme="minorHAnsi" w:cstheme="minorBidi"/>
          <w:noProof/>
          <w:lang w:val="en-GB" w:eastAsia="en-GB"/>
        </w:rPr>
      </w:pPr>
      <w:r w:rsidRPr="00916223">
        <w:rPr>
          <w:noProof/>
        </w:rPr>
        <w:t>2.3.6</w:t>
      </w:r>
      <w:r>
        <w:rPr>
          <w:rFonts w:asciiTheme="minorHAnsi" w:eastAsiaTheme="minorEastAsia" w:hAnsiTheme="minorHAnsi" w:cstheme="minorBidi"/>
          <w:noProof/>
          <w:lang w:val="en-GB" w:eastAsia="en-GB"/>
        </w:rPr>
        <w:tab/>
      </w:r>
      <w:r w:rsidRPr="00916223">
        <w:rPr>
          <w:noProof/>
        </w:rPr>
        <w:t>Epiphyseal fusion in bonobos</w:t>
      </w:r>
      <w:r>
        <w:rPr>
          <w:noProof/>
          <w:webHidden/>
        </w:rPr>
        <w:tab/>
        <w:t>33</w:t>
      </w:r>
    </w:p>
    <w:p w:rsidR="00795735" w:rsidRDefault="00795735" w:rsidP="00165556">
      <w:pPr>
        <w:pStyle w:val="TOC3"/>
        <w:rPr>
          <w:rFonts w:asciiTheme="minorHAnsi" w:eastAsiaTheme="minorEastAsia" w:hAnsiTheme="minorHAnsi" w:cstheme="minorBidi"/>
          <w:noProof/>
          <w:lang w:val="en-GB" w:eastAsia="en-GB"/>
        </w:rPr>
      </w:pPr>
      <w:r w:rsidRPr="00916223">
        <w:rPr>
          <w:noProof/>
        </w:rPr>
        <w:t>2.3.7</w:t>
      </w:r>
      <w:r>
        <w:rPr>
          <w:rFonts w:asciiTheme="minorHAnsi" w:eastAsiaTheme="minorEastAsia" w:hAnsiTheme="minorHAnsi" w:cstheme="minorBidi"/>
          <w:noProof/>
          <w:lang w:val="en-GB" w:eastAsia="en-GB"/>
        </w:rPr>
        <w:tab/>
      </w:r>
      <w:r w:rsidRPr="00916223">
        <w:rPr>
          <w:noProof/>
        </w:rPr>
        <w:t>Comparisons between chimpanzees and bonobos</w:t>
      </w:r>
      <w:r>
        <w:rPr>
          <w:noProof/>
          <w:webHidden/>
        </w:rPr>
        <w:tab/>
        <w:t>34</w:t>
      </w:r>
    </w:p>
    <w:p w:rsidR="00795735" w:rsidRDefault="00795735" w:rsidP="00165556">
      <w:pPr>
        <w:pStyle w:val="TOC3"/>
        <w:rPr>
          <w:rFonts w:asciiTheme="minorHAnsi" w:eastAsiaTheme="minorEastAsia" w:hAnsiTheme="minorHAnsi" w:cstheme="minorBidi"/>
          <w:noProof/>
          <w:lang w:val="en-GB" w:eastAsia="en-GB"/>
        </w:rPr>
      </w:pPr>
      <w:r w:rsidRPr="00916223">
        <w:rPr>
          <w:noProof/>
        </w:rPr>
        <w:t>2.3.8</w:t>
      </w:r>
      <w:r>
        <w:rPr>
          <w:rFonts w:asciiTheme="minorHAnsi" w:eastAsiaTheme="minorEastAsia" w:hAnsiTheme="minorHAnsi" w:cstheme="minorBidi"/>
          <w:noProof/>
          <w:lang w:val="en-GB" w:eastAsia="en-GB"/>
        </w:rPr>
        <w:tab/>
      </w:r>
      <w:r w:rsidRPr="00916223">
        <w:rPr>
          <w:noProof/>
        </w:rPr>
        <w:t>Comparisons between chimpanzees, bonobos and humans</w:t>
      </w:r>
      <w:r>
        <w:rPr>
          <w:noProof/>
          <w:webHidden/>
        </w:rPr>
        <w:tab/>
        <w:t>35</w:t>
      </w:r>
    </w:p>
    <w:p w:rsidR="00795735" w:rsidRDefault="00795735" w:rsidP="00165556">
      <w:pPr>
        <w:pStyle w:val="TOC2"/>
        <w:rPr>
          <w:rFonts w:asciiTheme="minorHAnsi" w:eastAsiaTheme="minorEastAsia" w:hAnsiTheme="minorHAnsi" w:cstheme="minorBidi"/>
          <w:noProof/>
          <w:lang w:val="en-GB" w:eastAsia="en-GB"/>
        </w:rPr>
      </w:pPr>
      <w:r w:rsidRPr="00916223">
        <w:rPr>
          <w:noProof/>
        </w:rPr>
        <w:t>2.4</w:t>
      </w:r>
      <w:r>
        <w:rPr>
          <w:rFonts w:asciiTheme="minorHAnsi" w:eastAsiaTheme="minorEastAsia" w:hAnsiTheme="minorHAnsi" w:cstheme="minorBidi"/>
          <w:noProof/>
          <w:lang w:val="en-GB" w:eastAsia="en-GB"/>
        </w:rPr>
        <w:tab/>
      </w:r>
      <w:r w:rsidRPr="00916223">
        <w:rPr>
          <w:noProof/>
        </w:rPr>
        <w:t>Dental development</w:t>
      </w:r>
      <w:r>
        <w:rPr>
          <w:noProof/>
          <w:webHidden/>
        </w:rPr>
        <w:tab/>
        <w:t>36</w:t>
      </w:r>
    </w:p>
    <w:p w:rsidR="00795735" w:rsidRPr="00CE5597" w:rsidRDefault="00795735" w:rsidP="00165556">
      <w:pPr>
        <w:pStyle w:val="TOC3"/>
        <w:rPr>
          <w:noProof/>
        </w:rPr>
      </w:pPr>
      <w:r w:rsidRPr="00916223">
        <w:rPr>
          <w:noProof/>
        </w:rPr>
        <w:t>2.4.1</w:t>
      </w:r>
      <w:r w:rsidRPr="00CE5597">
        <w:rPr>
          <w:noProof/>
        </w:rPr>
        <w:tab/>
      </w:r>
      <w:r w:rsidRPr="00916223">
        <w:rPr>
          <w:noProof/>
        </w:rPr>
        <w:t>Primate dentition and dental development</w:t>
      </w:r>
      <w:r>
        <w:rPr>
          <w:noProof/>
          <w:webHidden/>
        </w:rPr>
        <w:tab/>
        <w:t>36</w:t>
      </w:r>
    </w:p>
    <w:p w:rsidR="00795735" w:rsidRPr="00CE5597" w:rsidRDefault="00795735" w:rsidP="00165556">
      <w:pPr>
        <w:pStyle w:val="TOC3"/>
        <w:rPr>
          <w:noProof/>
        </w:rPr>
      </w:pPr>
      <w:r w:rsidRPr="00916223">
        <w:rPr>
          <w:noProof/>
        </w:rPr>
        <w:t>2.4.2</w:t>
      </w:r>
      <w:r w:rsidRPr="00CE5597">
        <w:rPr>
          <w:noProof/>
        </w:rPr>
        <w:tab/>
      </w:r>
      <w:r w:rsidRPr="00916223">
        <w:rPr>
          <w:noProof/>
        </w:rPr>
        <w:t>Dental development in humans</w:t>
      </w:r>
      <w:r>
        <w:rPr>
          <w:noProof/>
          <w:webHidden/>
        </w:rPr>
        <w:tab/>
        <w:t>38</w:t>
      </w:r>
    </w:p>
    <w:p w:rsidR="00795735" w:rsidRPr="00CE5597" w:rsidRDefault="00795735" w:rsidP="00165556">
      <w:pPr>
        <w:pStyle w:val="TOC3"/>
        <w:rPr>
          <w:noProof/>
        </w:rPr>
      </w:pPr>
      <w:r w:rsidRPr="00916223">
        <w:rPr>
          <w:noProof/>
        </w:rPr>
        <w:t>2.4.3</w:t>
      </w:r>
      <w:r w:rsidRPr="00CE5597">
        <w:rPr>
          <w:noProof/>
        </w:rPr>
        <w:tab/>
      </w:r>
      <w:r w:rsidRPr="00916223">
        <w:rPr>
          <w:noProof/>
        </w:rPr>
        <w:t>Dental development in chimpanzees</w:t>
      </w:r>
      <w:r>
        <w:rPr>
          <w:noProof/>
          <w:webHidden/>
        </w:rPr>
        <w:tab/>
        <w:t>39</w:t>
      </w:r>
    </w:p>
    <w:p w:rsidR="00795735" w:rsidRPr="00CE5597" w:rsidRDefault="00795735" w:rsidP="00165556">
      <w:pPr>
        <w:pStyle w:val="TOC3"/>
        <w:rPr>
          <w:noProof/>
        </w:rPr>
      </w:pPr>
      <w:r w:rsidRPr="00916223">
        <w:rPr>
          <w:noProof/>
        </w:rPr>
        <w:t>2.4.4</w:t>
      </w:r>
      <w:r w:rsidRPr="00CE5597">
        <w:rPr>
          <w:noProof/>
        </w:rPr>
        <w:tab/>
      </w:r>
      <w:r w:rsidRPr="00916223">
        <w:rPr>
          <w:noProof/>
        </w:rPr>
        <w:t>Dental development in bonobos</w:t>
      </w:r>
      <w:r>
        <w:rPr>
          <w:noProof/>
          <w:webHidden/>
        </w:rPr>
        <w:tab/>
        <w:t>41</w:t>
      </w:r>
    </w:p>
    <w:p w:rsidR="00795735" w:rsidRPr="00CE5597" w:rsidRDefault="00795735" w:rsidP="00165556">
      <w:pPr>
        <w:pStyle w:val="TOC3"/>
        <w:rPr>
          <w:noProof/>
        </w:rPr>
      </w:pPr>
      <w:r w:rsidRPr="00916223">
        <w:rPr>
          <w:noProof/>
        </w:rPr>
        <w:t>2.4.5</w:t>
      </w:r>
      <w:r w:rsidRPr="00CE5597">
        <w:rPr>
          <w:noProof/>
        </w:rPr>
        <w:tab/>
      </w:r>
      <w:r w:rsidRPr="00916223">
        <w:rPr>
          <w:noProof/>
        </w:rPr>
        <w:t>Comparisons between chimpanzees and bonobos</w:t>
      </w:r>
      <w:r>
        <w:rPr>
          <w:noProof/>
          <w:webHidden/>
        </w:rPr>
        <w:tab/>
        <w:t>42</w:t>
      </w:r>
    </w:p>
    <w:p w:rsidR="00795735" w:rsidRPr="00CE5597" w:rsidRDefault="00795735" w:rsidP="00165556">
      <w:pPr>
        <w:pStyle w:val="TOC3"/>
        <w:rPr>
          <w:noProof/>
        </w:rPr>
      </w:pPr>
      <w:r w:rsidRPr="00916223">
        <w:rPr>
          <w:noProof/>
        </w:rPr>
        <w:t>2.4.6</w:t>
      </w:r>
      <w:r w:rsidRPr="00CE5597">
        <w:rPr>
          <w:noProof/>
        </w:rPr>
        <w:tab/>
      </w:r>
      <w:r w:rsidRPr="00916223">
        <w:rPr>
          <w:noProof/>
        </w:rPr>
        <w:t>Comparisons between chimpanzees, bonobos and humans</w:t>
      </w:r>
      <w:r>
        <w:rPr>
          <w:noProof/>
          <w:webHidden/>
        </w:rPr>
        <w:tab/>
        <w:t>43</w:t>
      </w:r>
    </w:p>
    <w:p w:rsidR="00795735" w:rsidRDefault="00795735" w:rsidP="00165556">
      <w:pPr>
        <w:pStyle w:val="TOC3"/>
        <w:rPr>
          <w:rFonts w:asciiTheme="minorHAnsi" w:eastAsiaTheme="minorEastAsia" w:hAnsiTheme="minorHAnsi" w:cstheme="minorBidi"/>
          <w:noProof/>
          <w:lang w:val="en-GB" w:eastAsia="en-GB"/>
        </w:rPr>
      </w:pPr>
      <w:r w:rsidRPr="00916223">
        <w:rPr>
          <w:noProof/>
        </w:rPr>
        <w:t>2.4.7</w:t>
      </w:r>
      <w:r w:rsidRPr="00CE5597">
        <w:rPr>
          <w:noProof/>
        </w:rPr>
        <w:tab/>
      </w:r>
      <w:r w:rsidRPr="00916223">
        <w:rPr>
          <w:noProof/>
        </w:rPr>
        <w:t>Assessment of environmental factors affecting dental development: Pathology and systemic stress</w:t>
      </w:r>
      <w:r>
        <w:rPr>
          <w:noProof/>
          <w:webHidden/>
        </w:rPr>
        <w:tab/>
        <w:t>46</w:t>
      </w:r>
    </w:p>
    <w:p w:rsidR="00795735" w:rsidRDefault="00795735" w:rsidP="00165556">
      <w:pPr>
        <w:pStyle w:val="TOC2"/>
        <w:rPr>
          <w:rFonts w:asciiTheme="minorHAnsi" w:eastAsiaTheme="minorEastAsia" w:hAnsiTheme="minorHAnsi" w:cstheme="minorBidi"/>
          <w:noProof/>
          <w:lang w:val="en-GB" w:eastAsia="en-GB"/>
        </w:rPr>
      </w:pPr>
      <w:r w:rsidRPr="00916223">
        <w:rPr>
          <w:noProof/>
        </w:rPr>
        <w:t>2.5</w:t>
      </w:r>
      <w:r>
        <w:rPr>
          <w:rFonts w:asciiTheme="minorHAnsi" w:eastAsiaTheme="minorEastAsia" w:hAnsiTheme="minorHAnsi" w:cstheme="minorBidi"/>
          <w:noProof/>
          <w:lang w:val="en-GB" w:eastAsia="en-GB"/>
        </w:rPr>
        <w:tab/>
      </w:r>
      <w:r w:rsidRPr="00916223">
        <w:rPr>
          <w:noProof/>
        </w:rPr>
        <w:t xml:space="preserve">Long bone growth in length: </w:t>
      </w:r>
      <w:r w:rsidR="00E30833">
        <w:rPr>
          <w:noProof/>
        </w:rPr>
        <w:t>I</w:t>
      </w:r>
      <w:r w:rsidRPr="00916223">
        <w:rPr>
          <w:noProof/>
        </w:rPr>
        <w:t>ntroduction</w:t>
      </w:r>
      <w:r>
        <w:rPr>
          <w:noProof/>
          <w:webHidden/>
        </w:rPr>
        <w:tab/>
        <w:t>47</w:t>
      </w:r>
    </w:p>
    <w:p w:rsidR="00795735" w:rsidRPr="00CE5597" w:rsidRDefault="00795735" w:rsidP="00165556">
      <w:pPr>
        <w:pStyle w:val="TOC3"/>
        <w:rPr>
          <w:noProof/>
        </w:rPr>
      </w:pPr>
      <w:r w:rsidRPr="00916223">
        <w:rPr>
          <w:noProof/>
        </w:rPr>
        <w:t>2.5.1</w:t>
      </w:r>
      <w:r w:rsidRPr="00CE5597">
        <w:rPr>
          <w:noProof/>
        </w:rPr>
        <w:tab/>
      </w:r>
      <w:r w:rsidRPr="00916223">
        <w:rPr>
          <w:noProof/>
        </w:rPr>
        <w:t>Long bone growth rates in humans</w:t>
      </w:r>
      <w:r>
        <w:rPr>
          <w:noProof/>
          <w:webHidden/>
        </w:rPr>
        <w:tab/>
        <w:t>47</w:t>
      </w:r>
    </w:p>
    <w:p w:rsidR="00795735" w:rsidRPr="00CE5597" w:rsidRDefault="00795735" w:rsidP="00165556">
      <w:pPr>
        <w:pStyle w:val="TOC3"/>
        <w:rPr>
          <w:noProof/>
        </w:rPr>
      </w:pPr>
      <w:r w:rsidRPr="00916223">
        <w:rPr>
          <w:noProof/>
        </w:rPr>
        <w:t>2.5.2</w:t>
      </w:r>
      <w:r w:rsidRPr="00CE5597">
        <w:rPr>
          <w:noProof/>
        </w:rPr>
        <w:tab/>
      </w:r>
      <w:r w:rsidRPr="00916223">
        <w:rPr>
          <w:noProof/>
        </w:rPr>
        <w:t>Long bone growth rates in chimpanzees</w:t>
      </w:r>
      <w:r>
        <w:rPr>
          <w:noProof/>
          <w:webHidden/>
        </w:rPr>
        <w:tab/>
        <w:t>49</w:t>
      </w:r>
    </w:p>
    <w:p w:rsidR="00795735" w:rsidRPr="00CE5597" w:rsidRDefault="00795735" w:rsidP="00165556">
      <w:pPr>
        <w:pStyle w:val="TOC3"/>
        <w:rPr>
          <w:noProof/>
        </w:rPr>
      </w:pPr>
      <w:r w:rsidRPr="00916223">
        <w:rPr>
          <w:noProof/>
        </w:rPr>
        <w:t>2.5.3</w:t>
      </w:r>
      <w:r w:rsidRPr="00CE5597">
        <w:rPr>
          <w:noProof/>
        </w:rPr>
        <w:tab/>
      </w:r>
      <w:r w:rsidRPr="00916223">
        <w:rPr>
          <w:noProof/>
        </w:rPr>
        <w:t>Long bone growth rates in bonobos</w:t>
      </w:r>
      <w:r>
        <w:rPr>
          <w:noProof/>
          <w:webHidden/>
        </w:rPr>
        <w:tab/>
        <w:t>50</w:t>
      </w:r>
    </w:p>
    <w:p w:rsidR="00795735" w:rsidRPr="00CE5597" w:rsidRDefault="00795735" w:rsidP="00165556">
      <w:pPr>
        <w:pStyle w:val="TOC3"/>
        <w:rPr>
          <w:noProof/>
        </w:rPr>
      </w:pPr>
      <w:r w:rsidRPr="00916223">
        <w:rPr>
          <w:noProof/>
        </w:rPr>
        <w:t>2.5.4</w:t>
      </w:r>
      <w:r w:rsidRPr="00CE5597">
        <w:rPr>
          <w:noProof/>
        </w:rPr>
        <w:tab/>
      </w:r>
      <w:r w:rsidRPr="00916223">
        <w:rPr>
          <w:noProof/>
        </w:rPr>
        <w:t>Comparisons between chimpanzees, bonobos, and humans</w:t>
      </w:r>
      <w:r>
        <w:rPr>
          <w:noProof/>
          <w:webHidden/>
        </w:rPr>
        <w:tab/>
        <w:t>51</w:t>
      </w:r>
    </w:p>
    <w:p w:rsidR="00795735" w:rsidRDefault="00795735" w:rsidP="00165556">
      <w:pPr>
        <w:pStyle w:val="TOC2"/>
        <w:rPr>
          <w:rFonts w:asciiTheme="minorHAnsi" w:eastAsiaTheme="minorEastAsia" w:hAnsiTheme="minorHAnsi" w:cstheme="minorBidi"/>
          <w:noProof/>
          <w:lang w:val="en-GB" w:eastAsia="en-GB"/>
        </w:rPr>
      </w:pPr>
      <w:r w:rsidRPr="00916223">
        <w:rPr>
          <w:noProof/>
        </w:rPr>
        <w:t>2.6</w:t>
      </w:r>
      <w:r>
        <w:rPr>
          <w:rFonts w:asciiTheme="minorHAnsi" w:eastAsiaTheme="minorEastAsia" w:hAnsiTheme="minorHAnsi" w:cstheme="minorBidi"/>
          <w:noProof/>
          <w:lang w:val="en-GB" w:eastAsia="en-GB"/>
        </w:rPr>
        <w:tab/>
      </w:r>
      <w:r w:rsidRPr="00916223">
        <w:rPr>
          <w:noProof/>
        </w:rPr>
        <w:t xml:space="preserve">Summary of current knowledge of </w:t>
      </w:r>
      <w:r w:rsidRPr="00916223">
        <w:rPr>
          <w:i/>
          <w:noProof/>
        </w:rPr>
        <w:t>Homo</w:t>
      </w:r>
      <w:r w:rsidRPr="00916223">
        <w:rPr>
          <w:noProof/>
        </w:rPr>
        <w:t xml:space="preserve"> and </w:t>
      </w:r>
      <w:r w:rsidRPr="00916223">
        <w:rPr>
          <w:i/>
          <w:noProof/>
        </w:rPr>
        <w:t>Pan</w:t>
      </w:r>
      <w:r w:rsidRPr="00916223">
        <w:rPr>
          <w:noProof/>
        </w:rPr>
        <w:t xml:space="preserve"> life history variables</w:t>
      </w:r>
      <w:r>
        <w:rPr>
          <w:noProof/>
          <w:webHidden/>
        </w:rPr>
        <w:tab/>
        <w:t>51</w:t>
      </w:r>
    </w:p>
    <w:p w:rsidR="00795735" w:rsidRPr="00CE5597" w:rsidRDefault="00795735" w:rsidP="00165556">
      <w:pPr>
        <w:pStyle w:val="TOC3"/>
        <w:rPr>
          <w:noProof/>
        </w:rPr>
      </w:pPr>
      <w:r w:rsidRPr="00916223">
        <w:rPr>
          <w:noProof/>
        </w:rPr>
        <w:t>2.6.1</w:t>
      </w:r>
      <w:r w:rsidRPr="00CE5597">
        <w:rPr>
          <w:noProof/>
        </w:rPr>
        <w:tab/>
      </w:r>
      <w:r w:rsidRPr="00916223">
        <w:rPr>
          <w:noProof/>
        </w:rPr>
        <w:t>Summary of developmental theory</w:t>
      </w:r>
      <w:r>
        <w:rPr>
          <w:noProof/>
          <w:webHidden/>
        </w:rPr>
        <w:tab/>
        <w:t>52</w:t>
      </w:r>
    </w:p>
    <w:p w:rsidR="00795735" w:rsidRPr="00CE5597" w:rsidRDefault="00795735" w:rsidP="00165556">
      <w:pPr>
        <w:pStyle w:val="TOC3"/>
        <w:rPr>
          <w:noProof/>
        </w:rPr>
      </w:pPr>
      <w:r w:rsidRPr="00916223">
        <w:rPr>
          <w:noProof/>
        </w:rPr>
        <w:t>2.6.2</w:t>
      </w:r>
      <w:r w:rsidRPr="00CE5597">
        <w:rPr>
          <w:noProof/>
        </w:rPr>
        <w:tab/>
      </w:r>
      <w:r w:rsidRPr="00916223">
        <w:rPr>
          <w:noProof/>
        </w:rPr>
        <w:t>Summary of epiphyseal fusion</w:t>
      </w:r>
      <w:r>
        <w:rPr>
          <w:noProof/>
          <w:webHidden/>
        </w:rPr>
        <w:tab/>
        <w:t>52</w:t>
      </w:r>
    </w:p>
    <w:p w:rsidR="00795735" w:rsidRPr="00CE5597" w:rsidRDefault="00795735" w:rsidP="00165556">
      <w:pPr>
        <w:pStyle w:val="TOC3"/>
        <w:rPr>
          <w:noProof/>
        </w:rPr>
      </w:pPr>
      <w:r w:rsidRPr="00916223">
        <w:rPr>
          <w:noProof/>
        </w:rPr>
        <w:t>2.6.3</w:t>
      </w:r>
      <w:r w:rsidRPr="00CE5597">
        <w:rPr>
          <w:noProof/>
        </w:rPr>
        <w:tab/>
      </w:r>
      <w:r w:rsidRPr="00916223">
        <w:rPr>
          <w:noProof/>
        </w:rPr>
        <w:t>Summary of dental development</w:t>
      </w:r>
      <w:r>
        <w:rPr>
          <w:noProof/>
          <w:webHidden/>
        </w:rPr>
        <w:tab/>
        <w:t>53</w:t>
      </w:r>
    </w:p>
    <w:p w:rsidR="00795735" w:rsidRPr="00CE5597" w:rsidRDefault="00795735" w:rsidP="00165556">
      <w:pPr>
        <w:pStyle w:val="TOC3"/>
        <w:rPr>
          <w:noProof/>
        </w:rPr>
      </w:pPr>
      <w:r w:rsidRPr="00916223">
        <w:rPr>
          <w:noProof/>
        </w:rPr>
        <w:t>2.6.4</w:t>
      </w:r>
      <w:r w:rsidRPr="00CE5597">
        <w:rPr>
          <w:noProof/>
        </w:rPr>
        <w:tab/>
      </w:r>
      <w:r w:rsidRPr="00916223">
        <w:rPr>
          <w:noProof/>
        </w:rPr>
        <w:t>Summary of long-bone growth in length</w:t>
      </w:r>
      <w:r>
        <w:rPr>
          <w:noProof/>
          <w:webHidden/>
        </w:rPr>
        <w:tab/>
        <w:t>54</w:t>
      </w:r>
    </w:p>
    <w:p w:rsidR="00795735" w:rsidRPr="00CE5597" w:rsidRDefault="00795735" w:rsidP="00165556">
      <w:pPr>
        <w:pStyle w:val="TOC3"/>
        <w:rPr>
          <w:noProof/>
        </w:rPr>
      </w:pPr>
      <w:r w:rsidRPr="00916223">
        <w:rPr>
          <w:noProof/>
        </w:rPr>
        <w:t>2.6.5</w:t>
      </w:r>
      <w:r w:rsidRPr="00CE5597">
        <w:rPr>
          <w:noProof/>
        </w:rPr>
        <w:tab/>
      </w:r>
      <w:r w:rsidRPr="00916223">
        <w:rPr>
          <w:noProof/>
        </w:rPr>
        <w:t>Summary conclusion</w:t>
      </w:r>
      <w:r>
        <w:rPr>
          <w:noProof/>
          <w:webHidden/>
        </w:rPr>
        <w:tab/>
        <w:t>54</w:t>
      </w:r>
    </w:p>
    <w:p w:rsidR="00795735" w:rsidRDefault="00795735" w:rsidP="00165556">
      <w:pPr>
        <w:pStyle w:val="TOC1"/>
        <w:rPr>
          <w:rFonts w:asciiTheme="minorHAnsi" w:eastAsiaTheme="minorEastAsia" w:hAnsiTheme="minorHAnsi" w:cstheme="minorBidi"/>
          <w:lang w:val="en-GB" w:eastAsia="en-GB"/>
        </w:rPr>
      </w:pPr>
      <w:r w:rsidRPr="00916223">
        <w:lastRenderedPageBreak/>
        <w:t>Chapter 3</w:t>
      </w:r>
      <w:r>
        <w:rPr>
          <w:rFonts w:asciiTheme="minorHAnsi" w:eastAsiaTheme="minorEastAsia" w:hAnsiTheme="minorHAnsi" w:cstheme="minorBidi"/>
          <w:lang w:val="en-GB" w:eastAsia="en-GB"/>
        </w:rPr>
        <w:t xml:space="preserve"> </w:t>
      </w:r>
      <w:r w:rsidRPr="00916223">
        <w:t>Materials and Methods</w:t>
      </w:r>
      <w:r>
        <w:rPr>
          <w:webHidden/>
        </w:rPr>
        <w:tab/>
      </w:r>
      <w:r w:rsidRPr="00795735">
        <w:rPr>
          <w:webHidden/>
        </w:rPr>
        <w:t>55</w:t>
      </w:r>
    </w:p>
    <w:p w:rsidR="00795735" w:rsidRDefault="00795735" w:rsidP="00165556">
      <w:pPr>
        <w:pStyle w:val="TOC2"/>
        <w:rPr>
          <w:rFonts w:asciiTheme="minorHAnsi" w:eastAsiaTheme="minorEastAsia" w:hAnsiTheme="minorHAnsi" w:cstheme="minorBidi"/>
          <w:noProof/>
          <w:lang w:val="en-GB" w:eastAsia="en-GB"/>
        </w:rPr>
      </w:pPr>
      <w:r w:rsidRPr="00916223">
        <w:rPr>
          <w:noProof/>
        </w:rPr>
        <w:t>3.1</w:t>
      </w:r>
      <w:r>
        <w:rPr>
          <w:rFonts w:asciiTheme="minorHAnsi" w:eastAsiaTheme="minorEastAsia" w:hAnsiTheme="minorHAnsi" w:cstheme="minorBidi"/>
          <w:noProof/>
          <w:lang w:val="en-GB" w:eastAsia="en-GB"/>
        </w:rPr>
        <w:tab/>
      </w:r>
      <w:r w:rsidRPr="00916223">
        <w:rPr>
          <w:noProof/>
        </w:rPr>
        <w:t>Materials: The Collections</w:t>
      </w:r>
      <w:r>
        <w:rPr>
          <w:noProof/>
          <w:webHidden/>
        </w:rPr>
        <w:tab/>
        <w:t>55</w:t>
      </w:r>
    </w:p>
    <w:p w:rsidR="00795735" w:rsidRDefault="00795735" w:rsidP="00165556">
      <w:pPr>
        <w:pStyle w:val="TOC3"/>
        <w:rPr>
          <w:rFonts w:asciiTheme="minorHAnsi" w:eastAsiaTheme="minorEastAsia" w:hAnsiTheme="minorHAnsi" w:cstheme="minorBidi"/>
          <w:noProof/>
          <w:lang w:val="en-GB" w:eastAsia="en-GB"/>
        </w:rPr>
      </w:pPr>
      <w:r w:rsidRPr="00916223">
        <w:rPr>
          <w:noProof/>
        </w:rPr>
        <w:t>3.1.1</w:t>
      </w:r>
      <w:r>
        <w:rPr>
          <w:rFonts w:asciiTheme="minorHAnsi" w:eastAsiaTheme="minorEastAsia" w:hAnsiTheme="minorHAnsi" w:cstheme="minorBidi"/>
          <w:noProof/>
          <w:lang w:val="en-GB" w:eastAsia="en-GB"/>
        </w:rPr>
        <w:tab/>
      </w:r>
      <w:r w:rsidRPr="00916223">
        <w:rPr>
          <w:noProof/>
        </w:rPr>
        <w:t>Definition of species used</w:t>
      </w:r>
      <w:r>
        <w:rPr>
          <w:noProof/>
          <w:webHidden/>
        </w:rPr>
        <w:tab/>
        <w:t>55</w:t>
      </w:r>
    </w:p>
    <w:p w:rsidR="00795735" w:rsidRPr="00B1096F" w:rsidRDefault="00795735" w:rsidP="00165556">
      <w:pPr>
        <w:pStyle w:val="TOC3"/>
        <w:rPr>
          <w:noProof/>
        </w:rPr>
      </w:pPr>
      <w:r w:rsidRPr="00916223">
        <w:rPr>
          <w:noProof/>
        </w:rPr>
        <w:t>3.1.2</w:t>
      </w:r>
      <w:r w:rsidRPr="00B1096F">
        <w:rPr>
          <w:noProof/>
        </w:rPr>
        <w:tab/>
      </w:r>
      <w:r w:rsidRPr="00916223">
        <w:rPr>
          <w:noProof/>
        </w:rPr>
        <w:t>Species and sub-species</w:t>
      </w:r>
      <w:r>
        <w:rPr>
          <w:noProof/>
          <w:webHidden/>
        </w:rPr>
        <w:tab/>
        <w:t>55</w:t>
      </w:r>
    </w:p>
    <w:p w:rsidR="00795735" w:rsidRPr="00B1096F" w:rsidRDefault="00795735" w:rsidP="00165556">
      <w:pPr>
        <w:pStyle w:val="TOC3"/>
        <w:rPr>
          <w:noProof/>
        </w:rPr>
      </w:pPr>
      <w:r w:rsidRPr="00916223">
        <w:rPr>
          <w:noProof/>
        </w:rPr>
        <w:t>3.1.3</w:t>
      </w:r>
      <w:r w:rsidRPr="00B1096F">
        <w:rPr>
          <w:noProof/>
        </w:rPr>
        <w:tab/>
      </w:r>
      <w:r w:rsidRPr="00916223">
        <w:rPr>
          <w:noProof/>
        </w:rPr>
        <w:t>Provenance</w:t>
      </w:r>
      <w:r>
        <w:rPr>
          <w:noProof/>
          <w:webHidden/>
        </w:rPr>
        <w:tab/>
        <w:t>57</w:t>
      </w:r>
    </w:p>
    <w:p w:rsidR="00795735" w:rsidRPr="00B1096F" w:rsidRDefault="00795735" w:rsidP="00165556">
      <w:pPr>
        <w:pStyle w:val="TOC3"/>
        <w:rPr>
          <w:noProof/>
        </w:rPr>
      </w:pPr>
      <w:r w:rsidRPr="00916223">
        <w:rPr>
          <w:noProof/>
        </w:rPr>
        <w:t>3.1.4</w:t>
      </w:r>
      <w:r w:rsidRPr="00B1096F">
        <w:rPr>
          <w:noProof/>
        </w:rPr>
        <w:tab/>
      </w:r>
      <w:r w:rsidRPr="00916223">
        <w:rPr>
          <w:noProof/>
        </w:rPr>
        <w:t>Sex</w:t>
      </w:r>
      <w:r>
        <w:rPr>
          <w:noProof/>
          <w:webHidden/>
        </w:rPr>
        <w:tab/>
        <w:t>59</w:t>
      </w:r>
    </w:p>
    <w:p w:rsidR="00795735" w:rsidRPr="00B1096F" w:rsidRDefault="00795735" w:rsidP="00165556">
      <w:pPr>
        <w:pStyle w:val="TOC3"/>
        <w:rPr>
          <w:noProof/>
        </w:rPr>
      </w:pPr>
      <w:r w:rsidRPr="00916223">
        <w:rPr>
          <w:noProof/>
        </w:rPr>
        <w:t>3.1.5</w:t>
      </w:r>
      <w:r w:rsidRPr="00B1096F">
        <w:rPr>
          <w:noProof/>
        </w:rPr>
        <w:tab/>
      </w:r>
      <w:r w:rsidRPr="00916223">
        <w:rPr>
          <w:noProof/>
        </w:rPr>
        <w:t>Completeness of the collections and condition: statement by collection</w:t>
      </w:r>
      <w:r>
        <w:rPr>
          <w:noProof/>
          <w:webHidden/>
        </w:rPr>
        <w:tab/>
        <w:t>61</w:t>
      </w:r>
    </w:p>
    <w:p w:rsidR="00795735" w:rsidRPr="00B1096F" w:rsidRDefault="00795735" w:rsidP="00165556">
      <w:pPr>
        <w:pStyle w:val="TOC3"/>
        <w:rPr>
          <w:noProof/>
        </w:rPr>
      </w:pPr>
      <w:r w:rsidRPr="00916223">
        <w:rPr>
          <w:noProof/>
        </w:rPr>
        <w:t>3.1.6</w:t>
      </w:r>
      <w:r w:rsidRPr="00B1096F">
        <w:rPr>
          <w:noProof/>
        </w:rPr>
        <w:tab/>
      </w:r>
      <w:r w:rsidRPr="00916223">
        <w:rPr>
          <w:noProof/>
        </w:rPr>
        <w:t>Observation of pathological conditions</w:t>
      </w:r>
      <w:r>
        <w:rPr>
          <w:noProof/>
          <w:webHidden/>
        </w:rPr>
        <w:tab/>
        <w:t>62</w:t>
      </w:r>
    </w:p>
    <w:p w:rsidR="00795735" w:rsidRPr="00B1096F" w:rsidRDefault="00795735" w:rsidP="00165556">
      <w:pPr>
        <w:pStyle w:val="TOC3"/>
        <w:rPr>
          <w:noProof/>
        </w:rPr>
      </w:pPr>
      <w:r w:rsidRPr="00916223">
        <w:rPr>
          <w:noProof/>
        </w:rPr>
        <w:t>3.1.7</w:t>
      </w:r>
      <w:r w:rsidRPr="00B1096F">
        <w:rPr>
          <w:noProof/>
        </w:rPr>
        <w:tab/>
      </w:r>
      <w:r w:rsidRPr="00916223">
        <w:rPr>
          <w:noProof/>
        </w:rPr>
        <w:t>Inclusion of species and sub-species for analysis</w:t>
      </w:r>
      <w:r>
        <w:rPr>
          <w:noProof/>
          <w:webHidden/>
        </w:rPr>
        <w:tab/>
        <w:t>64</w:t>
      </w:r>
    </w:p>
    <w:p w:rsidR="00795735" w:rsidRDefault="00795735" w:rsidP="00165556">
      <w:pPr>
        <w:pStyle w:val="TOC2"/>
        <w:rPr>
          <w:rFonts w:asciiTheme="minorHAnsi" w:eastAsiaTheme="minorEastAsia" w:hAnsiTheme="minorHAnsi" w:cstheme="minorBidi"/>
          <w:noProof/>
          <w:lang w:val="en-GB" w:eastAsia="en-GB"/>
        </w:rPr>
      </w:pPr>
      <w:r w:rsidRPr="00916223">
        <w:rPr>
          <w:noProof/>
        </w:rPr>
        <w:t>3.2</w:t>
      </w:r>
      <w:r>
        <w:rPr>
          <w:rFonts w:asciiTheme="minorHAnsi" w:eastAsiaTheme="minorEastAsia" w:hAnsiTheme="minorHAnsi" w:cstheme="minorBidi"/>
          <w:noProof/>
          <w:lang w:val="en-GB" w:eastAsia="en-GB"/>
        </w:rPr>
        <w:tab/>
      </w:r>
      <w:r w:rsidRPr="00916223">
        <w:rPr>
          <w:noProof/>
        </w:rPr>
        <w:t>Methodology: Data collection</w:t>
      </w:r>
      <w:r>
        <w:rPr>
          <w:noProof/>
          <w:webHidden/>
        </w:rPr>
        <w:tab/>
        <w:t>64</w:t>
      </w:r>
    </w:p>
    <w:p w:rsidR="00795735" w:rsidRPr="00B1096F" w:rsidRDefault="00795735" w:rsidP="00165556">
      <w:pPr>
        <w:pStyle w:val="TOC3"/>
        <w:rPr>
          <w:noProof/>
        </w:rPr>
      </w:pPr>
      <w:r w:rsidRPr="00916223">
        <w:rPr>
          <w:noProof/>
        </w:rPr>
        <w:t>3.2.1</w:t>
      </w:r>
      <w:r w:rsidRPr="00B1096F">
        <w:rPr>
          <w:noProof/>
        </w:rPr>
        <w:tab/>
      </w:r>
      <w:r w:rsidRPr="00916223">
        <w:rPr>
          <w:noProof/>
        </w:rPr>
        <w:t>Overview of data categories</w:t>
      </w:r>
      <w:r>
        <w:rPr>
          <w:noProof/>
          <w:webHidden/>
        </w:rPr>
        <w:tab/>
        <w:t>64</w:t>
      </w:r>
    </w:p>
    <w:p w:rsidR="00795735" w:rsidRPr="00B1096F" w:rsidRDefault="00795735" w:rsidP="00165556">
      <w:pPr>
        <w:pStyle w:val="TOC3"/>
        <w:rPr>
          <w:noProof/>
        </w:rPr>
      </w:pPr>
      <w:r w:rsidRPr="00916223">
        <w:rPr>
          <w:noProof/>
        </w:rPr>
        <w:t>3.2.2</w:t>
      </w:r>
      <w:r w:rsidRPr="00B1096F">
        <w:rPr>
          <w:noProof/>
        </w:rPr>
        <w:tab/>
      </w:r>
      <w:r w:rsidRPr="00916223">
        <w:rPr>
          <w:noProof/>
        </w:rPr>
        <w:t>Demographic data</w:t>
      </w:r>
      <w:r>
        <w:rPr>
          <w:noProof/>
          <w:webHidden/>
        </w:rPr>
        <w:tab/>
        <w:t>64</w:t>
      </w:r>
    </w:p>
    <w:p w:rsidR="00795735" w:rsidRPr="00B1096F" w:rsidRDefault="00795735" w:rsidP="00165556">
      <w:pPr>
        <w:pStyle w:val="TOC3"/>
        <w:rPr>
          <w:noProof/>
        </w:rPr>
      </w:pPr>
      <w:r w:rsidRPr="00916223">
        <w:rPr>
          <w:noProof/>
        </w:rPr>
        <w:t>3.2.3</w:t>
      </w:r>
      <w:r w:rsidRPr="00B1096F">
        <w:rPr>
          <w:noProof/>
        </w:rPr>
        <w:tab/>
      </w:r>
      <w:r w:rsidRPr="00916223">
        <w:rPr>
          <w:noProof/>
        </w:rPr>
        <w:t>Developmental age range</w:t>
      </w:r>
      <w:r>
        <w:rPr>
          <w:noProof/>
          <w:webHidden/>
        </w:rPr>
        <w:tab/>
        <w:t>65</w:t>
      </w:r>
    </w:p>
    <w:p w:rsidR="00795735" w:rsidRPr="00B1096F" w:rsidRDefault="00795735" w:rsidP="00165556">
      <w:pPr>
        <w:pStyle w:val="TOC3"/>
        <w:rPr>
          <w:noProof/>
        </w:rPr>
      </w:pPr>
      <w:r w:rsidRPr="00916223">
        <w:rPr>
          <w:noProof/>
        </w:rPr>
        <w:t>3.2.4</w:t>
      </w:r>
      <w:r w:rsidRPr="00B1096F">
        <w:rPr>
          <w:noProof/>
        </w:rPr>
        <w:tab/>
      </w:r>
      <w:r w:rsidRPr="00916223">
        <w:rPr>
          <w:noProof/>
        </w:rPr>
        <w:t>Dental recording</w:t>
      </w:r>
      <w:r>
        <w:rPr>
          <w:noProof/>
          <w:webHidden/>
        </w:rPr>
        <w:tab/>
        <w:t>65</w:t>
      </w:r>
    </w:p>
    <w:p w:rsidR="00795735" w:rsidRPr="00B1096F" w:rsidRDefault="00795735" w:rsidP="00165556">
      <w:pPr>
        <w:pStyle w:val="TOC3"/>
        <w:rPr>
          <w:noProof/>
        </w:rPr>
      </w:pPr>
      <w:r w:rsidRPr="00916223">
        <w:rPr>
          <w:noProof/>
        </w:rPr>
        <w:t>3.2.5</w:t>
      </w:r>
      <w:r w:rsidRPr="00B1096F">
        <w:rPr>
          <w:noProof/>
        </w:rPr>
        <w:tab/>
      </w:r>
      <w:r w:rsidRPr="00916223">
        <w:rPr>
          <w:noProof/>
        </w:rPr>
        <w:t>Epiphyseal Fusion Recording</w:t>
      </w:r>
      <w:r>
        <w:rPr>
          <w:noProof/>
          <w:webHidden/>
        </w:rPr>
        <w:tab/>
        <w:t>71</w:t>
      </w:r>
    </w:p>
    <w:p w:rsidR="00795735" w:rsidRPr="00B1096F" w:rsidRDefault="00795735" w:rsidP="00165556">
      <w:pPr>
        <w:pStyle w:val="TOC3"/>
        <w:rPr>
          <w:noProof/>
        </w:rPr>
      </w:pPr>
      <w:r w:rsidRPr="00916223">
        <w:rPr>
          <w:noProof/>
        </w:rPr>
        <w:t>3.2.6</w:t>
      </w:r>
      <w:r w:rsidRPr="00B1096F">
        <w:rPr>
          <w:noProof/>
        </w:rPr>
        <w:tab/>
      </w:r>
      <w:r w:rsidR="00BD2CDA">
        <w:rPr>
          <w:noProof/>
        </w:rPr>
        <w:t>Long-bone</w:t>
      </w:r>
      <w:r w:rsidRPr="00916223">
        <w:rPr>
          <w:noProof/>
        </w:rPr>
        <w:t xml:space="preserve"> measurements</w:t>
      </w:r>
      <w:r>
        <w:rPr>
          <w:noProof/>
          <w:webHidden/>
        </w:rPr>
        <w:tab/>
        <w:t>75</w:t>
      </w:r>
    </w:p>
    <w:p w:rsidR="00795735" w:rsidRDefault="00795735" w:rsidP="00165556">
      <w:pPr>
        <w:pStyle w:val="TOC2"/>
        <w:rPr>
          <w:rFonts w:asciiTheme="minorHAnsi" w:eastAsiaTheme="minorEastAsia" w:hAnsiTheme="minorHAnsi" w:cstheme="minorBidi"/>
          <w:noProof/>
          <w:lang w:val="en-GB" w:eastAsia="en-GB"/>
        </w:rPr>
      </w:pPr>
      <w:r w:rsidRPr="00916223">
        <w:rPr>
          <w:noProof/>
        </w:rPr>
        <w:t>3.3</w:t>
      </w:r>
      <w:r>
        <w:rPr>
          <w:rFonts w:asciiTheme="minorHAnsi" w:eastAsiaTheme="minorEastAsia" w:hAnsiTheme="minorHAnsi" w:cstheme="minorBidi"/>
          <w:noProof/>
          <w:lang w:val="en-GB" w:eastAsia="en-GB"/>
        </w:rPr>
        <w:tab/>
      </w:r>
      <w:r w:rsidRPr="00916223">
        <w:rPr>
          <w:noProof/>
        </w:rPr>
        <w:t>Methodology: Dental development</w:t>
      </w:r>
      <w:r>
        <w:rPr>
          <w:noProof/>
          <w:webHidden/>
        </w:rPr>
        <w:tab/>
        <w:t>77</w:t>
      </w:r>
    </w:p>
    <w:p w:rsidR="00795735" w:rsidRPr="00B1096F" w:rsidRDefault="00795735" w:rsidP="00165556">
      <w:pPr>
        <w:pStyle w:val="TOC3"/>
        <w:rPr>
          <w:noProof/>
        </w:rPr>
      </w:pPr>
      <w:r w:rsidRPr="00916223">
        <w:rPr>
          <w:noProof/>
        </w:rPr>
        <w:t>3.3.1</w:t>
      </w:r>
      <w:r w:rsidRPr="00B1096F">
        <w:rPr>
          <w:noProof/>
        </w:rPr>
        <w:tab/>
      </w:r>
      <w:r w:rsidRPr="00916223">
        <w:rPr>
          <w:noProof/>
        </w:rPr>
        <w:t>Overview of data processing in dental development</w:t>
      </w:r>
      <w:r>
        <w:rPr>
          <w:noProof/>
          <w:webHidden/>
        </w:rPr>
        <w:tab/>
        <w:t>77</w:t>
      </w:r>
    </w:p>
    <w:p w:rsidR="00795735" w:rsidRPr="00B1096F" w:rsidRDefault="00795735" w:rsidP="00165556">
      <w:pPr>
        <w:pStyle w:val="TOC3"/>
        <w:rPr>
          <w:noProof/>
        </w:rPr>
      </w:pPr>
      <w:r w:rsidRPr="00916223">
        <w:rPr>
          <w:noProof/>
        </w:rPr>
        <w:t>3.3.2</w:t>
      </w:r>
      <w:r w:rsidRPr="00B1096F">
        <w:rPr>
          <w:noProof/>
        </w:rPr>
        <w:tab/>
      </w:r>
      <w:r w:rsidRPr="00916223">
        <w:rPr>
          <w:noProof/>
        </w:rPr>
        <w:t>Assignment of dental scores</w:t>
      </w:r>
      <w:r>
        <w:rPr>
          <w:noProof/>
          <w:webHidden/>
        </w:rPr>
        <w:tab/>
        <w:t>77</w:t>
      </w:r>
    </w:p>
    <w:p w:rsidR="00795735" w:rsidRPr="00B1096F" w:rsidRDefault="00795735" w:rsidP="00165556">
      <w:pPr>
        <w:pStyle w:val="TOC3"/>
        <w:rPr>
          <w:noProof/>
        </w:rPr>
      </w:pPr>
      <w:r w:rsidRPr="00916223">
        <w:rPr>
          <w:noProof/>
        </w:rPr>
        <w:t>3.3.3</w:t>
      </w:r>
      <w:r w:rsidRPr="00B1096F">
        <w:rPr>
          <w:noProof/>
        </w:rPr>
        <w:tab/>
      </w:r>
      <w:r w:rsidRPr="00916223">
        <w:rPr>
          <w:noProof/>
        </w:rPr>
        <w:t>Incomplete quadrants and imputed data</w:t>
      </w:r>
      <w:r>
        <w:rPr>
          <w:noProof/>
          <w:webHidden/>
        </w:rPr>
        <w:tab/>
        <w:t>80</w:t>
      </w:r>
    </w:p>
    <w:p w:rsidR="00795735" w:rsidRPr="00B1096F" w:rsidRDefault="00795735" w:rsidP="00165556">
      <w:pPr>
        <w:pStyle w:val="TOC3"/>
        <w:rPr>
          <w:noProof/>
        </w:rPr>
      </w:pPr>
      <w:r w:rsidRPr="00916223">
        <w:rPr>
          <w:noProof/>
        </w:rPr>
        <w:t>3.3.4</w:t>
      </w:r>
      <w:r w:rsidRPr="00B1096F">
        <w:rPr>
          <w:noProof/>
        </w:rPr>
        <w:tab/>
      </w:r>
      <w:r w:rsidRPr="00916223">
        <w:rPr>
          <w:noProof/>
        </w:rPr>
        <w:t>Distribution of dental scores</w:t>
      </w:r>
      <w:r>
        <w:rPr>
          <w:noProof/>
          <w:webHidden/>
        </w:rPr>
        <w:tab/>
        <w:t>82</w:t>
      </w:r>
    </w:p>
    <w:p w:rsidR="00795735" w:rsidRPr="00B1096F" w:rsidRDefault="00795735" w:rsidP="00165556">
      <w:pPr>
        <w:pStyle w:val="TOC3"/>
        <w:rPr>
          <w:noProof/>
        </w:rPr>
      </w:pPr>
      <w:r w:rsidRPr="00916223">
        <w:rPr>
          <w:noProof/>
        </w:rPr>
        <w:t>3.3.5</w:t>
      </w:r>
      <w:r w:rsidRPr="00B1096F">
        <w:rPr>
          <w:noProof/>
        </w:rPr>
        <w:tab/>
      </w:r>
      <w:r w:rsidRPr="00916223">
        <w:rPr>
          <w:noProof/>
        </w:rPr>
        <w:t>Intra- and inter-observer error</w:t>
      </w:r>
      <w:r>
        <w:rPr>
          <w:noProof/>
          <w:webHidden/>
        </w:rPr>
        <w:tab/>
        <w:t>84</w:t>
      </w:r>
    </w:p>
    <w:p w:rsidR="00795735" w:rsidRDefault="00795735" w:rsidP="00165556">
      <w:pPr>
        <w:pStyle w:val="TOC2"/>
        <w:rPr>
          <w:rFonts w:asciiTheme="minorHAnsi" w:eastAsiaTheme="minorEastAsia" w:hAnsiTheme="minorHAnsi" w:cstheme="minorBidi"/>
          <w:noProof/>
          <w:lang w:val="en-GB" w:eastAsia="en-GB"/>
        </w:rPr>
      </w:pPr>
      <w:r w:rsidRPr="00916223">
        <w:rPr>
          <w:noProof/>
        </w:rPr>
        <w:t>3.4</w:t>
      </w:r>
      <w:r>
        <w:rPr>
          <w:rFonts w:asciiTheme="minorHAnsi" w:eastAsiaTheme="minorEastAsia" w:hAnsiTheme="minorHAnsi" w:cstheme="minorBidi"/>
          <w:noProof/>
          <w:lang w:val="en-GB" w:eastAsia="en-GB"/>
        </w:rPr>
        <w:tab/>
      </w:r>
      <w:r w:rsidRPr="00916223">
        <w:rPr>
          <w:noProof/>
        </w:rPr>
        <w:t>Epiphyseal fusion</w:t>
      </w:r>
      <w:r>
        <w:rPr>
          <w:noProof/>
          <w:webHidden/>
        </w:rPr>
        <w:tab/>
        <w:t>87</w:t>
      </w:r>
    </w:p>
    <w:p w:rsidR="00795735" w:rsidRPr="00B1096F" w:rsidRDefault="00795735" w:rsidP="00165556">
      <w:pPr>
        <w:pStyle w:val="TOC3"/>
        <w:rPr>
          <w:noProof/>
        </w:rPr>
      </w:pPr>
      <w:r w:rsidRPr="00916223">
        <w:rPr>
          <w:noProof/>
        </w:rPr>
        <w:t>3.4.1</w:t>
      </w:r>
      <w:r w:rsidRPr="00B1096F">
        <w:rPr>
          <w:noProof/>
        </w:rPr>
        <w:tab/>
      </w:r>
      <w:r w:rsidRPr="00916223">
        <w:rPr>
          <w:noProof/>
        </w:rPr>
        <w:t>Determining combined sample values for analysis of epiphyseal fusion</w:t>
      </w:r>
      <w:r>
        <w:rPr>
          <w:noProof/>
          <w:webHidden/>
        </w:rPr>
        <w:tab/>
        <w:t>87</w:t>
      </w:r>
    </w:p>
    <w:p w:rsidR="00795735" w:rsidRPr="00B1096F" w:rsidRDefault="00795735" w:rsidP="00165556">
      <w:pPr>
        <w:pStyle w:val="TOC3"/>
        <w:rPr>
          <w:noProof/>
        </w:rPr>
      </w:pPr>
      <w:r w:rsidRPr="00916223">
        <w:rPr>
          <w:noProof/>
        </w:rPr>
        <w:t>3.4.2</w:t>
      </w:r>
      <w:r w:rsidRPr="00B1096F">
        <w:rPr>
          <w:noProof/>
        </w:rPr>
        <w:tab/>
      </w:r>
      <w:r w:rsidRPr="00916223">
        <w:rPr>
          <w:noProof/>
        </w:rPr>
        <w:t>Ordering the sample and generated scores</w:t>
      </w:r>
      <w:r>
        <w:rPr>
          <w:noProof/>
          <w:webHidden/>
        </w:rPr>
        <w:tab/>
        <w:t>90</w:t>
      </w:r>
    </w:p>
    <w:p w:rsidR="00795735" w:rsidRPr="00B1096F" w:rsidRDefault="00795735" w:rsidP="00165556">
      <w:pPr>
        <w:pStyle w:val="TOC3"/>
        <w:rPr>
          <w:noProof/>
        </w:rPr>
      </w:pPr>
      <w:r w:rsidRPr="00916223">
        <w:rPr>
          <w:noProof/>
        </w:rPr>
        <w:t>3.4.3</w:t>
      </w:r>
      <w:r w:rsidRPr="00B1096F">
        <w:rPr>
          <w:noProof/>
        </w:rPr>
        <w:tab/>
      </w:r>
      <w:r w:rsidRPr="00916223">
        <w:rPr>
          <w:noProof/>
        </w:rPr>
        <w:t>Application of mean epiphyseal fusion values for seriating epiphyses</w:t>
      </w:r>
      <w:r>
        <w:rPr>
          <w:noProof/>
          <w:webHidden/>
        </w:rPr>
        <w:tab/>
        <w:t>9</w:t>
      </w:r>
      <w:r w:rsidR="009348F3">
        <w:rPr>
          <w:noProof/>
          <w:webHidden/>
        </w:rPr>
        <w:t>6</w:t>
      </w:r>
    </w:p>
    <w:p w:rsidR="00795735" w:rsidRPr="00B1096F" w:rsidRDefault="00795735" w:rsidP="00165556">
      <w:pPr>
        <w:pStyle w:val="TOC3"/>
        <w:rPr>
          <w:noProof/>
        </w:rPr>
      </w:pPr>
      <w:r w:rsidRPr="00916223">
        <w:rPr>
          <w:noProof/>
        </w:rPr>
        <w:t>3.4.4</w:t>
      </w:r>
      <w:r w:rsidRPr="00B1096F">
        <w:rPr>
          <w:noProof/>
        </w:rPr>
        <w:tab/>
      </w:r>
      <w:r w:rsidR="00ED279C">
        <w:rPr>
          <w:noProof/>
        </w:rPr>
        <w:t>Estimation of age for fusion timing using dental score</w:t>
      </w:r>
      <w:r>
        <w:rPr>
          <w:noProof/>
          <w:webHidden/>
        </w:rPr>
        <w:tab/>
        <w:t>96</w:t>
      </w:r>
    </w:p>
    <w:p w:rsidR="00795735" w:rsidRPr="00B1096F" w:rsidRDefault="00795735" w:rsidP="00165556">
      <w:pPr>
        <w:pStyle w:val="TOC3"/>
        <w:rPr>
          <w:noProof/>
        </w:rPr>
      </w:pPr>
      <w:r w:rsidRPr="00916223">
        <w:rPr>
          <w:noProof/>
        </w:rPr>
        <w:t>3.4.5</w:t>
      </w:r>
      <w:r w:rsidRPr="00B1096F">
        <w:rPr>
          <w:noProof/>
        </w:rPr>
        <w:tab/>
      </w:r>
      <w:r w:rsidRPr="00916223">
        <w:rPr>
          <w:noProof/>
        </w:rPr>
        <w:t>Evaluating number of individuals at each stage and recoding results into three stages</w:t>
      </w:r>
      <w:r>
        <w:rPr>
          <w:noProof/>
          <w:webHidden/>
        </w:rPr>
        <w:tab/>
        <w:t>96</w:t>
      </w:r>
    </w:p>
    <w:p w:rsidR="00795735" w:rsidRPr="00B1096F" w:rsidRDefault="00795735" w:rsidP="00165556">
      <w:pPr>
        <w:pStyle w:val="TOC3"/>
        <w:rPr>
          <w:noProof/>
        </w:rPr>
      </w:pPr>
      <w:r w:rsidRPr="00916223">
        <w:rPr>
          <w:noProof/>
        </w:rPr>
        <w:t>3.4.6</w:t>
      </w:r>
      <w:r w:rsidRPr="00B1096F">
        <w:rPr>
          <w:noProof/>
        </w:rPr>
        <w:tab/>
      </w:r>
      <w:r w:rsidRPr="00916223">
        <w:rPr>
          <w:noProof/>
        </w:rPr>
        <w:t>Error analysis for epiphyseal fusion</w:t>
      </w:r>
      <w:r>
        <w:rPr>
          <w:noProof/>
          <w:webHidden/>
        </w:rPr>
        <w:tab/>
        <w:t>99</w:t>
      </w:r>
    </w:p>
    <w:p w:rsidR="00795735" w:rsidRDefault="00795735" w:rsidP="00165556">
      <w:pPr>
        <w:pStyle w:val="TOC2"/>
        <w:rPr>
          <w:rFonts w:asciiTheme="minorHAnsi" w:eastAsiaTheme="minorEastAsia" w:hAnsiTheme="minorHAnsi" w:cstheme="minorBidi"/>
          <w:noProof/>
          <w:lang w:val="en-GB" w:eastAsia="en-GB"/>
        </w:rPr>
      </w:pPr>
      <w:r w:rsidRPr="00916223">
        <w:rPr>
          <w:noProof/>
        </w:rPr>
        <w:t>3.5</w:t>
      </w:r>
      <w:r>
        <w:rPr>
          <w:rFonts w:asciiTheme="minorHAnsi" w:eastAsiaTheme="minorEastAsia" w:hAnsiTheme="minorHAnsi" w:cstheme="minorBidi"/>
          <w:noProof/>
          <w:lang w:val="en-GB" w:eastAsia="en-GB"/>
        </w:rPr>
        <w:tab/>
      </w:r>
      <w:r w:rsidRPr="00916223">
        <w:rPr>
          <w:noProof/>
        </w:rPr>
        <w:t>Methodology: Long-bone length analysis</w:t>
      </w:r>
      <w:r>
        <w:rPr>
          <w:noProof/>
          <w:webHidden/>
        </w:rPr>
        <w:tab/>
        <w:t>100</w:t>
      </w:r>
    </w:p>
    <w:p w:rsidR="00795735" w:rsidRPr="00B1096F" w:rsidRDefault="00795735" w:rsidP="00165556">
      <w:pPr>
        <w:pStyle w:val="TOC3"/>
        <w:rPr>
          <w:noProof/>
        </w:rPr>
      </w:pPr>
      <w:r w:rsidRPr="00916223">
        <w:rPr>
          <w:noProof/>
        </w:rPr>
        <w:t>3.5.1</w:t>
      </w:r>
      <w:r w:rsidRPr="00B1096F">
        <w:rPr>
          <w:noProof/>
        </w:rPr>
        <w:tab/>
      </w:r>
      <w:r w:rsidRPr="00916223">
        <w:rPr>
          <w:noProof/>
        </w:rPr>
        <w:t>Presence or absence of epiphyses and distribution of data by bone type</w:t>
      </w:r>
      <w:r>
        <w:rPr>
          <w:noProof/>
          <w:webHidden/>
        </w:rPr>
        <w:tab/>
        <w:t>100</w:t>
      </w:r>
    </w:p>
    <w:p w:rsidR="00795735" w:rsidRPr="00B1096F" w:rsidRDefault="00795735" w:rsidP="00165556">
      <w:pPr>
        <w:pStyle w:val="TOC3"/>
        <w:rPr>
          <w:noProof/>
        </w:rPr>
      </w:pPr>
      <w:r w:rsidRPr="00916223">
        <w:rPr>
          <w:noProof/>
        </w:rPr>
        <w:t>3.5.2</w:t>
      </w:r>
      <w:r w:rsidRPr="00B1096F">
        <w:rPr>
          <w:noProof/>
        </w:rPr>
        <w:tab/>
      </w:r>
      <w:r w:rsidRPr="00916223">
        <w:rPr>
          <w:noProof/>
        </w:rPr>
        <w:t>Investigating the possibility of lateralization</w:t>
      </w:r>
      <w:r>
        <w:rPr>
          <w:noProof/>
          <w:webHidden/>
        </w:rPr>
        <w:tab/>
        <w:t>104</w:t>
      </w:r>
    </w:p>
    <w:p w:rsidR="00795735" w:rsidRPr="00B1096F" w:rsidRDefault="00795735" w:rsidP="00165556">
      <w:pPr>
        <w:pStyle w:val="TOC3"/>
        <w:rPr>
          <w:noProof/>
        </w:rPr>
      </w:pPr>
      <w:r w:rsidRPr="00916223">
        <w:rPr>
          <w:noProof/>
        </w:rPr>
        <w:t>3.5.3</w:t>
      </w:r>
      <w:r w:rsidRPr="00B1096F">
        <w:rPr>
          <w:noProof/>
        </w:rPr>
        <w:tab/>
      </w:r>
      <w:r w:rsidRPr="00916223">
        <w:rPr>
          <w:noProof/>
        </w:rPr>
        <w:t>Combined sample variable and dental score 64 individuals</w:t>
      </w:r>
      <w:r>
        <w:rPr>
          <w:noProof/>
          <w:webHidden/>
        </w:rPr>
        <w:tab/>
        <w:t>108</w:t>
      </w:r>
    </w:p>
    <w:p w:rsidR="00795735" w:rsidRDefault="00795735" w:rsidP="00165556">
      <w:pPr>
        <w:pStyle w:val="TOC2"/>
        <w:rPr>
          <w:rFonts w:asciiTheme="minorHAnsi" w:eastAsiaTheme="minorEastAsia" w:hAnsiTheme="minorHAnsi" w:cstheme="minorBidi"/>
          <w:noProof/>
          <w:lang w:val="en-GB" w:eastAsia="en-GB"/>
        </w:rPr>
      </w:pPr>
      <w:r w:rsidRPr="00916223">
        <w:rPr>
          <w:noProof/>
        </w:rPr>
        <w:t>3.6</w:t>
      </w:r>
      <w:r>
        <w:rPr>
          <w:rFonts w:asciiTheme="minorHAnsi" w:eastAsiaTheme="minorEastAsia" w:hAnsiTheme="minorHAnsi" w:cstheme="minorBidi"/>
          <w:noProof/>
          <w:lang w:val="en-GB" w:eastAsia="en-GB"/>
        </w:rPr>
        <w:tab/>
      </w:r>
      <w:r w:rsidRPr="00916223">
        <w:rPr>
          <w:noProof/>
        </w:rPr>
        <w:t>The problem of presenting data in a comparable framework</w:t>
      </w:r>
      <w:r>
        <w:rPr>
          <w:noProof/>
          <w:webHidden/>
        </w:rPr>
        <w:tab/>
        <w:t>109</w:t>
      </w:r>
    </w:p>
    <w:p w:rsidR="00795735" w:rsidRDefault="00795735" w:rsidP="00165556">
      <w:pPr>
        <w:pStyle w:val="TOC2"/>
        <w:rPr>
          <w:rFonts w:asciiTheme="minorHAnsi" w:eastAsiaTheme="minorEastAsia" w:hAnsiTheme="minorHAnsi" w:cstheme="minorBidi"/>
          <w:noProof/>
          <w:lang w:val="en-GB" w:eastAsia="en-GB"/>
        </w:rPr>
      </w:pPr>
      <w:r w:rsidRPr="00916223">
        <w:rPr>
          <w:noProof/>
        </w:rPr>
        <w:t>3.7</w:t>
      </w:r>
      <w:r>
        <w:rPr>
          <w:rFonts w:asciiTheme="minorHAnsi" w:eastAsiaTheme="minorEastAsia" w:hAnsiTheme="minorHAnsi" w:cstheme="minorBidi"/>
          <w:noProof/>
          <w:lang w:val="en-GB" w:eastAsia="en-GB"/>
        </w:rPr>
        <w:tab/>
      </w:r>
      <w:r w:rsidRPr="00916223">
        <w:rPr>
          <w:noProof/>
        </w:rPr>
        <w:t>Organisation of results</w:t>
      </w:r>
      <w:r>
        <w:rPr>
          <w:noProof/>
          <w:webHidden/>
        </w:rPr>
        <w:tab/>
        <w:t>111</w:t>
      </w:r>
    </w:p>
    <w:p w:rsidR="00795735" w:rsidRDefault="00795735" w:rsidP="00165556">
      <w:pPr>
        <w:pStyle w:val="TOC3"/>
        <w:rPr>
          <w:rFonts w:asciiTheme="minorHAnsi" w:eastAsiaTheme="minorEastAsia" w:hAnsiTheme="minorHAnsi" w:cstheme="minorBidi"/>
          <w:noProof/>
          <w:lang w:val="en-GB" w:eastAsia="en-GB"/>
        </w:rPr>
      </w:pPr>
      <w:r w:rsidRPr="00916223">
        <w:rPr>
          <w:noProof/>
        </w:rPr>
        <w:t>3.7.1</w:t>
      </w:r>
      <w:r>
        <w:rPr>
          <w:rFonts w:asciiTheme="minorHAnsi" w:eastAsiaTheme="minorEastAsia" w:hAnsiTheme="minorHAnsi" w:cstheme="minorBidi"/>
          <w:noProof/>
          <w:lang w:val="en-GB" w:eastAsia="en-GB"/>
        </w:rPr>
        <w:tab/>
      </w:r>
      <w:r w:rsidRPr="00916223">
        <w:rPr>
          <w:noProof/>
        </w:rPr>
        <w:t>Standards of growth for chimpanzees and bonobos: Chapter 4</w:t>
      </w:r>
      <w:r>
        <w:rPr>
          <w:noProof/>
          <w:webHidden/>
        </w:rPr>
        <w:tab/>
        <w:t>111</w:t>
      </w:r>
    </w:p>
    <w:p w:rsidR="00795735" w:rsidRDefault="00795735" w:rsidP="00165556">
      <w:pPr>
        <w:pStyle w:val="TOC3"/>
        <w:rPr>
          <w:rFonts w:asciiTheme="minorHAnsi" w:eastAsiaTheme="minorEastAsia" w:hAnsiTheme="minorHAnsi" w:cstheme="minorBidi"/>
          <w:noProof/>
          <w:lang w:val="en-GB" w:eastAsia="en-GB"/>
        </w:rPr>
      </w:pPr>
      <w:r w:rsidRPr="00916223">
        <w:rPr>
          <w:noProof/>
        </w:rPr>
        <w:t>3.7.2</w:t>
      </w:r>
      <w:r>
        <w:rPr>
          <w:rFonts w:asciiTheme="minorHAnsi" w:eastAsiaTheme="minorEastAsia" w:hAnsiTheme="minorHAnsi" w:cstheme="minorBidi"/>
          <w:noProof/>
          <w:lang w:val="en-GB" w:eastAsia="en-GB"/>
        </w:rPr>
        <w:tab/>
      </w:r>
      <w:r w:rsidRPr="00916223">
        <w:rPr>
          <w:noProof/>
        </w:rPr>
        <w:t xml:space="preserve">Comparisons of growth standards of </w:t>
      </w:r>
      <w:r w:rsidRPr="00916223">
        <w:rPr>
          <w:i/>
          <w:noProof/>
        </w:rPr>
        <w:t>Pan</w:t>
      </w:r>
      <w:r w:rsidRPr="00916223">
        <w:rPr>
          <w:noProof/>
        </w:rPr>
        <w:t xml:space="preserve"> and </w:t>
      </w:r>
      <w:r w:rsidRPr="00916223">
        <w:rPr>
          <w:i/>
          <w:noProof/>
        </w:rPr>
        <w:t>Homo</w:t>
      </w:r>
      <w:r w:rsidRPr="00916223">
        <w:rPr>
          <w:noProof/>
        </w:rPr>
        <w:t>: Chapter 5</w:t>
      </w:r>
      <w:r>
        <w:rPr>
          <w:noProof/>
          <w:webHidden/>
        </w:rPr>
        <w:tab/>
        <w:t>113</w:t>
      </w:r>
    </w:p>
    <w:p w:rsidR="00795735" w:rsidRDefault="00795735" w:rsidP="00165556">
      <w:pPr>
        <w:pStyle w:val="TOC1"/>
        <w:rPr>
          <w:rFonts w:asciiTheme="minorHAnsi" w:eastAsiaTheme="minorEastAsia" w:hAnsiTheme="minorHAnsi" w:cstheme="minorBidi"/>
          <w:lang w:val="en-GB" w:eastAsia="en-GB"/>
        </w:rPr>
      </w:pPr>
      <w:r w:rsidRPr="00916223">
        <w:t>Chapter 4</w:t>
      </w:r>
      <w:r>
        <w:rPr>
          <w:rFonts w:asciiTheme="minorHAnsi" w:eastAsiaTheme="minorEastAsia" w:hAnsiTheme="minorHAnsi" w:cstheme="minorBidi"/>
          <w:lang w:val="en-GB" w:eastAsia="en-GB"/>
        </w:rPr>
        <w:t xml:space="preserve"> </w:t>
      </w:r>
      <w:r w:rsidRPr="00916223">
        <w:t>Results – Standards of growth for chimpanzees and bonobos</w:t>
      </w:r>
      <w:r>
        <w:rPr>
          <w:webHidden/>
        </w:rPr>
        <w:tab/>
      </w:r>
      <w:r w:rsidRPr="00795735">
        <w:rPr>
          <w:webHidden/>
        </w:rPr>
        <w:t>114</w:t>
      </w:r>
    </w:p>
    <w:p w:rsidR="00795735" w:rsidRDefault="00795735" w:rsidP="00165556">
      <w:pPr>
        <w:pStyle w:val="TOC2"/>
        <w:rPr>
          <w:rFonts w:asciiTheme="minorHAnsi" w:eastAsiaTheme="minorEastAsia" w:hAnsiTheme="minorHAnsi" w:cstheme="minorBidi"/>
          <w:noProof/>
          <w:lang w:val="en-GB" w:eastAsia="en-GB"/>
        </w:rPr>
      </w:pPr>
      <w:r w:rsidRPr="00916223">
        <w:rPr>
          <w:noProof/>
        </w:rPr>
        <w:t>4.1</w:t>
      </w:r>
      <w:r>
        <w:rPr>
          <w:rFonts w:asciiTheme="minorHAnsi" w:eastAsiaTheme="minorEastAsia" w:hAnsiTheme="minorHAnsi" w:cstheme="minorBidi"/>
          <w:noProof/>
          <w:lang w:val="en-GB" w:eastAsia="en-GB"/>
        </w:rPr>
        <w:tab/>
      </w:r>
      <w:r w:rsidRPr="00916223">
        <w:rPr>
          <w:noProof/>
        </w:rPr>
        <w:t>Growth rate of long-bones as a function of dental score</w:t>
      </w:r>
      <w:r>
        <w:rPr>
          <w:noProof/>
          <w:webHidden/>
        </w:rPr>
        <w:tab/>
        <w:t>114</w:t>
      </w:r>
    </w:p>
    <w:p w:rsidR="00795735" w:rsidRDefault="00795735" w:rsidP="00165556">
      <w:pPr>
        <w:pStyle w:val="TOC3"/>
        <w:rPr>
          <w:rFonts w:asciiTheme="minorHAnsi" w:eastAsiaTheme="minorEastAsia" w:hAnsiTheme="minorHAnsi" w:cstheme="minorBidi"/>
          <w:noProof/>
          <w:lang w:val="en-GB" w:eastAsia="en-GB"/>
        </w:rPr>
      </w:pPr>
      <w:r w:rsidRPr="00916223">
        <w:rPr>
          <w:noProof/>
        </w:rPr>
        <w:t>4.1.1</w:t>
      </w:r>
      <w:r>
        <w:rPr>
          <w:rFonts w:asciiTheme="minorHAnsi" w:eastAsiaTheme="minorEastAsia" w:hAnsiTheme="minorHAnsi" w:cstheme="minorBidi"/>
          <w:noProof/>
          <w:lang w:val="en-GB" w:eastAsia="en-GB"/>
        </w:rPr>
        <w:tab/>
      </w:r>
      <w:r>
        <w:t xml:space="preserve">Analysis of growth rate as a function of dental score using </w:t>
      </w:r>
      <w:r w:rsidRPr="00535F62">
        <w:t>regression</w:t>
      </w:r>
      <w:r>
        <w:t xml:space="preserve"> analysis</w:t>
      </w:r>
      <w:r>
        <w:rPr>
          <w:noProof/>
          <w:webHidden/>
        </w:rPr>
        <w:tab/>
        <w:t>114</w:t>
      </w:r>
    </w:p>
    <w:p w:rsidR="00795735" w:rsidRDefault="00795735" w:rsidP="00165556">
      <w:pPr>
        <w:pStyle w:val="TOC2"/>
        <w:rPr>
          <w:rFonts w:asciiTheme="minorHAnsi" w:eastAsiaTheme="minorEastAsia" w:hAnsiTheme="minorHAnsi" w:cstheme="minorBidi"/>
          <w:noProof/>
          <w:lang w:val="en-GB" w:eastAsia="en-GB"/>
        </w:rPr>
      </w:pPr>
      <w:r w:rsidRPr="00916223">
        <w:rPr>
          <w:noProof/>
        </w:rPr>
        <w:t>4.2</w:t>
      </w:r>
      <w:r>
        <w:rPr>
          <w:rFonts w:asciiTheme="minorHAnsi" w:eastAsiaTheme="minorEastAsia" w:hAnsiTheme="minorHAnsi" w:cstheme="minorBidi"/>
          <w:noProof/>
          <w:lang w:val="en-GB" w:eastAsia="en-GB"/>
        </w:rPr>
        <w:tab/>
      </w:r>
      <w:r w:rsidRPr="00916223">
        <w:rPr>
          <w:noProof/>
        </w:rPr>
        <w:t>Analysis of epiphyseal fusion sequences</w:t>
      </w:r>
      <w:r>
        <w:rPr>
          <w:noProof/>
          <w:webHidden/>
        </w:rPr>
        <w:tab/>
        <w:t>118</w:t>
      </w:r>
    </w:p>
    <w:p w:rsidR="00795735" w:rsidRDefault="00795735" w:rsidP="00165556">
      <w:pPr>
        <w:pStyle w:val="TOC3"/>
        <w:rPr>
          <w:rFonts w:asciiTheme="minorHAnsi" w:eastAsiaTheme="minorEastAsia" w:hAnsiTheme="minorHAnsi" w:cstheme="minorBidi"/>
          <w:noProof/>
          <w:lang w:val="en-GB" w:eastAsia="en-GB"/>
        </w:rPr>
      </w:pPr>
      <w:r w:rsidRPr="00916223">
        <w:rPr>
          <w:noProof/>
        </w:rPr>
        <w:lastRenderedPageBreak/>
        <w:t>4.2.1</w:t>
      </w:r>
      <w:r>
        <w:rPr>
          <w:rFonts w:asciiTheme="minorHAnsi" w:eastAsiaTheme="minorEastAsia" w:hAnsiTheme="minorHAnsi" w:cstheme="minorBidi"/>
          <w:noProof/>
          <w:lang w:val="en-GB" w:eastAsia="en-GB"/>
        </w:rPr>
        <w:tab/>
      </w:r>
      <w:r w:rsidRPr="00916223">
        <w:rPr>
          <w:noProof/>
        </w:rPr>
        <w:t>Comparing epiphyseal fusion sequences to dental score</w:t>
      </w:r>
      <w:r>
        <w:rPr>
          <w:noProof/>
          <w:webHidden/>
        </w:rPr>
        <w:tab/>
        <w:t>118</w:t>
      </w:r>
    </w:p>
    <w:p w:rsidR="00795735" w:rsidRDefault="00795735" w:rsidP="00165556">
      <w:pPr>
        <w:pStyle w:val="TOC3"/>
        <w:rPr>
          <w:rFonts w:asciiTheme="minorHAnsi" w:eastAsiaTheme="minorEastAsia" w:hAnsiTheme="minorHAnsi" w:cstheme="minorBidi"/>
          <w:noProof/>
          <w:lang w:val="en-GB" w:eastAsia="en-GB"/>
        </w:rPr>
      </w:pPr>
      <w:r w:rsidRPr="00916223">
        <w:rPr>
          <w:noProof/>
        </w:rPr>
        <w:t>4.2.2</w:t>
      </w:r>
      <w:r>
        <w:rPr>
          <w:rFonts w:asciiTheme="minorHAnsi" w:eastAsiaTheme="minorEastAsia" w:hAnsiTheme="minorHAnsi" w:cstheme="minorBidi"/>
          <w:noProof/>
          <w:lang w:val="en-GB" w:eastAsia="en-GB"/>
        </w:rPr>
        <w:tab/>
      </w:r>
      <w:r w:rsidRPr="00916223">
        <w:rPr>
          <w:noProof/>
        </w:rPr>
        <w:t>Producing a seriation of epiphyseal fusion sequences</w:t>
      </w:r>
      <w:r>
        <w:rPr>
          <w:noProof/>
          <w:webHidden/>
        </w:rPr>
        <w:tab/>
        <w:t>133</w:t>
      </w:r>
    </w:p>
    <w:p w:rsidR="00795735" w:rsidRDefault="00795735" w:rsidP="00165556">
      <w:pPr>
        <w:pStyle w:val="TOC2"/>
        <w:rPr>
          <w:rFonts w:asciiTheme="minorHAnsi" w:eastAsiaTheme="minorEastAsia" w:hAnsiTheme="minorHAnsi" w:cstheme="minorBidi"/>
          <w:noProof/>
          <w:lang w:val="en-GB" w:eastAsia="en-GB"/>
        </w:rPr>
      </w:pPr>
      <w:r w:rsidRPr="00916223">
        <w:rPr>
          <w:noProof/>
        </w:rPr>
        <w:t>4.3</w:t>
      </w:r>
      <w:r>
        <w:rPr>
          <w:rFonts w:asciiTheme="minorHAnsi" w:eastAsiaTheme="minorEastAsia" w:hAnsiTheme="minorHAnsi" w:cstheme="minorBidi"/>
          <w:noProof/>
          <w:lang w:val="en-GB" w:eastAsia="en-GB"/>
        </w:rPr>
        <w:tab/>
      </w:r>
      <w:r w:rsidRPr="00916223">
        <w:rPr>
          <w:noProof/>
        </w:rPr>
        <w:t xml:space="preserve">Analysis of allometric relationships within </w:t>
      </w:r>
      <w:r w:rsidRPr="00916223">
        <w:rPr>
          <w:i/>
          <w:noProof/>
        </w:rPr>
        <w:t>Pan</w:t>
      </w:r>
      <w:r>
        <w:rPr>
          <w:noProof/>
          <w:webHidden/>
        </w:rPr>
        <w:tab/>
        <w:t>15</w:t>
      </w:r>
      <w:r w:rsidR="002C094A">
        <w:rPr>
          <w:noProof/>
          <w:webHidden/>
        </w:rPr>
        <w:t>7</w:t>
      </w:r>
    </w:p>
    <w:p w:rsidR="00795735" w:rsidRDefault="00795735" w:rsidP="00165556">
      <w:pPr>
        <w:pStyle w:val="TOC3"/>
        <w:rPr>
          <w:rFonts w:asciiTheme="minorHAnsi" w:eastAsiaTheme="minorEastAsia" w:hAnsiTheme="minorHAnsi" w:cstheme="minorBidi"/>
          <w:noProof/>
          <w:lang w:val="en-GB" w:eastAsia="en-GB"/>
        </w:rPr>
      </w:pPr>
      <w:r w:rsidRPr="00916223">
        <w:rPr>
          <w:noProof/>
        </w:rPr>
        <w:t>4.3.1</w:t>
      </w:r>
      <w:r>
        <w:rPr>
          <w:rFonts w:asciiTheme="minorHAnsi" w:eastAsiaTheme="minorEastAsia" w:hAnsiTheme="minorHAnsi" w:cstheme="minorBidi"/>
          <w:noProof/>
          <w:lang w:val="en-GB" w:eastAsia="en-GB"/>
        </w:rPr>
        <w:tab/>
      </w:r>
      <w:r w:rsidRPr="00916223">
        <w:rPr>
          <w:noProof/>
        </w:rPr>
        <w:t xml:space="preserve">Confirming allometric relationships established in the past and adding new sub-species of </w:t>
      </w:r>
      <w:r w:rsidRPr="00916223">
        <w:rPr>
          <w:i/>
          <w:noProof/>
        </w:rPr>
        <w:t>Pan</w:t>
      </w:r>
      <w:r>
        <w:rPr>
          <w:noProof/>
          <w:webHidden/>
        </w:rPr>
        <w:tab/>
        <w:t>15</w:t>
      </w:r>
      <w:r w:rsidR="002C094A">
        <w:rPr>
          <w:noProof/>
          <w:webHidden/>
        </w:rPr>
        <w:t>7</w:t>
      </w:r>
    </w:p>
    <w:p w:rsidR="00795735" w:rsidRDefault="00795735" w:rsidP="00165556">
      <w:pPr>
        <w:pStyle w:val="TOC3"/>
        <w:rPr>
          <w:rFonts w:asciiTheme="minorHAnsi" w:eastAsiaTheme="minorEastAsia" w:hAnsiTheme="minorHAnsi" w:cstheme="minorBidi"/>
          <w:noProof/>
          <w:lang w:val="en-GB" w:eastAsia="en-GB"/>
        </w:rPr>
      </w:pPr>
      <w:r w:rsidRPr="00916223">
        <w:rPr>
          <w:noProof/>
        </w:rPr>
        <w:t>4.3.2</w:t>
      </w:r>
      <w:r>
        <w:rPr>
          <w:rFonts w:asciiTheme="minorHAnsi" w:eastAsiaTheme="minorEastAsia" w:hAnsiTheme="minorHAnsi" w:cstheme="minorBidi"/>
          <w:noProof/>
          <w:lang w:val="en-GB" w:eastAsia="en-GB"/>
        </w:rPr>
        <w:tab/>
      </w:r>
      <w:r w:rsidRPr="00916223">
        <w:rPr>
          <w:noProof/>
        </w:rPr>
        <w:t>Regression of serially homologous limb elements</w:t>
      </w:r>
      <w:r>
        <w:rPr>
          <w:noProof/>
          <w:webHidden/>
        </w:rPr>
        <w:tab/>
        <w:t>16</w:t>
      </w:r>
      <w:r w:rsidR="002C094A">
        <w:rPr>
          <w:noProof/>
          <w:webHidden/>
        </w:rPr>
        <w:t>1</w:t>
      </w:r>
    </w:p>
    <w:p w:rsidR="00795735" w:rsidRDefault="00795735" w:rsidP="00165556">
      <w:pPr>
        <w:pStyle w:val="TOC2"/>
        <w:rPr>
          <w:rFonts w:asciiTheme="minorHAnsi" w:eastAsiaTheme="minorEastAsia" w:hAnsiTheme="minorHAnsi" w:cstheme="minorBidi"/>
          <w:noProof/>
          <w:lang w:val="en-GB" w:eastAsia="en-GB"/>
        </w:rPr>
      </w:pPr>
      <w:r w:rsidRPr="00916223">
        <w:rPr>
          <w:noProof/>
        </w:rPr>
        <w:t>4.4</w:t>
      </w:r>
      <w:r>
        <w:rPr>
          <w:rFonts w:asciiTheme="minorHAnsi" w:eastAsiaTheme="minorEastAsia" w:hAnsiTheme="minorHAnsi" w:cstheme="minorBidi"/>
          <w:noProof/>
          <w:lang w:val="en-GB" w:eastAsia="en-GB"/>
        </w:rPr>
        <w:tab/>
      </w:r>
      <w:r w:rsidRPr="00916223">
        <w:rPr>
          <w:noProof/>
        </w:rPr>
        <w:t>Calendar year estimation of epiphyseal fusion events for comparability to other studies.</w:t>
      </w:r>
      <w:r>
        <w:rPr>
          <w:noProof/>
          <w:webHidden/>
        </w:rPr>
        <w:tab/>
        <w:t>16</w:t>
      </w:r>
      <w:r w:rsidR="002C094A">
        <w:rPr>
          <w:noProof/>
          <w:webHidden/>
        </w:rPr>
        <w:t>2</w:t>
      </w:r>
    </w:p>
    <w:p w:rsidR="00795735" w:rsidRDefault="00795735" w:rsidP="00165556">
      <w:pPr>
        <w:pStyle w:val="TOC2"/>
        <w:rPr>
          <w:rFonts w:asciiTheme="minorHAnsi" w:eastAsiaTheme="minorEastAsia" w:hAnsiTheme="minorHAnsi" w:cstheme="minorBidi"/>
          <w:noProof/>
          <w:lang w:val="en-GB" w:eastAsia="en-GB"/>
        </w:rPr>
      </w:pPr>
      <w:r w:rsidRPr="00916223">
        <w:rPr>
          <w:noProof/>
        </w:rPr>
        <w:t>4.5</w:t>
      </w:r>
      <w:r>
        <w:rPr>
          <w:rFonts w:asciiTheme="minorHAnsi" w:eastAsiaTheme="minorEastAsia" w:hAnsiTheme="minorHAnsi" w:cstheme="minorBidi"/>
          <w:noProof/>
          <w:lang w:val="en-GB" w:eastAsia="en-GB"/>
        </w:rPr>
        <w:tab/>
      </w:r>
      <w:r w:rsidRPr="00916223">
        <w:rPr>
          <w:noProof/>
        </w:rPr>
        <w:t>Summary of standards of growth for chimpanzees and bonobos</w:t>
      </w:r>
      <w:r>
        <w:rPr>
          <w:noProof/>
          <w:webHidden/>
        </w:rPr>
        <w:tab/>
        <w:t>1</w:t>
      </w:r>
      <w:r w:rsidR="002C094A">
        <w:rPr>
          <w:noProof/>
          <w:webHidden/>
        </w:rPr>
        <w:t>69</w:t>
      </w:r>
    </w:p>
    <w:p w:rsidR="00795735" w:rsidRDefault="00795735" w:rsidP="00165556">
      <w:pPr>
        <w:pStyle w:val="TOC3"/>
        <w:rPr>
          <w:rFonts w:asciiTheme="minorHAnsi" w:eastAsiaTheme="minorEastAsia" w:hAnsiTheme="minorHAnsi" w:cstheme="minorBidi"/>
          <w:noProof/>
          <w:lang w:val="en-GB" w:eastAsia="en-GB"/>
        </w:rPr>
      </w:pPr>
      <w:r w:rsidRPr="00916223">
        <w:rPr>
          <w:noProof/>
        </w:rPr>
        <w:t>4.5.1</w:t>
      </w:r>
      <w:r>
        <w:rPr>
          <w:rFonts w:asciiTheme="minorHAnsi" w:eastAsiaTheme="minorEastAsia" w:hAnsiTheme="minorHAnsi" w:cstheme="minorBidi"/>
          <w:noProof/>
          <w:lang w:val="en-GB" w:eastAsia="en-GB"/>
        </w:rPr>
        <w:tab/>
      </w:r>
      <w:r w:rsidRPr="00916223">
        <w:rPr>
          <w:noProof/>
        </w:rPr>
        <w:t>Growth Rate</w:t>
      </w:r>
      <w:r>
        <w:rPr>
          <w:noProof/>
          <w:webHidden/>
        </w:rPr>
        <w:tab/>
        <w:t>1</w:t>
      </w:r>
      <w:r w:rsidR="002C094A">
        <w:rPr>
          <w:noProof/>
          <w:webHidden/>
        </w:rPr>
        <w:t>69</w:t>
      </w:r>
    </w:p>
    <w:p w:rsidR="00795735" w:rsidRDefault="00795735" w:rsidP="00165556">
      <w:pPr>
        <w:pStyle w:val="TOC3"/>
        <w:rPr>
          <w:rFonts w:asciiTheme="minorHAnsi" w:eastAsiaTheme="minorEastAsia" w:hAnsiTheme="minorHAnsi" w:cstheme="minorBidi"/>
          <w:noProof/>
          <w:lang w:val="en-GB" w:eastAsia="en-GB"/>
        </w:rPr>
      </w:pPr>
      <w:r w:rsidRPr="00916223">
        <w:rPr>
          <w:noProof/>
        </w:rPr>
        <w:t>4.5.2</w:t>
      </w:r>
      <w:r>
        <w:rPr>
          <w:rFonts w:asciiTheme="minorHAnsi" w:eastAsiaTheme="minorEastAsia" w:hAnsiTheme="minorHAnsi" w:cstheme="minorBidi"/>
          <w:noProof/>
          <w:lang w:val="en-GB" w:eastAsia="en-GB"/>
        </w:rPr>
        <w:tab/>
      </w:r>
      <w:r w:rsidRPr="00916223">
        <w:rPr>
          <w:noProof/>
        </w:rPr>
        <w:t>Sequence of fusion events</w:t>
      </w:r>
      <w:r>
        <w:rPr>
          <w:noProof/>
          <w:webHidden/>
        </w:rPr>
        <w:tab/>
        <w:t>1</w:t>
      </w:r>
      <w:r w:rsidR="002C094A">
        <w:rPr>
          <w:noProof/>
          <w:webHidden/>
        </w:rPr>
        <w:t>69</w:t>
      </w:r>
    </w:p>
    <w:p w:rsidR="00795735" w:rsidRDefault="00795735" w:rsidP="00165556">
      <w:pPr>
        <w:pStyle w:val="TOC3"/>
        <w:rPr>
          <w:rFonts w:asciiTheme="minorHAnsi" w:eastAsiaTheme="minorEastAsia" w:hAnsiTheme="minorHAnsi" w:cstheme="minorBidi"/>
          <w:noProof/>
          <w:lang w:val="en-GB" w:eastAsia="en-GB"/>
        </w:rPr>
      </w:pPr>
      <w:r w:rsidRPr="00916223">
        <w:rPr>
          <w:noProof/>
        </w:rPr>
        <w:t>4.5.3</w:t>
      </w:r>
      <w:r>
        <w:rPr>
          <w:rFonts w:asciiTheme="minorHAnsi" w:eastAsiaTheme="minorEastAsia" w:hAnsiTheme="minorHAnsi" w:cstheme="minorBidi"/>
          <w:noProof/>
          <w:lang w:val="en-GB" w:eastAsia="en-GB"/>
        </w:rPr>
        <w:tab/>
      </w:r>
      <w:r w:rsidRPr="00916223">
        <w:rPr>
          <w:noProof/>
        </w:rPr>
        <w:t>Analysis of allometry</w:t>
      </w:r>
      <w:r>
        <w:rPr>
          <w:noProof/>
          <w:webHidden/>
        </w:rPr>
        <w:tab/>
        <w:t>1</w:t>
      </w:r>
      <w:r w:rsidR="002C094A">
        <w:rPr>
          <w:noProof/>
          <w:webHidden/>
        </w:rPr>
        <w:t>69</w:t>
      </w:r>
    </w:p>
    <w:p w:rsidR="00795735" w:rsidRDefault="00795735" w:rsidP="00165556">
      <w:pPr>
        <w:pStyle w:val="TOC3"/>
        <w:rPr>
          <w:rFonts w:asciiTheme="minorHAnsi" w:eastAsiaTheme="minorEastAsia" w:hAnsiTheme="minorHAnsi" w:cstheme="minorBidi"/>
          <w:noProof/>
          <w:lang w:val="en-GB" w:eastAsia="en-GB"/>
        </w:rPr>
      </w:pPr>
      <w:r w:rsidRPr="00916223">
        <w:rPr>
          <w:noProof/>
        </w:rPr>
        <w:t>4.5.4</w:t>
      </w:r>
      <w:r>
        <w:rPr>
          <w:rFonts w:asciiTheme="minorHAnsi" w:eastAsiaTheme="minorEastAsia" w:hAnsiTheme="minorHAnsi" w:cstheme="minorBidi"/>
          <w:noProof/>
          <w:lang w:val="en-GB" w:eastAsia="en-GB"/>
        </w:rPr>
        <w:tab/>
      </w:r>
      <w:r w:rsidRPr="00916223">
        <w:rPr>
          <w:noProof/>
        </w:rPr>
        <w:t>Estimation of age for fusion in chronological years for comparability to prior studies</w:t>
      </w:r>
      <w:r>
        <w:rPr>
          <w:noProof/>
          <w:webHidden/>
        </w:rPr>
        <w:tab/>
        <w:t>1</w:t>
      </w:r>
      <w:r w:rsidR="002C094A">
        <w:rPr>
          <w:noProof/>
          <w:webHidden/>
        </w:rPr>
        <w:t>69</w:t>
      </w:r>
    </w:p>
    <w:p w:rsidR="00795735" w:rsidRDefault="00795735" w:rsidP="00165556">
      <w:pPr>
        <w:pStyle w:val="TOC1"/>
        <w:rPr>
          <w:rFonts w:asciiTheme="minorHAnsi" w:eastAsiaTheme="minorEastAsia" w:hAnsiTheme="minorHAnsi" w:cstheme="minorBidi"/>
          <w:lang w:val="en-GB" w:eastAsia="en-GB"/>
        </w:rPr>
      </w:pPr>
      <w:r w:rsidRPr="00916223">
        <w:t>Chapter 5</w:t>
      </w:r>
      <w:r>
        <w:rPr>
          <w:rFonts w:asciiTheme="minorHAnsi" w:eastAsiaTheme="minorEastAsia" w:hAnsiTheme="minorHAnsi" w:cstheme="minorBidi"/>
          <w:lang w:val="en-GB" w:eastAsia="en-GB"/>
        </w:rPr>
        <w:t xml:space="preserve"> </w:t>
      </w:r>
      <w:r w:rsidRPr="00916223">
        <w:t xml:space="preserve">Results – Comparisons of growth standards between </w:t>
      </w:r>
      <w:r w:rsidRPr="00916223">
        <w:rPr>
          <w:i/>
        </w:rPr>
        <w:t>Pan</w:t>
      </w:r>
      <w:r w:rsidRPr="00916223">
        <w:t xml:space="preserve"> and </w:t>
      </w:r>
      <w:r w:rsidRPr="00916223">
        <w:rPr>
          <w:i/>
        </w:rPr>
        <w:t>Homo</w:t>
      </w:r>
      <w:r>
        <w:rPr>
          <w:webHidden/>
        </w:rPr>
        <w:tab/>
      </w:r>
      <w:r w:rsidRPr="00795735">
        <w:rPr>
          <w:webHidden/>
        </w:rPr>
        <w:t>17</w:t>
      </w:r>
      <w:r w:rsidR="002C094A">
        <w:rPr>
          <w:webHidden/>
        </w:rPr>
        <w:t>0</w:t>
      </w:r>
    </w:p>
    <w:p w:rsidR="00795735" w:rsidRDefault="00795735" w:rsidP="00165556">
      <w:pPr>
        <w:pStyle w:val="TOC2"/>
        <w:rPr>
          <w:rFonts w:asciiTheme="minorHAnsi" w:eastAsiaTheme="minorEastAsia" w:hAnsiTheme="minorHAnsi" w:cstheme="minorBidi"/>
          <w:noProof/>
          <w:lang w:val="en-GB" w:eastAsia="en-GB"/>
        </w:rPr>
      </w:pPr>
      <w:r w:rsidRPr="00916223">
        <w:rPr>
          <w:noProof/>
        </w:rPr>
        <w:t>5.1</w:t>
      </w:r>
      <w:r>
        <w:rPr>
          <w:rFonts w:asciiTheme="minorHAnsi" w:eastAsiaTheme="minorEastAsia" w:hAnsiTheme="minorHAnsi" w:cstheme="minorBidi"/>
          <w:noProof/>
          <w:lang w:val="en-GB" w:eastAsia="en-GB"/>
        </w:rPr>
        <w:tab/>
      </w:r>
      <w:r w:rsidRPr="00916223">
        <w:rPr>
          <w:noProof/>
        </w:rPr>
        <w:t>Comparison of human and chimpanzee epiphyseal fusion sequences</w:t>
      </w:r>
      <w:r>
        <w:rPr>
          <w:noProof/>
          <w:webHidden/>
        </w:rPr>
        <w:tab/>
        <w:t>17</w:t>
      </w:r>
      <w:r w:rsidR="002C094A">
        <w:rPr>
          <w:noProof/>
          <w:webHidden/>
        </w:rPr>
        <w:t>0</w:t>
      </w:r>
    </w:p>
    <w:p w:rsidR="00795735" w:rsidRDefault="00795735" w:rsidP="00165556">
      <w:pPr>
        <w:pStyle w:val="TOC3"/>
        <w:rPr>
          <w:rFonts w:asciiTheme="minorHAnsi" w:eastAsiaTheme="minorEastAsia" w:hAnsiTheme="minorHAnsi" w:cstheme="minorBidi"/>
          <w:noProof/>
          <w:lang w:val="en-GB" w:eastAsia="en-GB"/>
        </w:rPr>
      </w:pPr>
      <w:r w:rsidRPr="00916223">
        <w:rPr>
          <w:noProof/>
        </w:rPr>
        <w:t>5.1.1</w:t>
      </w:r>
      <w:r>
        <w:rPr>
          <w:rFonts w:asciiTheme="minorHAnsi" w:eastAsiaTheme="minorEastAsia" w:hAnsiTheme="minorHAnsi" w:cstheme="minorBidi"/>
          <w:noProof/>
          <w:lang w:val="en-GB" w:eastAsia="en-GB"/>
        </w:rPr>
        <w:tab/>
      </w:r>
      <w:r w:rsidRPr="00916223">
        <w:rPr>
          <w:noProof/>
        </w:rPr>
        <w:t>Comparison of modular sequence patterns to Schaefer and Black (2007)</w:t>
      </w:r>
      <w:r>
        <w:rPr>
          <w:noProof/>
          <w:webHidden/>
        </w:rPr>
        <w:tab/>
        <w:t>17</w:t>
      </w:r>
      <w:r w:rsidR="002C094A">
        <w:rPr>
          <w:noProof/>
          <w:webHidden/>
        </w:rPr>
        <w:t>0</w:t>
      </w:r>
    </w:p>
    <w:p w:rsidR="00795735" w:rsidRDefault="00795735" w:rsidP="00165556">
      <w:pPr>
        <w:pStyle w:val="TOC3"/>
        <w:rPr>
          <w:rFonts w:asciiTheme="minorHAnsi" w:eastAsiaTheme="minorEastAsia" w:hAnsiTheme="minorHAnsi" w:cstheme="minorBidi"/>
          <w:noProof/>
          <w:lang w:val="en-GB" w:eastAsia="en-GB"/>
        </w:rPr>
      </w:pPr>
      <w:r w:rsidRPr="00916223">
        <w:rPr>
          <w:noProof/>
        </w:rPr>
        <w:t>5.1.2</w:t>
      </w:r>
      <w:r>
        <w:rPr>
          <w:rFonts w:asciiTheme="minorHAnsi" w:eastAsiaTheme="minorEastAsia" w:hAnsiTheme="minorHAnsi" w:cstheme="minorBidi"/>
          <w:noProof/>
          <w:lang w:val="en-GB" w:eastAsia="en-GB"/>
        </w:rPr>
        <w:tab/>
      </w:r>
      <w:r w:rsidRPr="00916223">
        <w:rPr>
          <w:noProof/>
        </w:rPr>
        <w:t>Comparison of mean epiphyseal fusion sequence patterns to Schaefer and Black (2007)</w:t>
      </w:r>
      <w:r>
        <w:rPr>
          <w:noProof/>
          <w:webHidden/>
        </w:rPr>
        <w:tab/>
        <w:t>17</w:t>
      </w:r>
      <w:r w:rsidR="002C094A">
        <w:rPr>
          <w:noProof/>
          <w:webHidden/>
        </w:rPr>
        <w:t>6</w:t>
      </w:r>
    </w:p>
    <w:p w:rsidR="00795735" w:rsidRDefault="00795735" w:rsidP="00165556">
      <w:pPr>
        <w:pStyle w:val="TOC2"/>
        <w:rPr>
          <w:rFonts w:asciiTheme="minorHAnsi" w:eastAsiaTheme="minorEastAsia" w:hAnsiTheme="minorHAnsi" w:cstheme="minorBidi"/>
          <w:noProof/>
          <w:lang w:val="en-GB" w:eastAsia="en-GB"/>
        </w:rPr>
      </w:pPr>
      <w:r w:rsidRPr="00916223">
        <w:rPr>
          <w:noProof/>
        </w:rPr>
        <w:t>5.2</w:t>
      </w:r>
      <w:r>
        <w:rPr>
          <w:rFonts w:asciiTheme="minorHAnsi" w:eastAsiaTheme="minorEastAsia" w:hAnsiTheme="minorHAnsi" w:cstheme="minorBidi"/>
          <w:noProof/>
          <w:lang w:val="en-GB" w:eastAsia="en-GB"/>
        </w:rPr>
        <w:tab/>
      </w:r>
      <w:r w:rsidRPr="00916223">
        <w:rPr>
          <w:noProof/>
        </w:rPr>
        <w:t>Comparisons between epiphyseal fusion sequences and dental sequences</w:t>
      </w:r>
      <w:r>
        <w:rPr>
          <w:noProof/>
          <w:webHidden/>
        </w:rPr>
        <w:tab/>
        <w:t>17</w:t>
      </w:r>
      <w:r w:rsidR="002C094A">
        <w:rPr>
          <w:noProof/>
          <w:webHidden/>
        </w:rPr>
        <w:t>7</w:t>
      </w:r>
    </w:p>
    <w:p w:rsidR="00795735" w:rsidRDefault="00795735" w:rsidP="00165556">
      <w:pPr>
        <w:pStyle w:val="TOC2"/>
        <w:rPr>
          <w:rFonts w:asciiTheme="minorHAnsi" w:eastAsiaTheme="minorEastAsia" w:hAnsiTheme="minorHAnsi" w:cstheme="minorBidi"/>
          <w:noProof/>
          <w:lang w:val="en-GB" w:eastAsia="en-GB"/>
        </w:rPr>
      </w:pPr>
      <w:r w:rsidRPr="00916223">
        <w:rPr>
          <w:noProof/>
        </w:rPr>
        <w:t>5.3</w:t>
      </w:r>
      <w:r>
        <w:rPr>
          <w:rFonts w:asciiTheme="minorHAnsi" w:eastAsiaTheme="minorEastAsia" w:hAnsiTheme="minorHAnsi" w:cstheme="minorBidi"/>
          <w:noProof/>
          <w:lang w:val="en-GB" w:eastAsia="en-GB"/>
        </w:rPr>
        <w:tab/>
      </w:r>
      <w:r w:rsidRPr="00916223">
        <w:rPr>
          <w:noProof/>
        </w:rPr>
        <w:t>Epiphyseal fusion as a proportion of long-bone length</w:t>
      </w:r>
      <w:r>
        <w:rPr>
          <w:noProof/>
          <w:webHidden/>
        </w:rPr>
        <w:tab/>
        <w:t>18</w:t>
      </w:r>
      <w:r w:rsidR="002C094A">
        <w:rPr>
          <w:noProof/>
          <w:webHidden/>
        </w:rPr>
        <w:t>3</w:t>
      </w:r>
    </w:p>
    <w:p w:rsidR="00795735" w:rsidRDefault="00795735" w:rsidP="00165556">
      <w:pPr>
        <w:pStyle w:val="TOC2"/>
        <w:rPr>
          <w:rFonts w:asciiTheme="minorHAnsi" w:eastAsiaTheme="minorEastAsia" w:hAnsiTheme="minorHAnsi" w:cstheme="minorBidi"/>
          <w:noProof/>
          <w:lang w:val="en-GB" w:eastAsia="en-GB"/>
        </w:rPr>
      </w:pPr>
      <w:r w:rsidRPr="00916223">
        <w:rPr>
          <w:noProof/>
        </w:rPr>
        <w:t>5.4</w:t>
      </w:r>
      <w:r>
        <w:rPr>
          <w:rFonts w:asciiTheme="minorHAnsi" w:eastAsiaTheme="minorEastAsia" w:hAnsiTheme="minorHAnsi" w:cstheme="minorBidi"/>
          <w:noProof/>
          <w:lang w:val="en-GB" w:eastAsia="en-GB"/>
        </w:rPr>
        <w:tab/>
      </w:r>
      <w:r w:rsidRPr="00916223">
        <w:rPr>
          <w:noProof/>
        </w:rPr>
        <w:t xml:space="preserve">Summary of comparisons of growth standards between </w:t>
      </w:r>
      <w:r w:rsidRPr="00916223">
        <w:rPr>
          <w:i/>
          <w:noProof/>
        </w:rPr>
        <w:t>Pan</w:t>
      </w:r>
      <w:r w:rsidRPr="00916223">
        <w:rPr>
          <w:noProof/>
        </w:rPr>
        <w:t xml:space="preserve"> and </w:t>
      </w:r>
      <w:r w:rsidRPr="00916223">
        <w:rPr>
          <w:i/>
          <w:noProof/>
        </w:rPr>
        <w:t>Homo</w:t>
      </w:r>
      <w:r>
        <w:rPr>
          <w:noProof/>
          <w:webHidden/>
        </w:rPr>
        <w:tab/>
        <w:t>18</w:t>
      </w:r>
      <w:r w:rsidR="002C094A">
        <w:rPr>
          <w:noProof/>
          <w:webHidden/>
        </w:rPr>
        <w:t>7</w:t>
      </w:r>
    </w:p>
    <w:p w:rsidR="00795735" w:rsidRDefault="00795735" w:rsidP="00165556">
      <w:pPr>
        <w:pStyle w:val="TOC1"/>
        <w:rPr>
          <w:rFonts w:asciiTheme="minorHAnsi" w:eastAsiaTheme="minorEastAsia" w:hAnsiTheme="minorHAnsi" w:cstheme="minorBidi"/>
          <w:lang w:val="en-GB" w:eastAsia="en-GB"/>
        </w:rPr>
      </w:pPr>
      <w:r w:rsidRPr="00916223">
        <w:t>Chapter 6</w:t>
      </w:r>
      <w:r>
        <w:rPr>
          <w:rFonts w:asciiTheme="minorHAnsi" w:eastAsiaTheme="minorEastAsia" w:hAnsiTheme="minorHAnsi" w:cstheme="minorBidi"/>
          <w:lang w:val="en-GB" w:eastAsia="en-GB"/>
        </w:rPr>
        <w:t xml:space="preserve"> </w:t>
      </w:r>
      <w:r w:rsidRPr="00916223">
        <w:t>Discussion</w:t>
      </w:r>
      <w:r>
        <w:rPr>
          <w:webHidden/>
        </w:rPr>
        <w:tab/>
      </w:r>
      <w:r w:rsidRPr="00795735">
        <w:rPr>
          <w:webHidden/>
        </w:rPr>
        <w:t>18</w:t>
      </w:r>
      <w:r w:rsidR="002C094A">
        <w:rPr>
          <w:webHidden/>
        </w:rPr>
        <w:t>8</w:t>
      </w:r>
    </w:p>
    <w:p w:rsidR="00795735" w:rsidRDefault="00795735" w:rsidP="00165556">
      <w:pPr>
        <w:pStyle w:val="TOC2"/>
        <w:rPr>
          <w:rFonts w:asciiTheme="minorHAnsi" w:eastAsiaTheme="minorEastAsia" w:hAnsiTheme="minorHAnsi" w:cstheme="minorBidi"/>
          <w:noProof/>
          <w:lang w:val="en-GB" w:eastAsia="en-GB"/>
        </w:rPr>
      </w:pPr>
      <w:r w:rsidRPr="00916223">
        <w:rPr>
          <w:noProof/>
        </w:rPr>
        <w:t>6.1</w:t>
      </w:r>
      <w:r>
        <w:rPr>
          <w:rFonts w:asciiTheme="minorHAnsi" w:eastAsiaTheme="minorEastAsia" w:hAnsiTheme="minorHAnsi" w:cstheme="minorBidi"/>
          <w:noProof/>
          <w:lang w:val="en-GB" w:eastAsia="en-GB"/>
        </w:rPr>
        <w:tab/>
      </w:r>
      <w:r w:rsidRPr="00916223">
        <w:rPr>
          <w:noProof/>
        </w:rPr>
        <w:t>Introduction to discussion</w:t>
      </w:r>
      <w:r>
        <w:rPr>
          <w:noProof/>
          <w:webHidden/>
        </w:rPr>
        <w:tab/>
        <w:t>18</w:t>
      </w:r>
      <w:r w:rsidR="002C094A">
        <w:rPr>
          <w:noProof/>
          <w:webHidden/>
        </w:rPr>
        <w:t>8</w:t>
      </w:r>
    </w:p>
    <w:p w:rsidR="00795735" w:rsidRDefault="00795735" w:rsidP="00165556">
      <w:pPr>
        <w:pStyle w:val="TOC2"/>
        <w:rPr>
          <w:rFonts w:asciiTheme="minorHAnsi" w:eastAsiaTheme="minorEastAsia" w:hAnsiTheme="minorHAnsi" w:cstheme="minorBidi"/>
          <w:noProof/>
          <w:lang w:val="en-GB" w:eastAsia="en-GB"/>
        </w:rPr>
      </w:pPr>
      <w:r w:rsidRPr="00916223">
        <w:rPr>
          <w:noProof/>
        </w:rPr>
        <w:t>6.2</w:t>
      </w:r>
      <w:r>
        <w:rPr>
          <w:rFonts w:asciiTheme="minorHAnsi" w:eastAsiaTheme="minorEastAsia" w:hAnsiTheme="minorHAnsi" w:cstheme="minorBidi"/>
          <w:noProof/>
          <w:lang w:val="en-GB" w:eastAsia="en-GB"/>
        </w:rPr>
        <w:tab/>
      </w:r>
      <w:r w:rsidRPr="00916223">
        <w:rPr>
          <w:noProof/>
        </w:rPr>
        <w:t>Application of the results of this study to developmental theory</w:t>
      </w:r>
      <w:r>
        <w:rPr>
          <w:noProof/>
          <w:webHidden/>
        </w:rPr>
        <w:tab/>
        <w:t>18</w:t>
      </w:r>
      <w:r w:rsidR="002C094A">
        <w:rPr>
          <w:noProof/>
          <w:webHidden/>
        </w:rPr>
        <w:t>8</w:t>
      </w:r>
    </w:p>
    <w:p w:rsidR="00795735" w:rsidRDefault="00795735" w:rsidP="00165556">
      <w:pPr>
        <w:pStyle w:val="TOC3"/>
        <w:rPr>
          <w:rFonts w:asciiTheme="minorHAnsi" w:eastAsiaTheme="minorEastAsia" w:hAnsiTheme="minorHAnsi" w:cstheme="minorBidi"/>
          <w:noProof/>
          <w:lang w:val="en-GB" w:eastAsia="en-GB"/>
        </w:rPr>
      </w:pPr>
      <w:r w:rsidRPr="00916223">
        <w:rPr>
          <w:noProof/>
        </w:rPr>
        <w:t>6.2.1</w:t>
      </w:r>
      <w:r>
        <w:rPr>
          <w:rFonts w:asciiTheme="minorHAnsi" w:eastAsiaTheme="minorEastAsia" w:hAnsiTheme="minorHAnsi" w:cstheme="minorBidi"/>
          <w:noProof/>
          <w:lang w:val="en-GB" w:eastAsia="en-GB"/>
        </w:rPr>
        <w:tab/>
      </w:r>
      <w:r w:rsidRPr="00916223">
        <w:rPr>
          <w:noProof/>
        </w:rPr>
        <w:t>Growth rate</w:t>
      </w:r>
      <w:r>
        <w:rPr>
          <w:noProof/>
          <w:webHidden/>
        </w:rPr>
        <w:tab/>
        <w:t>1</w:t>
      </w:r>
      <w:r w:rsidR="002C094A">
        <w:rPr>
          <w:noProof/>
          <w:webHidden/>
        </w:rPr>
        <w:t>89</w:t>
      </w:r>
    </w:p>
    <w:p w:rsidR="00795735" w:rsidRDefault="00795735" w:rsidP="00165556">
      <w:pPr>
        <w:pStyle w:val="TOC3"/>
        <w:rPr>
          <w:rFonts w:asciiTheme="minorHAnsi" w:eastAsiaTheme="minorEastAsia" w:hAnsiTheme="minorHAnsi" w:cstheme="minorBidi"/>
          <w:noProof/>
          <w:lang w:val="en-GB" w:eastAsia="en-GB"/>
        </w:rPr>
      </w:pPr>
      <w:r w:rsidRPr="00916223">
        <w:rPr>
          <w:noProof/>
        </w:rPr>
        <w:t>6.2.2</w:t>
      </w:r>
      <w:r>
        <w:rPr>
          <w:rFonts w:asciiTheme="minorHAnsi" w:eastAsiaTheme="minorEastAsia" w:hAnsiTheme="minorHAnsi" w:cstheme="minorBidi"/>
          <w:noProof/>
          <w:lang w:val="en-GB" w:eastAsia="en-GB"/>
        </w:rPr>
        <w:tab/>
      </w:r>
      <w:r w:rsidRPr="00916223">
        <w:rPr>
          <w:noProof/>
        </w:rPr>
        <w:t>Patterns of growth: analysis of sequences</w:t>
      </w:r>
      <w:r>
        <w:rPr>
          <w:noProof/>
          <w:webHidden/>
        </w:rPr>
        <w:tab/>
        <w:t>19</w:t>
      </w:r>
      <w:r w:rsidR="002C094A">
        <w:rPr>
          <w:noProof/>
          <w:webHidden/>
        </w:rPr>
        <w:t>3</w:t>
      </w:r>
    </w:p>
    <w:p w:rsidR="00795735" w:rsidRDefault="00795735" w:rsidP="00165556">
      <w:pPr>
        <w:pStyle w:val="TOC3"/>
        <w:rPr>
          <w:rFonts w:asciiTheme="minorHAnsi" w:eastAsiaTheme="minorEastAsia" w:hAnsiTheme="minorHAnsi" w:cstheme="minorBidi"/>
          <w:noProof/>
          <w:lang w:val="en-GB" w:eastAsia="en-GB"/>
        </w:rPr>
      </w:pPr>
      <w:r w:rsidRPr="00916223">
        <w:rPr>
          <w:noProof/>
        </w:rPr>
        <w:t>6.2.3</w:t>
      </w:r>
      <w:r>
        <w:rPr>
          <w:rFonts w:asciiTheme="minorHAnsi" w:eastAsiaTheme="minorEastAsia" w:hAnsiTheme="minorHAnsi" w:cstheme="minorBidi"/>
          <w:noProof/>
          <w:lang w:val="en-GB" w:eastAsia="en-GB"/>
        </w:rPr>
        <w:tab/>
      </w:r>
      <w:r w:rsidRPr="00916223">
        <w:rPr>
          <w:noProof/>
        </w:rPr>
        <w:t>Skeletal development relative to sexual maturity</w:t>
      </w:r>
      <w:r>
        <w:rPr>
          <w:noProof/>
          <w:webHidden/>
        </w:rPr>
        <w:tab/>
        <w:t>20</w:t>
      </w:r>
      <w:r w:rsidR="002C094A">
        <w:rPr>
          <w:noProof/>
          <w:webHidden/>
        </w:rPr>
        <w:t>4</w:t>
      </w:r>
    </w:p>
    <w:p w:rsidR="00795735" w:rsidRDefault="00795735" w:rsidP="00165556">
      <w:pPr>
        <w:pStyle w:val="TOC3"/>
        <w:rPr>
          <w:rFonts w:asciiTheme="minorHAnsi" w:eastAsiaTheme="minorEastAsia" w:hAnsiTheme="minorHAnsi" w:cstheme="minorBidi"/>
          <w:noProof/>
          <w:lang w:val="en-GB" w:eastAsia="en-GB"/>
        </w:rPr>
      </w:pPr>
      <w:r w:rsidRPr="00916223">
        <w:rPr>
          <w:noProof/>
        </w:rPr>
        <w:t>6.2.4</w:t>
      </w:r>
      <w:r>
        <w:rPr>
          <w:rFonts w:asciiTheme="minorHAnsi" w:eastAsiaTheme="minorEastAsia" w:hAnsiTheme="minorHAnsi" w:cstheme="minorBidi"/>
          <w:noProof/>
          <w:lang w:val="en-GB" w:eastAsia="en-GB"/>
        </w:rPr>
        <w:tab/>
      </w:r>
      <w:r w:rsidRPr="00916223">
        <w:rPr>
          <w:noProof/>
        </w:rPr>
        <w:t>General conclusions with respect to growth theory</w:t>
      </w:r>
      <w:r>
        <w:rPr>
          <w:noProof/>
          <w:webHidden/>
        </w:rPr>
        <w:tab/>
        <w:t>20</w:t>
      </w:r>
      <w:r w:rsidR="002C094A">
        <w:rPr>
          <w:noProof/>
          <w:webHidden/>
        </w:rPr>
        <w:t>5</w:t>
      </w:r>
    </w:p>
    <w:p w:rsidR="00795735" w:rsidRDefault="00795735" w:rsidP="00933822">
      <w:pPr>
        <w:pStyle w:val="TOC2"/>
        <w:ind w:right="476"/>
        <w:rPr>
          <w:noProof/>
          <w:webHidden/>
        </w:rPr>
      </w:pPr>
      <w:r w:rsidRPr="00916223">
        <w:rPr>
          <w:noProof/>
        </w:rPr>
        <w:t>6.3</w:t>
      </w:r>
      <w:r>
        <w:rPr>
          <w:rFonts w:asciiTheme="minorHAnsi" w:eastAsiaTheme="minorEastAsia" w:hAnsiTheme="minorHAnsi" w:cstheme="minorBidi"/>
          <w:noProof/>
          <w:lang w:val="en-GB" w:eastAsia="en-GB"/>
        </w:rPr>
        <w:tab/>
      </w:r>
      <w:r w:rsidRPr="00916223">
        <w:rPr>
          <w:noProof/>
        </w:rPr>
        <w:t>Application to fossil hominids</w:t>
      </w:r>
      <w:r>
        <w:rPr>
          <w:noProof/>
          <w:webHidden/>
        </w:rPr>
        <w:tab/>
        <w:t>20</w:t>
      </w:r>
      <w:r w:rsidR="002C094A">
        <w:rPr>
          <w:noProof/>
          <w:webHidden/>
        </w:rPr>
        <w:t>6</w:t>
      </w:r>
    </w:p>
    <w:p w:rsidR="00C038D7" w:rsidRPr="00C038D7" w:rsidRDefault="00C038D7" w:rsidP="00933822">
      <w:pPr>
        <w:spacing w:before="0"/>
        <w:ind w:right="-516"/>
      </w:pPr>
      <w:r>
        <w:t>6.4 Suggestions for future research/limitations of present study</w:t>
      </w:r>
      <w:r>
        <w:tab/>
      </w:r>
      <w:r>
        <w:tab/>
      </w:r>
      <w:r>
        <w:tab/>
      </w:r>
      <w:r>
        <w:tab/>
      </w:r>
      <w:r>
        <w:tab/>
        <w:t xml:space="preserve">          </w:t>
      </w:r>
      <w:r w:rsidR="009348F3">
        <w:t xml:space="preserve"> </w:t>
      </w:r>
      <w:r w:rsidR="002C094A">
        <w:t xml:space="preserve"> 208</w:t>
      </w:r>
    </w:p>
    <w:p w:rsidR="00795735" w:rsidRPr="00795735" w:rsidRDefault="00795735" w:rsidP="00165556">
      <w:pPr>
        <w:pStyle w:val="TOC1"/>
        <w:rPr>
          <w:rFonts w:asciiTheme="minorHAnsi" w:eastAsiaTheme="minorEastAsia" w:hAnsiTheme="minorHAnsi" w:cstheme="minorBidi"/>
          <w:lang w:val="en-GB" w:eastAsia="en-GB"/>
        </w:rPr>
      </w:pPr>
      <w:r w:rsidRPr="00916223">
        <w:t>Chapter 7</w:t>
      </w:r>
      <w:r>
        <w:rPr>
          <w:rFonts w:asciiTheme="minorHAnsi" w:eastAsiaTheme="minorEastAsia" w:hAnsiTheme="minorHAnsi" w:cstheme="minorBidi"/>
          <w:lang w:val="en-GB" w:eastAsia="en-GB"/>
        </w:rPr>
        <w:t xml:space="preserve"> </w:t>
      </w:r>
      <w:r w:rsidRPr="00916223">
        <w:t>Concluding Remarks</w:t>
      </w:r>
      <w:r>
        <w:rPr>
          <w:webHidden/>
        </w:rPr>
        <w:tab/>
      </w:r>
      <w:r w:rsidRPr="00795735">
        <w:rPr>
          <w:webHidden/>
        </w:rPr>
        <w:t>2</w:t>
      </w:r>
      <w:r w:rsidR="002C094A">
        <w:rPr>
          <w:webHidden/>
        </w:rPr>
        <w:t>09</w:t>
      </w:r>
    </w:p>
    <w:p w:rsidR="00795735" w:rsidRDefault="00795735" w:rsidP="00795735"/>
    <w:p w:rsidR="00795735" w:rsidRDefault="00795735" w:rsidP="00795735">
      <w:pPr>
        <w:spacing w:before="0" w:after="200" w:line="276" w:lineRule="auto"/>
        <w:jc w:val="left"/>
      </w:pPr>
      <w:r>
        <w:br w:type="page"/>
      </w:r>
    </w:p>
    <w:p w:rsidR="0091590B" w:rsidRPr="00165556" w:rsidRDefault="0091590B" w:rsidP="00165556">
      <w:pPr>
        <w:spacing w:before="120"/>
        <w:ind w:right="-93"/>
        <w:jc w:val="center"/>
        <w:rPr>
          <w:b/>
        </w:rPr>
      </w:pPr>
      <w:r w:rsidRPr="00165556">
        <w:rPr>
          <w:b/>
        </w:rPr>
        <w:lastRenderedPageBreak/>
        <w:t>Table of Contents for the Appendix</w:t>
      </w:r>
    </w:p>
    <w:p w:rsidR="0091590B" w:rsidRDefault="00165556" w:rsidP="00165556">
      <w:pPr>
        <w:pStyle w:val="TOC2"/>
        <w:rPr>
          <w:noProof/>
        </w:rPr>
      </w:pPr>
      <w:r>
        <w:rPr>
          <w:noProof/>
        </w:rPr>
        <w:t>8.1.</w:t>
      </w:r>
      <w:r>
        <w:rPr>
          <w:noProof/>
        </w:rPr>
        <w:tab/>
        <w:t>Demographic data</w:t>
      </w:r>
      <w:r>
        <w:rPr>
          <w:noProof/>
        </w:rPr>
        <w:tab/>
      </w:r>
      <w:r w:rsidR="00155FB1">
        <w:rPr>
          <w:noProof/>
        </w:rPr>
        <w:t>229</w:t>
      </w:r>
    </w:p>
    <w:p w:rsidR="0091590B" w:rsidRDefault="0091590B" w:rsidP="00165556">
      <w:pPr>
        <w:pStyle w:val="TOC2"/>
      </w:pPr>
      <w:r>
        <w:rPr>
          <w:noProof/>
        </w:rPr>
        <w:t>8.2.</w:t>
      </w:r>
      <w:r>
        <w:rPr>
          <w:noProof/>
        </w:rPr>
        <w:tab/>
        <w:t>Outp</w:t>
      </w:r>
      <w:r w:rsidR="00155FB1">
        <w:rPr>
          <w:noProof/>
        </w:rPr>
        <w:t>uts from imputation analysis</w:t>
      </w:r>
      <w:r w:rsidR="00155FB1">
        <w:rPr>
          <w:noProof/>
        </w:rPr>
        <w:tab/>
        <w:t>231</w:t>
      </w:r>
    </w:p>
    <w:p w:rsidR="0091590B" w:rsidRDefault="0091590B" w:rsidP="00165556">
      <w:pPr>
        <w:pStyle w:val="TOC3"/>
        <w:rPr>
          <w:noProof/>
        </w:rPr>
      </w:pPr>
      <w:r>
        <w:t>8.2.1</w:t>
      </w:r>
      <w:r>
        <w:tab/>
      </w:r>
      <w:r w:rsidRPr="00165556">
        <w:rPr>
          <w:i/>
          <w:noProof/>
        </w:rPr>
        <w:t>Pan paniscus</w:t>
      </w:r>
      <w:r>
        <w:rPr>
          <w:noProof/>
        </w:rPr>
        <w:t xml:space="preserve"> combi</w:t>
      </w:r>
      <w:r w:rsidR="00155FB1">
        <w:rPr>
          <w:noProof/>
        </w:rPr>
        <w:t>ned-sex analysis of patterns</w:t>
      </w:r>
      <w:r w:rsidR="00155FB1">
        <w:rPr>
          <w:noProof/>
        </w:rPr>
        <w:tab/>
        <w:t>231</w:t>
      </w:r>
    </w:p>
    <w:p w:rsidR="0091590B" w:rsidRDefault="0091590B" w:rsidP="00165556">
      <w:pPr>
        <w:pStyle w:val="TOC3"/>
        <w:rPr>
          <w:noProof/>
        </w:rPr>
      </w:pPr>
      <w:r>
        <w:rPr>
          <w:noProof/>
        </w:rPr>
        <w:t>8.2.2</w:t>
      </w:r>
      <w:r>
        <w:rPr>
          <w:noProof/>
        </w:rPr>
        <w:tab/>
      </w:r>
      <w:r w:rsidRPr="00165556">
        <w:rPr>
          <w:i/>
          <w:noProof/>
        </w:rPr>
        <w:t>Pan troglodytes</w:t>
      </w:r>
      <w:r>
        <w:rPr>
          <w:noProof/>
        </w:rPr>
        <w:t xml:space="preserve"> </w:t>
      </w:r>
      <w:r w:rsidR="00155FB1">
        <w:rPr>
          <w:noProof/>
        </w:rPr>
        <w:t>females analysis of patterns</w:t>
      </w:r>
      <w:r w:rsidR="00155FB1">
        <w:rPr>
          <w:noProof/>
        </w:rPr>
        <w:tab/>
        <w:t>232</w:t>
      </w:r>
    </w:p>
    <w:p w:rsidR="0091590B" w:rsidRDefault="0091590B" w:rsidP="00165556">
      <w:pPr>
        <w:pStyle w:val="TOC3"/>
        <w:rPr>
          <w:noProof/>
        </w:rPr>
      </w:pPr>
      <w:r>
        <w:rPr>
          <w:noProof/>
        </w:rPr>
        <w:t>8.2.3</w:t>
      </w:r>
      <w:r>
        <w:rPr>
          <w:noProof/>
        </w:rPr>
        <w:tab/>
      </w:r>
      <w:r w:rsidRPr="00165556">
        <w:rPr>
          <w:i/>
          <w:noProof/>
        </w:rPr>
        <w:t>Pan troglodytes</w:t>
      </w:r>
      <w:r>
        <w:rPr>
          <w:noProof/>
        </w:rPr>
        <w:t xml:space="preserve"> males an</w:t>
      </w:r>
      <w:r w:rsidR="00155FB1">
        <w:rPr>
          <w:noProof/>
        </w:rPr>
        <w:t>alysis of patterns</w:t>
      </w:r>
      <w:r w:rsidR="00155FB1">
        <w:rPr>
          <w:noProof/>
        </w:rPr>
        <w:tab/>
        <w:t>234</w:t>
      </w:r>
    </w:p>
    <w:p w:rsidR="0091590B" w:rsidRDefault="0091590B" w:rsidP="00165556">
      <w:pPr>
        <w:pStyle w:val="TOC2"/>
        <w:rPr>
          <w:noProof/>
        </w:rPr>
      </w:pPr>
      <w:r>
        <w:rPr>
          <w:noProof/>
        </w:rPr>
        <w:t>8.3.</w:t>
      </w:r>
      <w:r>
        <w:rPr>
          <w:noProof/>
        </w:rPr>
        <w:tab/>
        <w:t xml:space="preserve">Linear regression for long-bone length as </w:t>
      </w:r>
      <w:r w:rsidR="00155FB1">
        <w:rPr>
          <w:noProof/>
        </w:rPr>
        <w:t>plotted against dental score</w:t>
      </w:r>
      <w:r w:rsidR="00155FB1">
        <w:rPr>
          <w:noProof/>
        </w:rPr>
        <w:tab/>
        <w:t>236</w:t>
      </w:r>
    </w:p>
    <w:p w:rsidR="0091590B" w:rsidRDefault="0091590B" w:rsidP="00165556">
      <w:pPr>
        <w:pStyle w:val="TOC2"/>
        <w:rPr>
          <w:noProof/>
        </w:rPr>
      </w:pPr>
      <w:r>
        <w:rPr>
          <w:noProof/>
        </w:rPr>
        <w:t>8.4.</w:t>
      </w:r>
      <w:r>
        <w:rPr>
          <w:noProof/>
        </w:rPr>
        <w:tab/>
        <w:t>Descriptive statistics for mid-fusion and complete fus</w:t>
      </w:r>
      <w:r w:rsidR="00155FB1">
        <w:rPr>
          <w:noProof/>
        </w:rPr>
        <w:t>ion relative to dental score</w:t>
      </w:r>
      <w:r w:rsidR="00155FB1">
        <w:rPr>
          <w:noProof/>
        </w:rPr>
        <w:tab/>
        <w:t>239</w:t>
      </w:r>
    </w:p>
    <w:p w:rsidR="0091590B" w:rsidRDefault="0091590B" w:rsidP="00165556">
      <w:pPr>
        <w:pStyle w:val="TOC2"/>
        <w:rPr>
          <w:noProof/>
        </w:rPr>
      </w:pPr>
      <w:r>
        <w:rPr>
          <w:noProof/>
        </w:rPr>
        <w:t>8.5.</w:t>
      </w:r>
      <w:r>
        <w:rPr>
          <w:noProof/>
        </w:rPr>
        <w:tab/>
        <w:t>Seriating epiphyseal fusion by mean epiphyseal fusion</w:t>
      </w:r>
      <w:r>
        <w:rPr>
          <w:noProof/>
        </w:rPr>
        <w:tab/>
        <w:t>24</w:t>
      </w:r>
      <w:r w:rsidR="00155FB1">
        <w:rPr>
          <w:noProof/>
        </w:rPr>
        <w:t>8</w:t>
      </w:r>
    </w:p>
    <w:p w:rsidR="0091590B" w:rsidRDefault="0091590B" w:rsidP="00165556">
      <w:pPr>
        <w:pStyle w:val="TOC2"/>
        <w:rPr>
          <w:noProof/>
        </w:rPr>
      </w:pPr>
      <w:r>
        <w:rPr>
          <w:noProof/>
        </w:rPr>
        <w:t>8.6.</w:t>
      </w:r>
      <w:r>
        <w:rPr>
          <w:noProof/>
        </w:rPr>
        <w:tab/>
        <w:t xml:space="preserve">Linear regression </w:t>
      </w:r>
      <w:r w:rsidR="00155FB1">
        <w:rPr>
          <w:noProof/>
        </w:rPr>
        <w:t>comparisons with Shea (1981)</w:t>
      </w:r>
      <w:r w:rsidR="00155FB1">
        <w:rPr>
          <w:noProof/>
        </w:rPr>
        <w:tab/>
        <w:t>252</w:t>
      </w:r>
    </w:p>
    <w:p w:rsidR="0091590B" w:rsidRDefault="0091590B" w:rsidP="00165556">
      <w:pPr>
        <w:pStyle w:val="TOC2"/>
        <w:rPr>
          <w:noProof/>
        </w:rPr>
      </w:pPr>
      <w:r>
        <w:rPr>
          <w:noProof/>
        </w:rPr>
        <w:t>8.7.</w:t>
      </w:r>
      <w:r>
        <w:rPr>
          <w:noProof/>
        </w:rPr>
        <w:tab/>
        <w:t xml:space="preserve">Regression for comparison of serially homologous individual bone elements in </w:t>
      </w:r>
      <w:r w:rsidRPr="00165556">
        <w:rPr>
          <w:i/>
          <w:noProof/>
        </w:rPr>
        <w:t>Pan troglodytes.</w:t>
      </w:r>
      <w:r w:rsidR="00155FB1">
        <w:rPr>
          <w:noProof/>
        </w:rPr>
        <w:tab/>
        <w:t>253</w:t>
      </w:r>
    </w:p>
    <w:p w:rsidR="0091590B" w:rsidRDefault="0091590B" w:rsidP="00165556">
      <w:pPr>
        <w:pStyle w:val="TOC2"/>
        <w:rPr>
          <w:noProof/>
        </w:rPr>
      </w:pPr>
      <w:r>
        <w:rPr>
          <w:noProof/>
        </w:rPr>
        <w:t>8.8.</w:t>
      </w:r>
      <w:r>
        <w:rPr>
          <w:noProof/>
        </w:rPr>
        <w:tab/>
        <w:t xml:space="preserve">Normality tests for fusion as a percentage of long-bone length in </w:t>
      </w:r>
      <w:r w:rsidRPr="00165556">
        <w:rPr>
          <w:i/>
          <w:noProof/>
        </w:rPr>
        <w:t>Pan troglodytes</w:t>
      </w:r>
      <w:r w:rsidR="00155FB1">
        <w:rPr>
          <w:noProof/>
        </w:rPr>
        <w:tab/>
        <w:t>257</w:t>
      </w:r>
    </w:p>
    <w:p w:rsidR="00795735" w:rsidRDefault="00795735" w:rsidP="00795735">
      <w:pPr>
        <w:spacing w:before="120"/>
        <w:ind w:right="-93"/>
      </w:pPr>
      <w:r>
        <w:br w:type="page"/>
      </w:r>
    </w:p>
    <w:p w:rsidR="00795735" w:rsidRPr="00A96574" w:rsidRDefault="00795735" w:rsidP="00795735">
      <w:pPr>
        <w:spacing w:before="120"/>
        <w:ind w:right="-93"/>
        <w:jc w:val="center"/>
        <w:rPr>
          <w:b/>
        </w:rPr>
      </w:pPr>
      <w:r w:rsidRPr="00A96574">
        <w:rPr>
          <w:b/>
        </w:rPr>
        <w:lastRenderedPageBreak/>
        <w:t>List of Figures</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2.1 </w:t>
      </w:r>
      <w:r w:rsidR="00165556">
        <w:rPr>
          <w:b/>
          <w:noProof/>
        </w:rPr>
        <w:tab/>
      </w:r>
      <w:r w:rsidRPr="00916223">
        <w:rPr>
          <w:noProof/>
        </w:rPr>
        <w:t>Maturational events in two hypothetical species of differing growth rates where species 1 (red line) reaches specific maturational events more rapidly than species 2 (green line).</w:t>
      </w:r>
      <w:r>
        <w:rPr>
          <w:noProof/>
          <w:webHidden/>
        </w:rPr>
        <w:tab/>
        <w:t>10</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2.2 </w:t>
      </w:r>
      <w:r w:rsidR="00165556">
        <w:rPr>
          <w:b/>
          <w:noProof/>
        </w:rPr>
        <w:tab/>
      </w:r>
      <w:r w:rsidRPr="00916223">
        <w:rPr>
          <w:noProof/>
        </w:rPr>
        <w:t>Maturational events in two hypothetical species of differing growth rates and differing relative timing of sequence events.</w:t>
      </w:r>
      <w:r>
        <w:rPr>
          <w:noProof/>
          <w:webHidden/>
        </w:rPr>
        <w:tab/>
        <w:t>11</w:t>
      </w:r>
    </w:p>
    <w:p w:rsidR="00795735" w:rsidRDefault="00E82479"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Pr>
          <w:b/>
          <w:noProof/>
        </w:rPr>
        <w:t>Figure 2.3</w:t>
      </w:r>
      <w:r w:rsidR="00795735" w:rsidRPr="00916223">
        <w:rPr>
          <w:noProof/>
        </w:rPr>
        <w:t xml:space="preserve">  </w:t>
      </w:r>
      <w:r w:rsidR="00165556">
        <w:rPr>
          <w:noProof/>
        </w:rPr>
        <w:tab/>
      </w:r>
      <w:r w:rsidR="00795735" w:rsidRPr="00916223">
        <w:rPr>
          <w:noProof/>
        </w:rPr>
        <w:t>Demonstration of growth rate pattern of chimpanzee size relative to chronological time.</w:t>
      </w:r>
      <w:r w:rsidR="00795735">
        <w:rPr>
          <w:noProof/>
          <w:webHidden/>
        </w:rPr>
        <w:tab/>
        <w:t>49</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3.1</w:t>
      </w:r>
      <w:r w:rsidRPr="00916223">
        <w:rPr>
          <w:noProof/>
        </w:rPr>
        <w:t xml:space="preserve"> </w:t>
      </w:r>
      <w:r w:rsidR="00165556">
        <w:rPr>
          <w:noProof/>
        </w:rPr>
        <w:tab/>
      </w:r>
      <w:r w:rsidRPr="00916223">
        <w:rPr>
          <w:noProof/>
        </w:rPr>
        <w:t>Map showing the distribution of all major sub-species and the locations of individuals from the University of Zurich. (Image created using Open Street Map)</w:t>
      </w:r>
      <w:r>
        <w:rPr>
          <w:noProof/>
          <w:webHidden/>
        </w:rPr>
        <w:tab/>
        <w:t>59</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3.2 </w:t>
      </w:r>
      <w:r w:rsidRPr="00916223">
        <w:rPr>
          <w:noProof/>
        </w:rPr>
        <w:t xml:space="preserve"> </w:t>
      </w:r>
      <w:r w:rsidR="00165556">
        <w:rPr>
          <w:noProof/>
        </w:rPr>
        <w:tab/>
      </w:r>
      <w:r w:rsidRPr="00916223">
        <w:rPr>
          <w:noProof/>
        </w:rPr>
        <w:t>Demonstration of tooth orientation as shown from distal and occlusal views.</w:t>
      </w:r>
      <w:r>
        <w:rPr>
          <w:noProof/>
          <w:webHidden/>
        </w:rPr>
        <w:tab/>
        <w:t>66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3.3 </w:t>
      </w:r>
      <w:r w:rsidRPr="00916223">
        <w:rPr>
          <w:noProof/>
        </w:rPr>
        <w:t xml:space="preserve"> </w:t>
      </w:r>
      <w:r w:rsidR="00165556">
        <w:rPr>
          <w:noProof/>
        </w:rPr>
        <w:tab/>
      </w:r>
      <w:r w:rsidRPr="00916223">
        <w:rPr>
          <w:noProof/>
        </w:rPr>
        <w:t>Occlusal view of typical positions for mandibular X-ray imaging.</w:t>
      </w:r>
      <w:r>
        <w:rPr>
          <w:noProof/>
          <w:webHidden/>
        </w:rPr>
        <w:tab/>
        <w:t>67</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3.4</w:t>
      </w:r>
      <w:r w:rsidRPr="00916223">
        <w:rPr>
          <w:noProof/>
        </w:rPr>
        <w:t xml:space="preserve">  </w:t>
      </w:r>
      <w:r w:rsidR="00165556">
        <w:rPr>
          <w:noProof/>
        </w:rPr>
        <w:tab/>
      </w:r>
      <w:r w:rsidRPr="00916223">
        <w:rPr>
          <w:noProof/>
        </w:rPr>
        <w:t>Cross-sectional view of the mounting system for X-ray exposure of mandibular teeth.</w:t>
      </w:r>
      <w:r>
        <w:rPr>
          <w:noProof/>
          <w:webHidden/>
        </w:rPr>
        <w:tab/>
        <w:t>67</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3.5 </w:t>
      </w:r>
      <w:r w:rsidRPr="00916223">
        <w:rPr>
          <w:noProof/>
        </w:rPr>
        <w:t xml:space="preserve"> </w:t>
      </w:r>
      <w:r w:rsidR="00165556">
        <w:rPr>
          <w:noProof/>
        </w:rPr>
        <w:tab/>
      </w:r>
      <w:r w:rsidRPr="00916223">
        <w:rPr>
          <w:noProof/>
        </w:rPr>
        <w:t>Demonstration of the foam mounting system with a mandible in place (photo is author’s own)</w:t>
      </w:r>
      <w:r>
        <w:rPr>
          <w:noProof/>
          <w:webHidden/>
        </w:rPr>
        <w:tab/>
        <w:t>68</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3.6</w:t>
      </w:r>
      <w:r w:rsidRPr="00916223">
        <w:rPr>
          <w:noProof/>
        </w:rPr>
        <w:t xml:space="preserve">  </w:t>
      </w:r>
      <w:r w:rsidR="00165556">
        <w:rPr>
          <w:noProof/>
        </w:rPr>
        <w:tab/>
      </w:r>
      <w:r w:rsidRPr="00916223">
        <w:rPr>
          <w:noProof/>
        </w:rPr>
        <w:t>Demirjian dental scoring stages redrawn from Demirjian (1973).</w:t>
      </w:r>
      <w:r>
        <w:rPr>
          <w:noProof/>
          <w:webHidden/>
        </w:rPr>
        <w:tab/>
        <w:t>69</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3.7</w:t>
      </w:r>
      <w:r w:rsidRPr="00916223">
        <w:rPr>
          <w:noProof/>
        </w:rPr>
        <w:t xml:space="preserve">  </w:t>
      </w:r>
      <w:r w:rsidR="00165556">
        <w:rPr>
          <w:noProof/>
        </w:rPr>
        <w:tab/>
      </w:r>
      <w:r w:rsidRPr="00916223">
        <w:rPr>
          <w:noProof/>
        </w:rPr>
        <w:t>Visual demonstration of epiphyseal fusion stages.</w:t>
      </w:r>
      <w:r>
        <w:rPr>
          <w:noProof/>
          <w:webHidden/>
        </w:rPr>
        <w:tab/>
        <w:t>73</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3.8</w:t>
      </w:r>
      <w:r w:rsidRPr="00916223">
        <w:rPr>
          <w:noProof/>
        </w:rPr>
        <w:t xml:space="preserve">  </w:t>
      </w:r>
      <w:r w:rsidR="00165556">
        <w:rPr>
          <w:noProof/>
        </w:rPr>
        <w:tab/>
      </w:r>
      <w:r w:rsidRPr="00916223">
        <w:rPr>
          <w:noProof/>
        </w:rPr>
        <w:t>Demonstration of glued epiphysis.</w:t>
      </w:r>
      <w:r>
        <w:rPr>
          <w:noProof/>
          <w:webHidden/>
        </w:rPr>
        <w:tab/>
        <w:t>74</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3.9</w:t>
      </w:r>
      <w:r w:rsidRPr="00916223">
        <w:rPr>
          <w:noProof/>
        </w:rPr>
        <w:t xml:space="preserve"> </w:t>
      </w:r>
      <w:r w:rsidR="00165556">
        <w:rPr>
          <w:noProof/>
        </w:rPr>
        <w:tab/>
      </w:r>
      <w:r w:rsidRPr="00916223">
        <w:rPr>
          <w:noProof/>
        </w:rPr>
        <w:t>Demonstration of the axis of measure through the radius and femur.</w:t>
      </w:r>
      <w:r>
        <w:rPr>
          <w:noProof/>
          <w:webHidden/>
        </w:rPr>
        <w:tab/>
        <w:t>76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3.10 </w:t>
      </w:r>
      <w:r w:rsidRPr="00916223">
        <w:rPr>
          <w:noProof/>
        </w:rPr>
        <w:t xml:space="preserve"> Left and right humeri plotted again each other for </w:t>
      </w:r>
      <w:r w:rsidRPr="00916223">
        <w:rPr>
          <w:i/>
          <w:noProof/>
        </w:rPr>
        <w:t xml:space="preserve">Pan paniscus </w:t>
      </w:r>
      <w:r w:rsidRPr="00916223">
        <w:rPr>
          <w:noProof/>
        </w:rPr>
        <w:t>individuals.</w:t>
      </w:r>
      <w:r>
        <w:rPr>
          <w:noProof/>
          <w:webHidden/>
        </w:rPr>
        <w:tab/>
        <w:t>106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3.11</w:t>
      </w:r>
      <w:r w:rsidRPr="00916223">
        <w:rPr>
          <w:noProof/>
        </w:rPr>
        <w:t xml:space="preserve">  Left and right humeri plotted again each other for </w:t>
      </w:r>
      <w:r w:rsidRPr="00916223">
        <w:rPr>
          <w:i/>
          <w:noProof/>
        </w:rPr>
        <w:t xml:space="preserve">Pan troglodytes </w:t>
      </w:r>
      <w:r w:rsidRPr="00916223">
        <w:rPr>
          <w:noProof/>
        </w:rPr>
        <w:t>individuals.</w:t>
      </w:r>
      <w:r>
        <w:rPr>
          <w:noProof/>
          <w:webHidden/>
        </w:rPr>
        <w:tab/>
        <w:t>106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3.12</w:t>
      </w:r>
      <w:r w:rsidRPr="00916223">
        <w:rPr>
          <w:noProof/>
        </w:rPr>
        <w:t xml:space="preserve"> Chimpanzee and human Demirjian dental score relative to chronological age as determined by prior studies.</w:t>
      </w:r>
      <w:r>
        <w:rPr>
          <w:noProof/>
          <w:webHidden/>
        </w:rPr>
        <w:tab/>
        <w:t>109</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3.13</w:t>
      </w:r>
      <w:r w:rsidRPr="00916223">
        <w:rPr>
          <w:noProof/>
        </w:rPr>
        <w:t xml:space="preserve"> </w:t>
      </w:r>
      <w:r w:rsidR="00165556">
        <w:rPr>
          <w:noProof/>
        </w:rPr>
        <w:tab/>
      </w:r>
      <w:r w:rsidRPr="00916223">
        <w:rPr>
          <w:noProof/>
        </w:rPr>
        <w:t>Chimpanzee and human Demirjian dental score relative to percentiles of age as determined by prior studies.</w:t>
      </w:r>
      <w:r>
        <w:rPr>
          <w:noProof/>
          <w:webHidden/>
        </w:rPr>
        <w:tab/>
        <w:t>110</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w:t>
      </w:r>
      <w:r w:rsidRPr="00916223">
        <w:rPr>
          <w:noProof/>
        </w:rPr>
        <w:t xml:space="preserve"> </w:t>
      </w:r>
      <w:r w:rsidR="00165556">
        <w:rPr>
          <w:noProof/>
        </w:rPr>
        <w:tab/>
      </w:r>
      <w:r w:rsidRPr="00916223">
        <w:rPr>
          <w:noProof/>
        </w:rPr>
        <w:t xml:space="preserve">Humeral length relative to dental score showing </w:t>
      </w:r>
      <w:r w:rsidRPr="00916223">
        <w:rPr>
          <w:i/>
          <w:noProof/>
        </w:rPr>
        <w:t>Pan troglodytes</w:t>
      </w:r>
      <w:r w:rsidRPr="00916223">
        <w:rPr>
          <w:noProof/>
        </w:rPr>
        <w:t xml:space="preserve"> females.</w:t>
      </w:r>
      <w:r>
        <w:rPr>
          <w:noProof/>
          <w:webHidden/>
        </w:rPr>
        <w:tab/>
        <w:t>114</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4.2</w:t>
      </w:r>
      <w:r w:rsidRPr="00916223">
        <w:rPr>
          <w:noProof/>
        </w:rPr>
        <w:t xml:space="preserve"> </w:t>
      </w:r>
      <w:r w:rsidR="00165556">
        <w:rPr>
          <w:noProof/>
        </w:rPr>
        <w:tab/>
      </w:r>
      <w:r w:rsidRPr="00916223">
        <w:rPr>
          <w:noProof/>
        </w:rPr>
        <w:t xml:space="preserve">Multiple linear regressions for </w:t>
      </w:r>
      <w:r w:rsidR="00E02B8D">
        <w:rPr>
          <w:noProof/>
        </w:rPr>
        <w:t>long-bone</w:t>
      </w:r>
      <w:r w:rsidRPr="00916223">
        <w:rPr>
          <w:noProof/>
        </w:rPr>
        <w:t xml:space="preserve"> length in </w:t>
      </w:r>
      <w:r w:rsidRPr="00916223">
        <w:rPr>
          <w:i/>
          <w:noProof/>
        </w:rPr>
        <w:t xml:space="preserve">Pan troglodytes </w:t>
      </w:r>
      <w:r w:rsidRPr="00916223">
        <w:rPr>
          <w:noProof/>
        </w:rPr>
        <w:t>females.</w:t>
      </w:r>
      <w:r>
        <w:rPr>
          <w:noProof/>
          <w:webHidden/>
        </w:rPr>
        <w:tab/>
        <w:t>116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4.3</w:t>
      </w:r>
      <w:r w:rsidRPr="00916223">
        <w:rPr>
          <w:noProof/>
        </w:rPr>
        <w:t xml:space="preserve"> </w:t>
      </w:r>
      <w:r w:rsidR="00165556">
        <w:rPr>
          <w:noProof/>
        </w:rPr>
        <w:tab/>
      </w:r>
      <w:r w:rsidRPr="00916223">
        <w:rPr>
          <w:noProof/>
        </w:rPr>
        <w:t xml:space="preserve">Multiple linear regressions for </w:t>
      </w:r>
      <w:r w:rsidR="00E02B8D">
        <w:rPr>
          <w:noProof/>
        </w:rPr>
        <w:t>long-bone</w:t>
      </w:r>
      <w:r w:rsidR="00E02B8D" w:rsidRPr="00916223">
        <w:rPr>
          <w:noProof/>
        </w:rPr>
        <w:t xml:space="preserve"> </w:t>
      </w:r>
      <w:r w:rsidRPr="00916223">
        <w:rPr>
          <w:noProof/>
        </w:rPr>
        <w:t xml:space="preserve">length in </w:t>
      </w:r>
      <w:r w:rsidRPr="00916223">
        <w:rPr>
          <w:i/>
          <w:noProof/>
        </w:rPr>
        <w:t xml:space="preserve">Pan troglodytes </w:t>
      </w:r>
      <w:r w:rsidRPr="00916223">
        <w:rPr>
          <w:noProof/>
        </w:rPr>
        <w:t>males.</w:t>
      </w:r>
      <w:r>
        <w:rPr>
          <w:noProof/>
          <w:webHidden/>
        </w:rPr>
        <w:tab/>
        <w:t>116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4.4</w:t>
      </w:r>
      <w:r w:rsidRPr="00916223">
        <w:rPr>
          <w:noProof/>
        </w:rPr>
        <w:t xml:space="preserve"> </w:t>
      </w:r>
      <w:r w:rsidR="00165556">
        <w:rPr>
          <w:noProof/>
        </w:rPr>
        <w:tab/>
      </w:r>
      <w:r w:rsidRPr="00916223">
        <w:rPr>
          <w:noProof/>
        </w:rPr>
        <w:t xml:space="preserve">Male and female </w:t>
      </w:r>
      <w:r w:rsidRPr="00916223">
        <w:rPr>
          <w:i/>
          <w:noProof/>
        </w:rPr>
        <w:t>Pan paniscus</w:t>
      </w:r>
      <w:r w:rsidRPr="00916223">
        <w:rPr>
          <w:noProof/>
        </w:rPr>
        <w:t xml:space="preserve"> humeral length plotted against dental score.</w:t>
      </w:r>
      <w:r>
        <w:rPr>
          <w:noProof/>
          <w:webHidden/>
        </w:rPr>
        <w:tab/>
        <w:t>117</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4.5</w:t>
      </w:r>
      <w:r w:rsidRPr="00916223">
        <w:rPr>
          <w:noProof/>
        </w:rPr>
        <w:t xml:space="preserve"> </w:t>
      </w:r>
      <w:r w:rsidRPr="00916223">
        <w:rPr>
          <w:noProof/>
          <w:lang w:val="en-GB" w:eastAsia="en-GB"/>
        </w:rPr>
        <w:t xml:space="preserve">Mid-fusion and complete fusion for the epiphyses of the upper limb in </w:t>
      </w:r>
      <w:r w:rsidRPr="00916223">
        <w:rPr>
          <w:i/>
          <w:noProof/>
          <w:lang w:val="en-GB" w:eastAsia="en-GB"/>
        </w:rPr>
        <w:t>Pan troglodytes</w:t>
      </w:r>
      <w:r w:rsidRPr="00916223">
        <w:rPr>
          <w:noProof/>
          <w:lang w:val="en-GB" w:eastAsia="en-GB"/>
        </w:rPr>
        <w:t xml:space="preserve"> females.</w:t>
      </w:r>
      <w:r>
        <w:rPr>
          <w:noProof/>
          <w:webHidden/>
        </w:rPr>
        <w:tab/>
        <w:t>118</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4.6</w:t>
      </w:r>
      <w:r w:rsidRPr="00916223">
        <w:rPr>
          <w:noProof/>
        </w:rPr>
        <w:t xml:space="preserve"> </w:t>
      </w:r>
      <w:r w:rsidR="00165556">
        <w:rPr>
          <w:noProof/>
        </w:rPr>
        <w:tab/>
      </w:r>
      <w:r w:rsidRPr="00916223">
        <w:rPr>
          <w:noProof/>
        </w:rPr>
        <w:t xml:space="preserve">Female </w:t>
      </w:r>
      <w:r w:rsidRPr="00916223">
        <w:rPr>
          <w:i/>
          <w:noProof/>
        </w:rPr>
        <w:t xml:space="preserve">Pan troglodytes </w:t>
      </w:r>
      <w:r w:rsidRPr="00916223">
        <w:rPr>
          <w:noProof/>
        </w:rPr>
        <w:t>mid-fusion with generated dental score.</w:t>
      </w:r>
      <w:r>
        <w:rPr>
          <w:noProof/>
          <w:webHidden/>
        </w:rPr>
        <w:tab/>
        <w:t>124</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lastRenderedPageBreak/>
        <w:t xml:space="preserve">Figure  4.7 </w:t>
      </w:r>
      <w:r w:rsidR="00165556">
        <w:rPr>
          <w:b/>
          <w:noProof/>
        </w:rPr>
        <w:tab/>
      </w:r>
      <w:r w:rsidRPr="00916223">
        <w:rPr>
          <w:noProof/>
        </w:rPr>
        <w:t xml:space="preserve">Female </w:t>
      </w:r>
      <w:r w:rsidRPr="00916223">
        <w:rPr>
          <w:i/>
          <w:noProof/>
        </w:rPr>
        <w:t xml:space="preserve">Pan troglodytes </w:t>
      </w:r>
      <w:r w:rsidRPr="00916223">
        <w:rPr>
          <w:noProof/>
        </w:rPr>
        <w:t>complete-fusion with generated dental score.</w:t>
      </w:r>
      <w:r>
        <w:rPr>
          <w:noProof/>
          <w:webHidden/>
        </w:rPr>
        <w:tab/>
        <w:t>125</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4.8</w:t>
      </w:r>
      <w:r w:rsidRPr="00916223">
        <w:rPr>
          <w:noProof/>
        </w:rPr>
        <w:t xml:space="preserve"> </w:t>
      </w:r>
      <w:r w:rsidR="00165556">
        <w:rPr>
          <w:noProof/>
        </w:rPr>
        <w:tab/>
      </w:r>
      <w:r w:rsidRPr="00916223">
        <w:rPr>
          <w:noProof/>
        </w:rPr>
        <w:t xml:space="preserve">Male </w:t>
      </w:r>
      <w:r w:rsidRPr="00916223">
        <w:rPr>
          <w:i/>
          <w:noProof/>
        </w:rPr>
        <w:t xml:space="preserve">Pan troglodytes </w:t>
      </w:r>
      <w:r w:rsidRPr="00916223">
        <w:rPr>
          <w:noProof/>
        </w:rPr>
        <w:t>mid-fusion with generated dental score.</w:t>
      </w:r>
      <w:r>
        <w:rPr>
          <w:noProof/>
          <w:webHidden/>
        </w:rPr>
        <w:tab/>
        <w:t>126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4.9</w:t>
      </w:r>
      <w:r w:rsidRPr="00916223">
        <w:rPr>
          <w:noProof/>
        </w:rPr>
        <w:t xml:space="preserve"> </w:t>
      </w:r>
      <w:r w:rsidR="00165556">
        <w:rPr>
          <w:noProof/>
        </w:rPr>
        <w:tab/>
      </w:r>
      <w:r w:rsidRPr="00916223">
        <w:rPr>
          <w:noProof/>
        </w:rPr>
        <w:t xml:space="preserve">Male </w:t>
      </w:r>
      <w:r w:rsidRPr="00916223">
        <w:rPr>
          <w:i/>
          <w:noProof/>
        </w:rPr>
        <w:t xml:space="preserve">Pan troglodytes </w:t>
      </w:r>
      <w:r w:rsidRPr="00916223">
        <w:rPr>
          <w:noProof/>
        </w:rPr>
        <w:t>complete fusion with generated dental score.</w:t>
      </w:r>
      <w:r>
        <w:rPr>
          <w:noProof/>
          <w:webHidden/>
        </w:rPr>
        <w:tab/>
        <w:t>127</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4.10</w:t>
      </w:r>
      <w:r w:rsidRPr="00916223">
        <w:rPr>
          <w:noProof/>
        </w:rPr>
        <w:t xml:space="preserve"> </w:t>
      </w:r>
      <w:r w:rsidR="00165556">
        <w:rPr>
          <w:noProof/>
        </w:rPr>
        <w:tab/>
      </w:r>
      <w:r w:rsidRPr="00916223">
        <w:rPr>
          <w:noProof/>
        </w:rPr>
        <w:t xml:space="preserve">Female </w:t>
      </w:r>
      <w:r w:rsidRPr="00916223">
        <w:rPr>
          <w:i/>
          <w:noProof/>
        </w:rPr>
        <w:t xml:space="preserve">Pan paniscus </w:t>
      </w:r>
      <w:r w:rsidRPr="00916223">
        <w:rPr>
          <w:noProof/>
        </w:rPr>
        <w:t>mid-fusion and complete fusion median values plotted against dental score and generated dental score.</w:t>
      </w:r>
      <w:r>
        <w:rPr>
          <w:noProof/>
          <w:webHidden/>
        </w:rPr>
        <w:tab/>
        <w:t>128</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4.11</w:t>
      </w:r>
      <w:r w:rsidRPr="00916223">
        <w:rPr>
          <w:noProof/>
        </w:rPr>
        <w:t xml:space="preserve"> </w:t>
      </w:r>
      <w:r w:rsidR="00165556">
        <w:rPr>
          <w:noProof/>
        </w:rPr>
        <w:tab/>
      </w:r>
      <w:r w:rsidRPr="00916223">
        <w:rPr>
          <w:noProof/>
        </w:rPr>
        <w:t xml:space="preserve">Male </w:t>
      </w:r>
      <w:r w:rsidRPr="00916223">
        <w:rPr>
          <w:i/>
          <w:noProof/>
        </w:rPr>
        <w:t xml:space="preserve">Pan paniscus </w:t>
      </w:r>
      <w:r w:rsidRPr="00916223">
        <w:rPr>
          <w:noProof/>
        </w:rPr>
        <w:t>mid-fusion and complete fusion median values plotted against dental score and generated dental score.</w:t>
      </w:r>
      <w:r>
        <w:rPr>
          <w:noProof/>
          <w:webHidden/>
        </w:rPr>
        <w:tab/>
        <w:t>129</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4.12</w:t>
      </w:r>
      <w:r w:rsidRPr="00916223">
        <w:rPr>
          <w:noProof/>
        </w:rPr>
        <w:t xml:space="preserve"> </w:t>
      </w:r>
      <w:r w:rsidR="00165556">
        <w:rPr>
          <w:noProof/>
        </w:rPr>
        <w:tab/>
      </w:r>
      <w:r w:rsidRPr="00916223">
        <w:rPr>
          <w:noProof/>
        </w:rPr>
        <w:t>Hypothetical perfect seriation of epiphyseal fusion events.</w:t>
      </w:r>
      <w:r>
        <w:rPr>
          <w:noProof/>
          <w:webHidden/>
        </w:rPr>
        <w:tab/>
        <w:t>136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4.13</w:t>
      </w:r>
      <w:r w:rsidRPr="00916223">
        <w:rPr>
          <w:noProof/>
        </w:rPr>
        <w:t xml:space="preserve"> </w:t>
      </w:r>
      <w:r w:rsidR="00165556">
        <w:rPr>
          <w:noProof/>
        </w:rPr>
        <w:tab/>
      </w:r>
      <w:r w:rsidRPr="00916223">
        <w:rPr>
          <w:noProof/>
        </w:rPr>
        <w:t>Typical types of order deviations.</w:t>
      </w:r>
      <w:r>
        <w:rPr>
          <w:noProof/>
          <w:webHidden/>
        </w:rPr>
        <w:tab/>
        <w:t>137</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4.14</w:t>
      </w:r>
      <w:r w:rsidRPr="00916223">
        <w:rPr>
          <w:noProof/>
        </w:rPr>
        <w:t xml:space="preserve"> </w:t>
      </w:r>
      <w:r w:rsidR="00165556">
        <w:rPr>
          <w:noProof/>
        </w:rPr>
        <w:tab/>
      </w:r>
      <w:r w:rsidRPr="00916223">
        <w:rPr>
          <w:noProof/>
        </w:rPr>
        <w:t xml:space="preserve">Mean values for all epiphyses at mid-fusion states for </w:t>
      </w:r>
      <w:r w:rsidRPr="00916223">
        <w:rPr>
          <w:i/>
          <w:noProof/>
        </w:rPr>
        <w:t>Pan troglodytes</w:t>
      </w:r>
      <w:r w:rsidRPr="00916223">
        <w:rPr>
          <w:noProof/>
        </w:rPr>
        <w:t xml:space="preserve"> females.</w:t>
      </w:r>
      <w:r>
        <w:rPr>
          <w:noProof/>
          <w:webHidden/>
        </w:rPr>
        <w:tab/>
        <w:t>139</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4.15</w:t>
      </w:r>
      <w:r w:rsidRPr="00916223">
        <w:rPr>
          <w:noProof/>
        </w:rPr>
        <w:t xml:space="preserve"> </w:t>
      </w:r>
      <w:r w:rsidR="00165556">
        <w:rPr>
          <w:noProof/>
        </w:rPr>
        <w:tab/>
      </w:r>
      <w:r w:rsidRPr="00916223">
        <w:rPr>
          <w:noProof/>
        </w:rPr>
        <w:t xml:space="preserve">Mean values for all epiphyses at mid-fusion states for </w:t>
      </w:r>
      <w:r w:rsidRPr="00916223">
        <w:rPr>
          <w:i/>
          <w:noProof/>
        </w:rPr>
        <w:t>Pan troglodytes</w:t>
      </w:r>
      <w:r w:rsidRPr="00916223">
        <w:rPr>
          <w:noProof/>
        </w:rPr>
        <w:t xml:space="preserve"> females.</w:t>
      </w:r>
      <w:r>
        <w:rPr>
          <w:noProof/>
          <w:webHidden/>
        </w:rPr>
        <w:tab/>
        <w:t>140</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4.16</w:t>
      </w:r>
      <w:r w:rsidRPr="00916223">
        <w:rPr>
          <w:noProof/>
        </w:rPr>
        <w:t xml:space="preserve"> </w:t>
      </w:r>
      <w:r w:rsidR="00165556">
        <w:rPr>
          <w:noProof/>
        </w:rPr>
        <w:tab/>
      </w:r>
      <w:r w:rsidRPr="00916223">
        <w:rPr>
          <w:noProof/>
        </w:rPr>
        <w:t xml:space="preserve">Demonstration of range of no statistical significance for </w:t>
      </w:r>
      <w:r w:rsidRPr="00916223">
        <w:rPr>
          <w:i/>
          <w:noProof/>
        </w:rPr>
        <w:t>Pan troglodytes</w:t>
      </w:r>
      <w:r w:rsidRPr="00916223">
        <w:rPr>
          <w:noProof/>
        </w:rPr>
        <w:t xml:space="preserve"> females.</w:t>
      </w:r>
      <w:r>
        <w:rPr>
          <w:noProof/>
          <w:webHidden/>
        </w:rPr>
        <w:tab/>
        <w:t>142</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4.17</w:t>
      </w:r>
      <w:r w:rsidR="00165556">
        <w:rPr>
          <w:b/>
          <w:noProof/>
        </w:rPr>
        <w:tab/>
      </w:r>
      <w:r w:rsidRPr="00916223">
        <w:rPr>
          <w:noProof/>
        </w:rPr>
        <w:t xml:space="preserve"> </w:t>
      </w:r>
      <w:r w:rsidR="00165556">
        <w:rPr>
          <w:noProof/>
        </w:rPr>
        <w:t>M</w:t>
      </w:r>
      <w:r w:rsidRPr="00916223">
        <w:rPr>
          <w:noProof/>
        </w:rPr>
        <w:t xml:space="preserve">ean values for all epiphyses at complete fusion states for </w:t>
      </w:r>
      <w:r w:rsidRPr="00916223">
        <w:rPr>
          <w:i/>
          <w:noProof/>
        </w:rPr>
        <w:t>Pan troglodytes</w:t>
      </w:r>
      <w:r w:rsidRPr="00916223">
        <w:rPr>
          <w:noProof/>
        </w:rPr>
        <w:t xml:space="preserve"> females.</w:t>
      </w:r>
      <w:r>
        <w:rPr>
          <w:noProof/>
          <w:webHidden/>
        </w:rPr>
        <w:tab/>
        <w:t>144</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4.18</w:t>
      </w:r>
      <w:r w:rsidRPr="00916223">
        <w:rPr>
          <w:noProof/>
        </w:rPr>
        <w:t xml:space="preserve"> </w:t>
      </w:r>
      <w:r w:rsidR="00165556">
        <w:rPr>
          <w:noProof/>
        </w:rPr>
        <w:tab/>
      </w:r>
      <w:r w:rsidRPr="00916223">
        <w:rPr>
          <w:noProof/>
        </w:rPr>
        <w:t xml:space="preserve">Mean values for all epiphyses at complete fusion states for </w:t>
      </w:r>
      <w:r w:rsidRPr="00916223">
        <w:rPr>
          <w:i/>
          <w:noProof/>
        </w:rPr>
        <w:t>Pan troglodytes</w:t>
      </w:r>
      <w:r w:rsidRPr="00916223">
        <w:rPr>
          <w:noProof/>
        </w:rPr>
        <w:t xml:space="preserve"> males.</w:t>
      </w:r>
      <w:r>
        <w:rPr>
          <w:noProof/>
          <w:webHidden/>
        </w:rPr>
        <w:tab/>
        <w:t>145</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4.19</w:t>
      </w:r>
      <w:r w:rsidRPr="00916223">
        <w:rPr>
          <w:noProof/>
        </w:rPr>
        <w:t xml:space="preserve"> </w:t>
      </w:r>
      <w:r w:rsidR="00165556">
        <w:rPr>
          <w:noProof/>
        </w:rPr>
        <w:tab/>
      </w:r>
      <w:r w:rsidRPr="00916223">
        <w:rPr>
          <w:noProof/>
        </w:rPr>
        <w:t xml:space="preserve">Mean values for all epiphyses at mid-fusion states for combined sex </w:t>
      </w:r>
      <w:r w:rsidRPr="00916223">
        <w:rPr>
          <w:i/>
          <w:noProof/>
        </w:rPr>
        <w:t>Pan troglodytes</w:t>
      </w:r>
      <w:r w:rsidRPr="00916223">
        <w:rPr>
          <w:noProof/>
        </w:rPr>
        <w:t>.</w:t>
      </w:r>
      <w:r>
        <w:rPr>
          <w:noProof/>
          <w:webHidden/>
        </w:rPr>
        <w:tab/>
        <w:t>15</w:t>
      </w:r>
      <w:r w:rsidR="00155FB1">
        <w:rPr>
          <w:noProof/>
          <w:webHidden/>
        </w:rPr>
        <w:t>1</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4.20</w:t>
      </w:r>
      <w:r w:rsidRPr="00916223">
        <w:rPr>
          <w:noProof/>
        </w:rPr>
        <w:t xml:space="preserve"> </w:t>
      </w:r>
      <w:r w:rsidR="00165556">
        <w:rPr>
          <w:noProof/>
        </w:rPr>
        <w:tab/>
      </w:r>
      <w:r w:rsidRPr="00916223">
        <w:rPr>
          <w:noProof/>
        </w:rPr>
        <w:t xml:space="preserve">Mean values for all epiphyses at complete-fusion states for combined sex </w:t>
      </w:r>
      <w:r w:rsidRPr="00916223">
        <w:rPr>
          <w:i/>
          <w:noProof/>
        </w:rPr>
        <w:t>Pan troglodytes</w:t>
      </w:r>
      <w:r w:rsidRPr="00916223">
        <w:rPr>
          <w:noProof/>
        </w:rPr>
        <w:t>.</w:t>
      </w:r>
      <w:r>
        <w:rPr>
          <w:noProof/>
          <w:webHidden/>
        </w:rPr>
        <w:tab/>
        <w:t>15</w:t>
      </w:r>
      <w:r w:rsidR="00155FB1">
        <w:rPr>
          <w:noProof/>
          <w:webHidden/>
        </w:rPr>
        <w:t>2</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4.21</w:t>
      </w:r>
      <w:r w:rsidRPr="00916223">
        <w:rPr>
          <w:noProof/>
        </w:rPr>
        <w:t xml:space="preserve"> </w:t>
      </w:r>
      <w:r w:rsidR="00165556">
        <w:rPr>
          <w:noProof/>
        </w:rPr>
        <w:tab/>
      </w:r>
      <w:r w:rsidRPr="00916223">
        <w:rPr>
          <w:noProof/>
        </w:rPr>
        <w:t>Log</w:t>
      </w:r>
      <w:r w:rsidRPr="00916223">
        <w:rPr>
          <w:noProof/>
          <w:vertAlign w:val="subscript"/>
        </w:rPr>
        <w:t>10</w:t>
      </w:r>
      <w:r w:rsidRPr="00916223">
        <w:rPr>
          <w:noProof/>
        </w:rPr>
        <w:t xml:space="preserve"> regression for male </w:t>
      </w:r>
      <w:r w:rsidRPr="00916223">
        <w:rPr>
          <w:i/>
          <w:noProof/>
        </w:rPr>
        <w:t>Pan troglodytes</w:t>
      </w:r>
      <w:r w:rsidRPr="00916223">
        <w:rPr>
          <w:noProof/>
        </w:rPr>
        <w:t xml:space="preserve"> upper vs. lower limb.</w:t>
      </w:r>
      <w:r>
        <w:rPr>
          <w:noProof/>
          <w:webHidden/>
        </w:rPr>
        <w:tab/>
        <w:t>15</w:t>
      </w:r>
      <w:r w:rsidR="00155FB1">
        <w:rPr>
          <w:noProof/>
          <w:webHidden/>
        </w:rPr>
        <w:t>8</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4.22</w:t>
      </w:r>
      <w:r w:rsidRPr="00916223">
        <w:rPr>
          <w:noProof/>
        </w:rPr>
        <w:t xml:space="preserve"> </w:t>
      </w:r>
      <w:r w:rsidR="00165556">
        <w:rPr>
          <w:noProof/>
        </w:rPr>
        <w:tab/>
      </w:r>
      <w:r>
        <w:rPr>
          <w:noProof/>
          <w:color w:val="000000" w:themeColor="text1"/>
        </w:rPr>
        <w:t>Regression plot of l</w:t>
      </w:r>
      <w:r w:rsidRPr="006631BB">
        <w:rPr>
          <w:noProof/>
          <w:color w:val="000000" w:themeColor="text1"/>
        </w:rPr>
        <w:t>og</w:t>
      </w:r>
      <w:r w:rsidRPr="006631BB">
        <w:rPr>
          <w:noProof/>
          <w:color w:val="000000" w:themeColor="text1"/>
          <w:vertAlign w:val="subscript"/>
        </w:rPr>
        <w:t>10</w:t>
      </w:r>
      <w:r>
        <w:rPr>
          <w:noProof/>
          <w:color w:val="000000" w:themeColor="text1"/>
        </w:rPr>
        <w:t xml:space="preserve"> transformed intermembral indicies for </w:t>
      </w:r>
      <w:r>
        <w:rPr>
          <w:i/>
          <w:noProof/>
          <w:color w:val="000000" w:themeColor="text1"/>
        </w:rPr>
        <w:t>Pan troglodytes</w:t>
      </w:r>
      <w:r>
        <w:rPr>
          <w:noProof/>
          <w:color w:val="000000" w:themeColor="text1"/>
        </w:rPr>
        <w:t xml:space="preserve"> and </w:t>
      </w:r>
      <w:r>
        <w:rPr>
          <w:i/>
          <w:noProof/>
          <w:color w:val="000000" w:themeColor="text1"/>
        </w:rPr>
        <w:t>Pan paniscus</w:t>
      </w:r>
      <w:r>
        <w:rPr>
          <w:noProof/>
          <w:color w:val="000000" w:themeColor="text1"/>
        </w:rPr>
        <w:t xml:space="preserve"> males</w:t>
      </w:r>
      <w:r w:rsidRPr="00916223">
        <w:rPr>
          <w:noProof/>
        </w:rPr>
        <w:t>.</w:t>
      </w:r>
      <w:r>
        <w:rPr>
          <w:noProof/>
          <w:webHidden/>
        </w:rPr>
        <w:tab/>
        <w:t>1</w:t>
      </w:r>
      <w:r w:rsidR="00155FB1">
        <w:rPr>
          <w:noProof/>
          <w:webHidden/>
        </w:rPr>
        <w:t>59</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4.23</w:t>
      </w:r>
      <w:r w:rsidRPr="00916223">
        <w:rPr>
          <w:noProof/>
        </w:rPr>
        <w:t xml:space="preserve"> </w:t>
      </w:r>
      <w:r w:rsidR="00165556">
        <w:rPr>
          <w:noProof/>
        </w:rPr>
        <w:tab/>
      </w:r>
      <w:r w:rsidRPr="00916223">
        <w:rPr>
          <w:noProof/>
        </w:rPr>
        <w:t>Regression plot of log</w:t>
      </w:r>
      <w:r w:rsidRPr="00916223">
        <w:rPr>
          <w:noProof/>
          <w:vertAlign w:val="subscript"/>
        </w:rPr>
        <w:t>10</w:t>
      </w:r>
      <w:r w:rsidRPr="00916223">
        <w:rPr>
          <w:noProof/>
        </w:rPr>
        <w:t xml:space="preserve"> transformed intermembral indicies for </w:t>
      </w:r>
      <w:r w:rsidRPr="00155FB1">
        <w:rPr>
          <w:i/>
          <w:noProof/>
        </w:rPr>
        <w:t>Pan troglodytes</w:t>
      </w:r>
      <w:r w:rsidRPr="00916223">
        <w:rPr>
          <w:noProof/>
        </w:rPr>
        <w:t xml:space="preserve"> and Pan paniscus females.</w:t>
      </w:r>
      <w:r>
        <w:rPr>
          <w:noProof/>
          <w:webHidden/>
        </w:rPr>
        <w:tab/>
        <w:t>16</w:t>
      </w:r>
      <w:r w:rsidR="00155FB1">
        <w:rPr>
          <w:noProof/>
          <w:webHidden/>
        </w:rPr>
        <w:t>0</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5.1 </w:t>
      </w:r>
      <w:r w:rsidR="00165556">
        <w:rPr>
          <w:b/>
          <w:noProof/>
        </w:rPr>
        <w:tab/>
      </w:r>
      <w:r w:rsidRPr="00916223">
        <w:rPr>
          <w:noProof/>
        </w:rPr>
        <w:t xml:space="preserve">Matrix showing fusion events for </w:t>
      </w:r>
      <w:r w:rsidRPr="00916223">
        <w:rPr>
          <w:i/>
          <w:noProof/>
        </w:rPr>
        <w:t>Pan troglodytes</w:t>
      </w:r>
      <w:r w:rsidRPr="00916223">
        <w:rPr>
          <w:noProof/>
        </w:rPr>
        <w:t xml:space="preserve"> males using Schaefer and Black (2007) criteria.</w:t>
      </w:r>
      <w:r>
        <w:rPr>
          <w:noProof/>
          <w:webHidden/>
        </w:rPr>
        <w:tab/>
        <w:t>17</w:t>
      </w:r>
      <w:r w:rsidR="00155FB1">
        <w:rPr>
          <w:noProof/>
          <w:webHidden/>
        </w:rPr>
        <w:t>2</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5.2</w:t>
      </w:r>
      <w:r w:rsidRPr="00916223">
        <w:rPr>
          <w:noProof/>
        </w:rPr>
        <w:t xml:space="preserve"> </w:t>
      </w:r>
      <w:r w:rsidR="00165556">
        <w:rPr>
          <w:noProof/>
        </w:rPr>
        <w:tab/>
      </w:r>
      <w:r w:rsidRPr="00916223">
        <w:rPr>
          <w:noProof/>
        </w:rPr>
        <w:t xml:space="preserve">Modular sequence for combined-sex </w:t>
      </w:r>
      <w:r w:rsidRPr="00916223">
        <w:rPr>
          <w:i/>
          <w:noProof/>
        </w:rPr>
        <w:t>Pan troglodytes</w:t>
      </w:r>
      <w:r w:rsidRPr="00916223">
        <w:rPr>
          <w:noProof/>
        </w:rPr>
        <w:t>.</w:t>
      </w:r>
      <w:r>
        <w:rPr>
          <w:noProof/>
          <w:webHidden/>
        </w:rPr>
        <w:tab/>
        <w:t>17</w:t>
      </w:r>
      <w:r w:rsidR="00155FB1">
        <w:rPr>
          <w:noProof/>
          <w:webHidden/>
        </w:rPr>
        <w:t>4</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5.3 </w:t>
      </w:r>
      <w:r w:rsidR="00165556">
        <w:rPr>
          <w:b/>
          <w:noProof/>
        </w:rPr>
        <w:tab/>
      </w:r>
      <w:r w:rsidRPr="00916223">
        <w:rPr>
          <w:noProof/>
        </w:rPr>
        <w:t>Demonstration of mean adult humeral length after fusion of the proximal epiphysis.</w:t>
      </w:r>
      <w:r>
        <w:rPr>
          <w:noProof/>
          <w:webHidden/>
        </w:rPr>
        <w:tab/>
        <w:t>18</w:t>
      </w:r>
      <w:r w:rsidR="00155FB1">
        <w:rPr>
          <w:noProof/>
          <w:webHidden/>
        </w:rPr>
        <w:t>4</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6.1</w:t>
      </w:r>
      <w:r w:rsidRPr="00916223">
        <w:rPr>
          <w:noProof/>
        </w:rPr>
        <w:t xml:space="preserve"> </w:t>
      </w:r>
      <w:r w:rsidR="00165556">
        <w:rPr>
          <w:noProof/>
        </w:rPr>
        <w:tab/>
      </w:r>
      <w:r w:rsidRPr="00916223">
        <w:rPr>
          <w:noProof/>
        </w:rPr>
        <w:t>Representation of a chimpanzee growth curve relative to time based on prior studies by Kimura and Hamada (1996), Leigh and Shea (1996),and  Shea (1981)</w:t>
      </w:r>
      <w:r>
        <w:rPr>
          <w:noProof/>
          <w:webHidden/>
        </w:rPr>
        <w:tab/>
        <w:t>1</w:t>
      </w:r>
      <w:r w:rsidR="00155FB1">
        <w:rPr>
          <w:noProof/>
          <w:webHidden/>
        </w:rPr>
        <w:t>89</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6.2</w:t>
      </w:r>
      <w:r w:rsidRPr="00916223">
        <w:rPr>
          <w:noProof/>
        </w:rPr>
        <w:t xml:space="preserve"> Reproduction of Kuykendall’s (1996) regression for dental score relative to chronological age.</w:t>
      </w:r>
      <w:r>
        <w:rPr>
          <w:noProof/>
          <w:webHidden/>
        </w:rPr>
        <w:tab/>
        <w:t>19</w:t>
      </w:r>
      <w:r w:rsidR="00155FB1">
        <w:rPr>
          <w:noProof/>
          <w:webHidden/>
        </w:rPr>
        <w:t>0</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 xml:space="preserve">Figure 6.3 </w:t>
      </w:r>
      <w:r w:rsidR="00165556">
        <w:rPr>
          <w:b/>
          <w:noProof/>
        </w:rPr>
        <w:tab/>
      </w:r>
      <w:r w:rsidRPr="00916223">
        <w:rPr>
          <w:noProof/>
        </w:rPr>
        <w:t>Demonstration of the limitation of DS64 individuals on observing chimpanzee growth curves.</w:t>
      </w:r>
      <w:r>
        <w:rPr>
          <w:noProof/>
          <w:webHidden/>
        </w:rPr>
        <w:tab/>
        <w:t>19</w:t>
      </w:r>
      <w:r w:rsidR="00155FB1">
        <w:rPr>
          <w:noProof/>
          <w:webHidden/>
        </w:rPr>
        <w:t>1</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lastRenderedPageBreak/>
        <w:t>Figure 6.4</w:t>
      </w:r>
      <w:r w:rsidRPr="00916223">
        <w:rPr>
          <w:rFonts w:eastAsiaTheme="minorHAnsi"/>
          <w:noProof/>
          <w:lang w:val="en-GB"/>
        </w:rPr>
        <w:t xml:space="preserve"> </w:t>
      </w:r>
      <w:r w:rsidR="00165556">
        <w:rPr>
          <w:rFonts w:eastAsiaTheme="minorHAnsi"/>
          <w:noProof/>
          <w:lang w:val="en-GB"/>
        </w:rPr>
        <w:tab/>
      </w:r>
      <w:r w:rsidRPr="00916223">
        <w:rPr>
          <w:rFonts w:eastAsiaTheme="minorHAnsi"/>
          <w:noProof/>
          <w:lang w:val="en-GB"/>
        </w:rPr>
        <w:t xml:space="preserve">Grouping of epiphyseal fusion events by region for </w:t>
      </w:r>
      <w:r w:rsidRPr="00916223">
        <w:rPr>
          <w:rFonts w:eastAsiaTheme="minorHAnsi"/>
          <w:i/>
          <w:noProof/>
          <w:lang w:val="en-GB"/>
        </w:rPr>
        <w:t xml:space="preserve">Pan troglodytes </w:t>
      </w:r>
      <w:r w:rsidRPr="00916223">
        <w:rPr>
          <w:rFonts w:eastAsiaTheme="minorHAnsi"/>
          <w:noProof/>
          <w:lang w:val="en-GB"/>
        </w:rPr>
        <w:t>females ordered by mean epiphyseal fusion values.</w:t>
      </w:r>
      <w:r>
        <w:rPr>
          <w:noProof/>
          <w:webHidden/>
        </w:rPr>
        <w:tab/>
        <w:t>19</w:t>
      </w:r>
      <w:r w:rsidR="00155FB1">
        <w:rPr>
          <w:noProof/>
          <w:webHidden/>
        </w:rPr>
        <w:t>5</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6.5</w:t>
      </w:r>
      <w:r w:rsidRPr="00916223">
        <w:rPr>
          <w:rFonts w:eastAsiaTheme="minorHAnsi"/>
          <w:noProof/>
          <w:lang w:val="en-GB"/>
        </w:rPr>
        <w:t xml:space="preserve"> </w:t>
      </w:r>
      <w:r w:rsidR="00165556">
        <w:rPr>
          <w:rFonts w:eastAsiaTheme="minorHAnsi"/>
          <w:noProof/>
          <w:lang w:val="en-GB"/>
        </w:rPr>
        <w:tab/>
      </w:r>
      <w:r w:rsidRPr="00916223">
        <w:rPr>
          <w:rFonts w:eastAsiaTheme="minorHAnsi"/>
          <w:noProof/>
          <w:lang w:val="en-GB"/>
        </w:rPr>
        <w:t xml:space="preserve">Grouping of epiphyseal fusion events by region for </w:t>
      </w:r>
      <w:r w:rsidRPr="00916223">
        <w:rPr>
          <w:rFonts w:eastAsiaTheme="minorHAnsi"/>
          <w:i/>
          <w:noProof/>
          <w:lang w:val="en-GB"/>
        </w:rPr>
        <w:t xml:space="preserve">Pan troglodytes </w:t>
      </w:r>
      <w:r w:rsidRPr="00916223">
        <w:rPr>
          <w:rFonts w:eastAsiaTheme="minorHAnsi"/>
          <w:noProof/>
          <w:lang w:val="en-GB"/>
        </w:rPr>
        <w:t>males ordered by mean epiphyseal fusion values.</w:t>
      </w:r>
      <w:r>
        <w:rPr>
          <w:noProof/>
          <w:webHidden/>
        </w:rPr>
        <w:tab/>
        <w:t>19</w:t>
      </w:r>
      <w:r w:rsidR="00155FB1">
        <w:rPr>
          <w:noProof/>
          <w:webHidden/>
        </w:rPr>
        <w:t>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6.6</w:t>
      </w:r>
      <w:r w:rsidRPr="00916223">
        <w:rPr>
          <w:noProof/>
        </w:rPr>
        <w:t xml:space="preserve"> </w:t>
      </w:r>
      <w:r w:rsidR="00165556">
        <w:rPr>
          <w:noProof/>
        </w:rPr>
        <w:tab/>
      </w:r>
      <w:r w:rsidRPr="00916223">
        <w:rPr>
          <w:noProof/>
        </w:rPr>
        <w:t xml:space="preserve">Grouping of epiphyseal fusion events by region for </w:t>
      </w:r>
      <w:r w:rsidRPr="00916223">
        <w:rPr>
          <w:i/>
          <w:noProof/>
        </w:rPr>
        <w:t xml:space="preserve">Pan troglodytes </w:t>
      </w:r>
      <w:r w:rsidRPr="00916223">
        <w:rPr>
          <w:noProof/>
        </w:rPr>
        <w:t>females using modular sequence.</w:t>
      </w:r>
      <w:r>
        <w:rPr>
          <w:noProof/>
          <w:webHidden/>
        </w:rPr>
        <w:tab/>
        <w:t>19</w:t>
      </w:r>
      <w:r w:rsidR="00155FB1">
        <w:rPr>
          <w:noProof/>
          <w:webHidden/>
        </w:rPr>
        <w:t>7</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6.7</w:t>
      </w:r>
      <w:r w:rsidRPr="00916223">
        <w:rPr>
          <w:noProof/>
        </w:rPr>
        <w:t xml:space="preserve"> </w:t>
      </w:r>
      <w:r w:rsidR="00165556">
        <w:rPr>
          <w:noProof/>
        </w:rPr>
        <w:tab/>
      </w:r>
      <w:r w:rsidRPr="00916223">
        <w:rPr>
          <w:noProof/>
        </w:rPr>
        <w:t xml:space="preserve">Grouping of epiphyseal fusion events by region for </w:t>
      </w:r>
      <w:r w:rsidRPr="00916223">
        <w:rPr>
          <w:i/>
          <w:noProof/>
        </w:rPr>
        <w:t xml:space="preserve">Pan troglodytes </w:t>
      </w:r>
      <w:r w:rsidRPr="00916223">
        <w:rPr>
          <w:noProof/>
        </w:rPr>
        <w:t>males using modular sequence.</w:t>
      </w:r>
      <w:r>
        <w:rPr>
          <w:noProof/>
          <w:webHidden/>
        </w:rPr>
        <w:tab/>
        <w:t>19</w:t>
      </w:r>
      <w:r w:rsidR="00155FB1">
        <w:rPr>
          <w:noProof/>
          <w:webHidden/>
        </w:rPr>
        <w:t>8</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6.8</w:t>
      </w:r>
      <w:r w:rsidRPr="00916223">
        <w:rPr>
          <w:noProof/>
        </w:rPr>
        <w:t xml:space="preserve"> </w:t>
      </w:r>
      <w:r w:rsidR="00165556">
        <w:rPr>
          <w:noProof/>
        </w:rPr>
        <w:tab/>
      </w:r>
      <w:r w:rsidRPr="00916223">
        <w:rPr>
          <w:noProof/>
        </w:rPr>
        <w:t>Regional pattern for humans derived from the modular pattern found in Schaefer and Black (2007).</w:t>
      </w:r>
      <w:r>
        <w:rPr>
          <w:noProof/>
          <w:webHidden/>
        </w:rPr>
        <w:tab/>
        <w:t>20</w:t>
      </w:r>
      <w:r w:rsidR="00155FB1">
        <w:rPr>
          <w:noProof/>
          <w:webHidden/>
        </w:rPr>
        <w:t>0</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6.9</w:t>
      </w:r>
      <w:r w:rsidRPr="00916223">
        <w:rPr>
          <w:noProof/>
        </w:rPr>
        <w:t xml:space="preserve"> </w:t>
      </w:r>
      <w:r w:rsidR="00165556">
        <w:rPr>
          <w:noProof/>
        </w:rPr>
        <w:tab/>
      </w:r>
      <w:r w:rsidRPr="00916223">
        <w:rPr>
          <w:noProof/>
        </w:rPr>
        <w:t>Visualization of chimpanzees and humans using hypothetical chimpanzee maturational time units.</w:t>
      </w:r>
      <w:r>
        <w:rPr>
          <w:noProof/>
          <w:webHidden/>
        </w:rPr>
        <w:tab/>
        <w:t>20</w:t>
      </w:r>
      <w:r w:rsidR="00155FB1">
        <w:rPr>
          <w:noProof/>
          <w:webHidden/>
        </w:rPr>
        <w:t>6</w:t>
      </w:r>
    </w:p>
    <w:p w:rsidR="00795735" w:rsidRDefault="00795735" w:rsidP="00795735">
      <w:pPr>
        <w:pStyle w:val="TableofFigures"/>
        <w:tabs>
          <w:tab w:val="right" w:pos="9072"/>
        </w:tabs>
        <w:spacing w:before="120" w:line="288" w:lineRule="auto"/>
        <w:ind w:left="1134" w:right="474" w:hanging="1134"/>
        <w:rPr>
          <w:rFonts w:asciiTheme="minorHAnsi" w:eastAsiaTheme="minorEastAsia" w:hAnsiTheme="minorHAnsi" w:cstheme="minorBidi"/>
          <w:noProof/>
          <w:lang w:val="en-GB" w:eastAsia="en-GB"/>
        </w:rPr>
      </w:pPr>
      <w:r w:rsidRPr="00916223">
        <w:rPr>
          <w:b/>
          <w:noProof/>
        </w:rPr>
        <w:t>Figure 6.10</w:t>
      </w:r>
      <w:r w:rsidRPr="00916223">
        <w:rPr>
          <w:noProof/>
        </w:rPr>
        <w:t xml:space="preserve"> </w:t>
      </w:r>
      <w:r w:rsidR="00165556">
        <w:rPr>
          <w:noProof/>
        </w:rPr>
        <w:tab/>
      </w:r>
      <w:r w:rsidRPr="00916223">
        <w:rPr>
          <w:noProof/>
        </w:rPr>
        <w:t>Visualization of chimpanzees and humans development as compared to chronological years using chimpanzee maturational time units.</w:t>
      </w:r>
      <w:r>
        <w:rPr>
          <w:noProof/>
          <w:webHidden/>
        </w:rPr>
        <w:tab/>
        <w:t>20</w:t>
      </w:r>
      <w:r w:rsidR="00155FB1">
        <w:rPr>
          <w:noProof/>
          <w:webHidden/>
        </w:rPr>
        <w:t>6</w:t>
      </w:r>
    </w:p>
    <w:p w:rsidR="00795735" w:rsidRDefault="00795735" w:rsidP="00795735">
      <w:pPr>
        <w:tabs>
          <w:tab w:val="right" w:pos="9072"/>
        </w:tabs>
        <w:spacing w:before="120" w:line="288" w:lineRule="auto"/>
        <w:ind w:left="1134" w:right="474" w:hanging="1134"/>
      </w:pPr>
    </w:p>
    <w:p w:rsidR="00795735" w:rsidRPr="00A96574" w:rsidRDefault="00795735" w:rsidP="00795735">
      <w:pPr>
        <w:jc w:val="center"/>
        <w:rPr>
          <w:b/>
        </w:rPr>
      </w:pPr>
      <w:r w:rsidRPr="00A96574">
        <w:rPr>
          <w:b/>
        </w:rPr>
        <w:t>List of Figures for the Appendix</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Figure 8.1</w:t>
      </w:r>
      <w:r w:rsidRPr="00916223">
        <w:rPr>
          <w:noProof/>
        </w:rPr>
        <w:t xml:space="preserve"> Summary of missing values for </w:t>
      </w:r>
      <w:r w:rsidRPr="00916223">
        <w:rPr>
          <w:i/>
          <w:noProof/>
        </w:rPr>
        <w:t>Pan paniscus</w:t>
      </w:r>
      <w:r w:rsidRPr="00916223">
        <w:rPr>
          <w:noProof/>
        </w:rPr>
        <w:t xml:space="preserve"> combined sex multiple imputation</w:t>
      </w:r>
      <w:r>
        <w:rPr>
          <w:noProof/>
          <w:webHidden/>
        </w:rPr>
        <w:tab/>
        <w:t>23</w:t>
      </w:r>
      <w:r w:rsidR="004B1518">
        <w:rPr>
          <w:noProof/>
          <w:webHidden/>
        </w:rPr>
        <w:t>1</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Figure 8.2</w:t>
      </w:r>
      <w:r w:rsidRPr="00916223">
        <w:rPr>
          <w:noProof/>
        </w:rPr>
        <w:t xml:space="preserve"> Missing value patterns for </w:t>
      </w:r>
      <w:r w:rsidRPr="00916223">
        <w:rPr>
          <w:i/>
          <w:noProof/>
        </w:rPr>
        <w:t>Pan paniscus</w:t>
      </w:r>
      <w:r w:rsidRPr="00916223">
        <w:rPr>
          <w:noProof/>
        </w:rPr>
        <w:t xml:space="preserve"> combined sex multiple imputation</w:t>
      </w:r>
      <w:r>
        <w:rPr>
          <w:noProof/>
          <w:webHidden/>
        </w:rPr>
        <w:tab/>
        <w:t>23</w:t>
      </w:r>
      <w:r w:rsidR="004B1518">
        <w:rPr>
          <w:noProof/>
          <w:webHidden/>
        </w:rPr>
        <w:t>2</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Figure 8.3</w:t>
      </w:r>
      <w:r w:rsidRPr="00916223">
        <w:rPr>
          <w:noProof/>
        </w:rPr>
        <w:t xml:space="preserve"> Summary of missing values for </w:t>
      </w:r>
      <w:r w:rsidRPr="00916223">
        <w:rPr>
          <w:i/>
          <w:noProof/>
        </w:rPr>
        <w:t>Pan troglodytes</w:t>
      </w:r>
      <w:r w:rsidRPr="00916223">
        <w:rPr>
          <w:noProof/>
        </w:rPr>
        <w:t xml:space="preserve"> females multiple imputation</w:t>
      </w:r>
      <w:r>
        <w:rPr>
          <w:noProof/>
          <w:webHidden/>
        </w:rPr>
        <w:tab/>
        <w:t>23</w:t>
      </w:r>
      <w:r w:rsidR="004B1518">
        <w:rPr>
          <w:noProof/>
          <w:webHidden/>
        </w:rPr>
        <w:t>2</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Figure 8.4</w:t>
      </w:r>
      <w:r w:rsidRPr="00916223">
        <w:rPr>
          <w:noProof/>
        </w:rPr>
        <w:t xml:space="preserve"> Missing value patterns for </w:t>
      </w:r>
      <w:r w:rsidRPr="00916223">
        <w:rPr>
          <w:i/>
          <w:noProof/>
        </w:rPr>
        <w:t>Pan troglodytes</w:t>
      </w:r>
      <w:r w:rsidRPr="00916223">
        <w:rPr>
          <w:noProof/>
        </w:rPr>
        <w:t xml:space="preserve"> females multiple imputation</w:t>
      </w:r>
      <w:r>
        <w:rPr>
          <w:noProof/>
          <w:webHidden/>
        </w:rPr>
        <w:tab/>
        <w:t>23</w:t>
      </w:r>
      <w:r w:rsidR="004B1518">
        <w:rPr>
          <w:noProof/>
          <w:webHidden/>
        </w:rPr>
        <w:t>3</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Figure 8.5</w:t>
      </w:r>
      <w:r w:rsidRPr="00916223">
        <w:rPr>
          <w:noProof/>
        </w:rPr>
        <w:t xml:space="preserve"> Summary of missing values for </w:t>
      </w:r>
      <w:r w:rsidRPr="00916223">
        <w:rPr>
          <w:i/>
          <w:noProof/>
        </w:rPr>
        <w:t>Pan troglodytes</w:t>
      </w:r>
      <w:r w:rsidRPr="00916223">
        <w:rPr>
          <w:noProof/>
        </w:rPr>
        <w:t xml:space="preserve"> males multiple imputation</w:t>
      </w:r>
      <w:r>
        <w:rPr>
          <w:noProof/>
          <w:webHidden/>
        </w:rPr>
        <w:tab/>
        <w:t>23</w:t>
      </w:r>
      <w:r w:rsidR="004B1518">
        <w:rPr>
          <w:noProof/>
          <w:webHidden/>
        </w:rPr>
        <w:t>4</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Figure 8.6</w:t>
      </w:r>
      <w:r w:rsidRPr="00916223">
        <w:rPr>
          <w:noProof/>
        </w:rPr>
        <w:t xml:space="preserve"> Missing value patterns for </w:t>
      </w:r>
      <w:r w:rsidRPr="00916223">
        <w:rPr>
          <w:i/>
          <w:noProof/>
        </w:rPr>
        <w:t>Pan troglodytes</w:t>
      </w:r>
      <w:r w:rsidRPr="00916223">
        <w:rPr>
          <w:noProof/>
        </w:rPr>
        <w:t xml:space="preserve"> males multiple imputation</w:t>
      </w:r>
      <w:r>
        <w:rPr>
          <w:noProof/>
          <w:webHidden/>
        </w:rPr>
        <w:tab/>
        <w:t>23</w:t>
      </w:r>
      <w:r w:rsidR="004B1518">
        <w:rPr>
          <w:noProof/>
          <w:webHidden/>
        </w:rPr>
        <w:t>5</w:t>
      </w:r>
    </w:p>
    <w:p w:rsidR="00795735" w:rsidRDefault="00795735" w:rsidP="00795735">
      <w:pPr>
        <w:tabs>
          <w:tab w:val="right" w:pos="9072"/>
          <w:tab w:val="right" w:pos="9214"/>
        </w:tabs>
        <w:spacing w:before="120"/>
        <w:ind w:right="260" w:hanging="993"/>
      </w:pPr>
    </w:p>
    <w:p w:rsidR="00795735" w:rsidRDefault="00795735" w:rsidP="00795735">
      <w:pPr>
        <w:spacing w:before="0" w:after="200" w:line="276" w:lineRule="auto"/>
        <w:jc w:val="left"/>
      </w:pPr>
      <w:r>
        <w:br w:type="page"/>
      </w:r>
    </w:p>
    <w:p w:rsidR="00795735" w:rsidRPr="00A96574" w:rsidRDefault="00795735" w:rsidP="00795735">
      <w:pPr>
        <w:spacing w:before="120"/>
        <w:ind w:right="-93"/>
        <w:jc w:val="center"/>
        <w:rPr>
          <w:b/>
        </w:rPr>
      </w:pPr>
      <w:r w:rsidRPr="00A96574">
        <w:rPr>
          <w:b/>
        </w:rPr>
        <w:lastRenderedPageBreak/>
        <w:t>List of Tables</w:t>
      </w:r>
    </w:p>
    <w:p w:rsidR="00795735" w:rsidRDefault="00795735" w:rsidP="00795735">
      <w:pPr>
        <w:pStyle w:val="TableofFigures"/>
        <w:tabs>
          <w:tab w:val="right" w:pos="9072"/>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2.1</w:t>
      </w:r>
      <w:r w:rsidRPr="00916223">
        <w:rPr>
          <w:noProof/>
        </w:rPr>
        <w:t xml:space="preserve"> </w:t>
      </w:r>
      <w:r w:rsidR="00EE3867">
        <w:rPr>
          <w:noProof/>
        </w:rPr>
        <w:tab/>
      </w:r>
      <w:r w:rsidRPr="00916223">
        <w:rPr>
          <w:noProof/>
        </w:rPr>
        <w:t>Species and sample sizes used by King (2004).</w:t>
      </w:r>
      <w:r>
        <w:rPr>
          <w:noProof/>
          <w:webHidden/>
        </w:rPr>
        <w:tab/>
        <w:t>16</w:t>
      </w:r>
    </w:p>
    <w:p w:rsidR="00795735" w:rsidRDefault="00795735" w:rsidP="00795735">
      <w:pPr>
        <w:pStyle w:val="TableofFigures"/>
        <w:tabs>
          <w:tab w:val="right" w:pos="9072"/>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2.2</w:t>
      </w:r>
      <w:r w:rsidRPr="00916223">
        <w:rPr>
          <w:noProof/>
        </w:rPr>
        <w:t xml:space="preserve"> </w:t>
      </w:r>
      <w:r w:rsidR="00EE3867">
        <w:rPr>
          <w:noProof/>
        </w:rPr>
        <w:tab/>
      </w:r>
      <w:r w:rsidRPr="00916223">
        <w:rPr>
          <w:noProof/>
        </w:rPr>
        <w:t>Studies of epiphyseal fusion sequences across different human populations.</w:t>
      </w:r>
      <w:r>
        <w:rPr>
          <w:noProof/>
          <w:webHidden/>
        </w:rPr>
        <w:tab/>
        <w:t>2</w:t>
      </w:r>
      <w:r w:rsidR="00952275">
        <w:rPr>
          <w:noProof/>
          <w:webHidden/>
        </w:rPr>
        <w:t>6</w:t>
      </w:r>
    </w:p>
    <w:p w:rsidR="00795735" w:rsidRDefault="00795735" w:rsidP="00795735">
      <w:pPr>
        <w:pStyle w:val="TableofFigures"/>
        <w:tabs>
          <w:tab w:val="right" w:pos="9072"/>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2.3</w:t>
      </w:r>
      <w:r w:rsidRPr="00916223">
        <w:rPr>
          <w:noProof/>
        </w:rPr>
        <w:t xml:space="preserve"> </w:t>
      </w:r>
      <w:r w:rsidR="00EE3867">
        <w:rPr>
          <w:noProof/>
        </w:rPr>
        <w:tab/>
      </w:r>
      <w:r w:rsidRPr="00916223">
        <w:rPr>
          <w:noProof/>
        </w:rPr>
        <w:t xml:space="preserve">Previous studies of </w:t>
      </w:r>
      <w:r w:rsidRPr="00916223">
        <w:rPr>
          <w:i/>
          <w:noProof/>
        </w:rPr>
        <w:t>Pan troglodytes</w:t>
      </w:r>
      <w:r w:rsidRPr="00916223">
        <w:rPr>
          <w:noProof/>
        </w:rPr>
        <w:t xml:space="preserve"> epiphyseal fusion.</w:t>
      </w:r>
      <w:r>
        <w:rPr>
          <w:noProof/>
          <w:webHidden/>
        </w:rPr>
        <w:tab/>
        <w:t>29</w:t>
      </w:r>
    </w:p>
    <w:p w:rsidR="00795735" w:rsidRDefault="00795735" w:rsidP="00795735">
      <w:pPr>
        <w:pStyle w:val="TableofFigures"/>
        <w:tabs>
          <w:tab w:val="right" w:pos="9072"/>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2.4</w:t>
      </w:r>
      <w:r w:rsidRPr="00916223">
        <w:rPr>
          <w:noProof/>
        </w:rPr>
        <w:t xml:space="preserve"> </w:t>
      </w:r>
      <w:r w:rsidR="00EE3867">
        <w:rPr>
          <w:noProof/>
        </w:rPr>
        <w:tab/>
      </w:r>
      <w:r w:rsidRPr="00916223">
        <w:rPr>
          <w:noProof/>
        </w:rPr>
        <w:t>Fusion centres observed by Kerley (1966).</w:t>
      </w:r>
      <w:r>
        <w:rPr>
          <w:noProof/>
          <w:webHidden/>
        </w:rPr>
        <w:tab/>
        <w:t>30</w:t>
      </w:r>
    </w:p>
    <w:p w:rsidR="00795735" w:rsidRDefault="00795735" w:rsidP="00795735">
      <w:pPr>
        <w:pStyle w:val="TableofFigures"/>
        <w:tabs>
          <w:tab w:val="right" w:pos="9072"/>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2.5</w:t>
      </w:r>
      <w:r w:rsidRPr="00916223">
        <w:rPr>
          <w:noProof/>
        </w:rPr>
        <w:t xml:space="preserve"> </w:t>
      </w:r>
      <w:r w:rsidR="00EE3867">
        <w:rPr>
          <w:noProof/>
        </w:rPr>
        <w:tab/>
      </w:r>
      <w:r w:rsidRPr="00916223">
        <w:rPr>
          <w:noProof/>
        </w:rPr>
        <w:t xml:space="preserve">Fusion sites recorded by Zihlman </w:t>
      </w:r>
      <w:r w:rsidRPr="00916223">
        <w:rPr>
          <w:i/>
          <w:noProof/>
        </w:rPr>
        <w:t>et al.</w:t>
      </w:r>
      <w:r w:rsidRPr="00916223">
        <w:rPr>
          <w:noProof/>
        </w:rPr>
        <w:t xml:space="preserve"> (2007).</w:t>
      </w:r>
      <w:r>
        <w:rPr>
          <w:noProof/>
          <w:webHidden/>
        </w:rPr>
        <w:tab/>
        <w:t>31</w:t>
      </w:r>
    </w:p>
    <w:p w:rsidR="00795735" w:rsidRDefault="00795735" w:rsidP="00795735">
      <w:pPr>
        <w:pStyle w:val="TableofFigures"/>
        <w:tabs>
          <w:tab w:val="right" w:pos="9072"/>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 xml:space="preserve">Table 2.6 </w:t>
      </w:r>
      <w:r w:rsidR="00EE3867">
        <w:rPr>
          <w:b/>
          <w:noProof/>
        </w:rPr>
        <w:tab/>
      </w:r>
      <w:r w:rsidRPr="00916223">
        <w:rPr>
          <w:noProof/>
        </w:rPr>
        <w:t>Zihlman</w:t>
      </w:r>
      <w:r w:rsidRPr="00916223">
        <w:rPr>
          <w:rFonts w:eastAsia="Times New Roman"/>
          <w:i/>
          <w:noProof/>
        </w:rPr>
        <w:t xml:space="preserve"> et al</w:t>
      </w:r>
      <w:r w:rsidRPr="00916223">
        <w:rPr>
          <w:rFonts w:eastAsia="Times New Roman"/>
          <w:noProof/>
        </w:rPr>
        <w:t>.’s</w:t>
      </w:r>
      <w:r w:rsidRPr="00916223">
        <w:rPr>
          <w:noProof/>
        </w:rPr>
        <w:t xml:space="preserve"> (2007) skeletal maturity in wild chimpanzees</w:t>
      </w:r>
      <w:r>
        <w:rPr>
          <w:noProof/>
          <w:webHidden/>
        </w:rPr>
        <w:tab/>
        <w:t>31</w:t>
      </w:r>
    </w:p>
    <w:p w:rsidR="00795735" w:rsidRDefault="00795735" w:rsidP="00795735">
      <w:pPr>
        <w:pStyle w:val="TableofFigures"/>
        <w:tabs>
          <w:tab w:val="right" w:pos="9072"/>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2.7</w:t>
      </w:r>
      <w:r w:rsidRPr="00916223">
        <w:rPr>
          <w:noProof/>
        </w:rPr>
        <w:t xml:space="preserve"> </w:t>
      </w:r>
      <w:r w:rsidRPr="00916223">
        <w:rPr>
          <w:noProof/>
        </w:rPr>
        <w:tab/>
        <w:t xml:space="preserve">Reproduced comparison of estimates ages for fusion events in Bolter and Zihlman (2012), Kerley (1966), and Zihlman </w:t>
      </w:r>
      <w:r w:rsidRPr="00916223">
        <w:rPr>
          <w:i/>
          <w:noProof/>
        </w:rPr>
        <w:t>et al.</w:t>
      </w:r>
      <w:r w:rsidRPr="00916223">
        <w:rPr>
          <w:noProof/>
        </w:rPr>
        <w:t xml:space="preserve"> (2007) as presented by Bolter and Zihlman (2012).</w:t>
      </w:r>
      <w:r>
        <w:rPr>
          <w:noProof/>
          <w:webHidden/>
        </w:rPr>
        <w:tab/>
        <w:t>32</w:t>
      </w:r>
    </w:p>
    <w:p w:rsidR="00795735" w:rsidRDefault="00795735" w:rsidP="00795735">
      <w:pPr>
        <w:pStyle w:val="TableofFigures"/>
        <w:tabs>
          <w:tab w:val="right" w:pos="9072"/>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2.8</w:t>
      </w:r>
      <w:r w:rsidRPr="00916223">
        <w:rPr>
          <w:noProof/>
        </w:rPr>
        <w:t xml:space="preserve"> </w:t>
      </w:r>
      <w:r w:rsidRPr="00916223">
        <w:rPr>
          <w:noProof/>
        </w:rPr>
        <w:tab/>
        <w:t>Data comparing chimpanzee and bonobo epiphyseal fusion reproduced from Bolter and Zihlman (2012).</w:t>
      </w:r>
      <w:r>
        <w:rPr>
          <w:noProof/>
          <w:webHidden/>
        </w:rPr>
        <w:tab/>
        <w:t>34</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2.9</w:t>
      </w:r>
      <w:r w:rsidRPr="00916223">
        <w:rPr>
          <w:noProof/>
        </w:rPr>
        <w:t xml:space="preserve">  </w:t>
      </w:r>
      <w:r w:rsidR="00EE3867">
        <w:rPr>
          <w:noProof/>
        </w:rPr>
        <w:tab/>
      </w:r>
      <w:r w:rsidRPr="00916223">
        <w:rPr>
          <w:noProof/>
        </w:rPr>
        <w:t xml:space="preserve">Data from Zihlman </w:t>
      </w:r>
      <w:r w:rsidRPr="00916223">
        <w:rPr>
          <w:i/>
          <w:noProof/>
        </w:rPr>
        <w:t>et al</w:t>
      </w:r>
      <w:r w:rsidRPr="00916223">
        <w:rPr>
          <w:noProof/>
        </w:rPr>
        <w:t>.’s (2007) dental delays of wild chimpanzees.</w:t>
      </w:r>
      <w:r>
        <w:rPr>
          <w:noProof/>
          <w:webHidden/>
        </w:rPr>
        <w:tab/>
        <w:t>40</w:t>
      </w:r>
    </w:p>
    <w:p w:rsidR="00795735" w:rsidRDefault="00795735" w:rsidP="00795735">
      <w:pPr>
        <w:pStyle w:val="TableofFigures"/>
        <w:tabs>
          <w:tab w:val="left" w:pos="8875"/>
        </w:tabs>
        <w:spacing w:before="120" w:line="288" w:lineRule="auto"/>
        <w:ind w:left="1078" w:right="474" w:hanging="1078"/>
        <w:rPr>
          <w:rFonts w:asciiTheme="minorHAnsi" w:eastAsiaTheme="minorEastAsia" w:hAnsiTheme="minorHAnsi" w:cstheme="minorBidi"/>
          <w:noProof/>
          <w:lang w:val="en-GB" w:eastAsia="en-GB"/>
        </w:rPr>
      </w:pPr>
      <w:r w:rsidRPr="00916223">
        <w:rPr>
          <w:b/>
          <w:noProof/>
        </w:rPr>
        <w:t>Table 2.10</w:t>
      </w:r>
      <w:r w:rsidRPr="00916223">
        <w:rPr>
          <w:noProof/>
        </w:rPr>
        <w:t xml:space="preserve"> </w:t>
      </w:r>
      <w:r w:rsidR="00EE3867">
        <w:rPr>
          <w:noProof/>
        </w:rPr>
        <w:tab/>
      </w:r>
      <w:r w:rsidRPr="00916223">
        <w:rPr>
          <w:noProof/>
        </w:rPr>
        <w:t xml:space="preserve">Sequence variations in completion order reported for mandibular </w:t>
      </w:r>
      <w:r w:rsidRPr="00916223">
        <w:rPr>
          <w:i/>
          <w:noProof/>
        </w:rPr>
        <w:t>Pan paniscus</w:t>
      </w:r>
      <w:r w:rsidRPr="00916223">
        <w:rPr>
          <w:noProof/>
        </w:rPr>
        <w:t xml:space="preserve"> and comparison to </w:t>
      </w:r>
      <w:r w:rsidRPr="00916223">
        <w:rPr>
          <w:i/>
          <w:noProof/>
        </w:rPr>
        <w:t>Pan troglodytes</w:t>
      </w:r>
      <w:r w:rsidRPr="00916223">
        <w:rPr>
          <w:noProof/>
        </w:rPr>
        <w:t>.</w:t>
      </w:r>
      <w:r w:rsidRPr="00916223">
        <w:rPr>
          <w:noProof/>
        </w:rPr>
        <w:tab/>
      </w:r>
      <w:r>
        <w:rPr>
          <w:noProof/>
          <w:webHidden/>
        </w:rPr>
        <w:t>43</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2.11</w:t>
      </w:r>
      <w:r w:rsidRPr="00916223">
        <w:rPr>
          <w:noProof/>
        </w:rPr>
        <w:t xml:space="preserve"> Chimpanzee, bonobo, and human emergence and mineralzation sequences.</w:t>
      </w:r>
      <w:r>
        <w:rPr>
          <w:noProof/>
          <w:webHidden/>
        </w:rPr>
        <w:tab/>
        <w:t>44</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3.1</w:t>
      </w:r>
      <w:r w:rsidRPr="00916223">
        <w:rPr>
          <w:noProof/>
        </w:rPr>
        <w:t xml:space="preserve">  </w:t>
      </w:r>
      <w:r w:rsidR="00EE3867">
        <w:rPr>
          <w:noProof/>
        </w:rPr>
        <w:tab/>
      </w:r>
      <w:r w:rsidRPr="00916223">
        <w:rPr>
          <w:noProof/>
        </w:rPr>
        <w:t>Number of individuals for each species/sub-species listed by collection.</w:t>
      </w:r>
      <w:r>
        <w:rPr>
          <w:noProof/>
          <w:webHidden/>
        </w:rPr>
        <w:tab/>
        <w:t>56</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3.2</w:t>
      </w:r>
      <w:r w:rsidRPr="00916223">
        <w:rPr>
          <w:noProof/>
        </w:rPr>
        <w:t xml:space="preserve"> </w:t>
      </w:r>
      <w:r w:rsidR="00EE3867">
        <w:rPr>
          <w:noProof/>
        </w:rPr>
        <w:tab/>
      </w:r>
      <w:r w:rsidRPr="00916223">
        <w:rPr>
          <w:noProof/>
        </w:rPr>
        <w:t>Captive vs. wild by species</w:t>
      </w:r>
      <w:r>
        <w:rPr>
          <w:noProof/>
          <w:webHidden/>
        </w:rPr>
        <w:tab/>
        <w:t>57</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3.3</w:t>
      </w:r>
      <w:r w:rsidRPr="00916223">
        <w:rPr>
          <w:noProof/>
        </w:rPr>
        <w:t xml:space="preserve"> </w:t>
      </w:r>
      <w:r w:rsidR="00EE3867">
        <w:rPr>
          <w:noProof/>
        </w:rPr>
        <w:tab/>
      </w:r>
      <w:r w:rsidRPr="00916223">
        <w:rPr>
          <w:noProof/>
        </w:rPr>
        <w:t>Number of individuals listed for each sex by species and sub-species.</w:t>
      </w:r>
      <w:r>
        <w:rPr>
          <w:noProof/>
          <w:webHidden/>
        </w:rPr>
        <w:tab/>
        <w:t>60</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3.4</w:t>
      </w:r>
      <w:r w:rsidRPr="00916223">
        <w:rPr>
          <w:noProof/>
        </w:rPr>
        <w:t xml:space="preserve"> </w:t>
      </w:r>
      <w:r w:rsidR="00EE3867">
        <w:rPr>
          <w:noProof/>
        </w:rPr>
        <w:tab/>
      </w:r>
      <w:r w:rsidRPr="00916223">
        <w:rPr>
          <w:noProof/>
        </w:rPr>
        <w:t>Number of individuals for each sex by captivity status.</w:t>
      </w:r>
      <w:r>
        <w:rPr>
          <w:noProof/>
          <w:webHidden/>
        </w:rPr>
        <w:tab/>
        <w:t>60</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3.5</w:t>
      </w:r>
      <w:r w:rsidRPr="00916223">
        <w:rPr>
          <w:noProof/>
        </w:rPr>
        <w:t xml:space="preserve"> </w:t>
      </w:r>
      <w:r w:rsidR="00EE3867">
        <w:rPr>
          <w:noProof/>
        </w:rPr>
        <w:tab/>
      </w:r>
      <w:r w:rsidRPr="00916223">
        <w:rPr>
          <w:noProof/>
        </w:rPr>
        <w:t>Wild specimen numbers by sex sorted by species and sub-species.</w:t>
      </w:r>
      <w:r>
        <w:rPr>
          <w:noProof/>
          <w:webHidden/>
        </w:rPr>
        <w:tab/>
        <w:t>60</w:t>
      </w:r>
    </w:p>
    <w:p w:rsidR="00795735" w:rsidRDefault="00795735" w:rsidP="00795735">
      <w:pPr>
        <w:pStyle w:val="TableofFigures"/>
        <w:tabs>
          <w:tab w:val="right" w:pos="9099"/>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3.6</w:t>
      </w:r>
      <w:r w:rsidRPr="00916223">
        <w:rPr>
          <w:noProof/>
        </w:rPr>
        <w:tab/>
        <w:t>The three major categories of pathological conditions that were observed in the study populations.</w:t>
      </w:r>
      <w:r>
        <w:rPr>
          <w:noProof/>
          <w:webHidden/>
        </w:rPr>
        <w:tab/>
        <w:t>63</w:t>
      </w:r>
    </w:p>
    <w:p w:rsidR="00795735" w:rsidRDefault="00795735" w:rsidP="00795735">
      <w:pPr>
        <w:pStyle w:val="TableofFigures"/>
        <w:tabs>
          <w:tab w:val="right" w:pos="9099"/>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3.7</w:t>
      </w:r>
      <w:r w:rsidRPr="00916223">
        <w:rPr>
          <w:noProof/>
        </w:rPr>
        <w:t xml:space="preserve">  </w:t>
      </w:r>
      <w:r w:rsidR="00EE3867">
        <w:rPr>
          <w:noProof/>
        </w:rPr>
        <w:tab/>
      </w:r>
      <w:r w:rsidRPr="00916223">
        <w:rPr>
          <w:noProof/>
        </w:rPr>
        <w:t xml:space="preserve">Definition of Demirjian scoring stages (Reproduced from Kuykendall 1996, Kuykendall </w:t>
      </w:r>
      <w:r w:rsidRPr="00916223">
        <w:rPr>
          <w:i/>
          <w:noProof/>
        </w:rPr>
        <w:t>et al</w:t>
      </w:r>
      <w:r w:rsidRPr="00916223">
        <w:rPr>
          <w:noProof/>
        </w:rPr>
        <w:t>. 1992, Kuykendall and Conroy 1996).</w:t>
      </w:r>
      <w:r>
        <w:rPr>
          <w:noProof/>
          <w:webHidden/>
        </w:rPr>
        <w:tab/>
        <w:t>70</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3.8</w:t>
      </w:r>
      <w:r w:rsidRPr="00916223">
        <w:rPr>
          <w:noProof/>
        </w:rPr>
        <w:t xml:space="preserve">  </w:t>
      </w:r>
      <w:r w:rsidR="00EE3867">
        <w:rPr>
          <w:noProof/>
        </w:rPr>
        <w:tab/>
      </w:r>
      <w:r w:rsidRPr="00916223">
        <w:rPr>
          <w:noProof/>
        </w:rPr>
        <w:t>Upper body epiphyseal fusion sites recorded.</w:t>
      </w:r>
      <w:r>
        <w:rPr>
          <w:noProof/>
          <w:webHidden/>
        </w:rPr>
        <w:tab/>
        <w:t>71</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 xml:space="preserve">Table 3.9 </w:t>
      </w:r>
      <w:r w:rsidRPr="00916223">
        <w:rPr>
          <w:noProof/>
        </w:rPr>
        <w:t xml:space="preserve"> </w:t>
      </w:r>
      <w:r w:rsidR="00EE3867">
        <w:rPr>
          <w:noProof/>
        </w:rPr>
        <w:tab/>
      </w:r>
      <w:r w:rsidRPr="00916223">
        <w:rPr>
          <w:noProof/>
        </w:rPr>
        <w:t>Lower body epiphyseal fusion sites recorded.</w:t>
      </w:r>
      <w:r>
        <w:rPr>
          <w:noProof/>
          <w:webHidden/>
        </w:rPr>
        <w:tab/>
        <w:t>71</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3.10</w:t>
      </w:r>
      <w:r w:rsidRPr="00916223">
        <w:rPr>
          <w:noProof/>
        </w:rPr>
        <w:t xml:space="preserve">  Description of epiphyseal fusion stages observed.</w:t>
      </w:r>
      <w:r>
        <w:rPr>
          <w:noProof/>
          <w:webHidden/>
        </w:rPr>
        <w:tab/>
        <w:t>72</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 xml:space="preserve">Table 3.11 </w:t>
      </w:r>
      <w:r w:rsidRPr="00916223">
        <w:rPr>
          <w:noProof/>
        </w:rPr>
        <w:t xml:space="preserve"> Description of bone orientation for </w:t>
      </w:r>
      <w:r w:rsidR="004353A0">
        <w:rPr>
          <w:noProof/>
        </w:rPr>
        <w:t xml:space="preserve">length </w:t>
      </w:r>
      <w:r w:rsidRPr="00916223">
        <w:rPr>
          <w:noProof/>
        </w:rPr>
        <w:t>measurements</w:t>
      </w:r>
      <w:r>
        <w:rPr>
          <w:noProof/>
          <w:webHidden/>
        </w:rPr>
        <w:tab/>
        <w:t>75</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3.12</w:t>
      </w:r>
      <w:r w:rsidRPr="00916223">
        <w:rPr>
          <w:noProof/>
        </w:rPr>
        <w:t xml:space="preserve"> Number, direction and percentage of deviations between sides of the mandible</w:t>
      </w:r>
      <w:r>
        <w:rPr>
          <w:noProof/>
          <w:webHidden/>
        </w:rPr>
        <w:tab/>
        <w:t>78</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3.13</w:t>
      </w:r>
      <w:r w:rsidRPr="00916223">
        <w:rPr>
          <w:noProof/>
        </w:rPr>
        <w:t xml:space="preserve"> Number of complete scores for both left and right quadrants by species.</w:t>
      </w:r>
      <w:r>
        <w:rPr>
          <w:noProof/>
          <w:webHidden/>
        </w:rPr>
        <w:tab/>
        <w:t>79</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3.14</w:t>
      </w:r>
      <w:r w:rsidRPr="00916223">
        <w:rPr>
          <w:noProof/>
        </w:rPr>
        <w:t xml:space="preserve">  Missing tooth frequency analysis for individuals with incomplete quadrants.</w:t>
      </w:r>
      <w:r>
        <w:rPr>
          <w:noProof/>
          <w:webHidden/>
        </w:rPr>
        <w:tab/>
        <w:t>80</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lastRenderedPageBreak/>
        <w:t>Table 3.15</w:t>
      </w:r>
      <w:r w:rsidRPr="00916223">
        <w:rPr>
          <w:noProof/>
        </w:rPr>
        <w:t xml:space="preserve">  Number of individuals brought forward for analysis.</w:t>
      </w:r>
      <w:r>
        <w:rPr>
          <w:noProof/>
          <w:webHidden/>
        </w:rPr>
        <w:tab/>
        <w:t>82</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3.16</w:t>
      </w:r>
      <w:r w:rsidRPr="00916223">
        <w:rPr>
          <w:noProof/>
        </w:rPr>
        <w:t xml:space="preserve"> Distribution of dental scores by intervals of 10 for both species and sex.</w:t>
      </w:r>
      <w:r>
        <w:rPr>
          <w:noProof/>
          <w:webHidden/>
        </w:rPr>
        <w:tab/>
        <w:t>83</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3.17</w:t>
      </w:r>
      <w:r w:rsidRPr="00916223">
        <w:rPr>
          <w:noProof/>
        </w:rPr>
        <w:t xml:space="preserve"> Individuals used for intra- and inter-observer error analysis.</w:t>
      </w:r>
      <w:r>
        <w:rPr>
          <w:noProof/>
          <w:webHidden/>
        </w:rPr>
        <w:tab/>
        <w:t>84</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 xml:space="preserve">Table 3.18 </w:t>
      </w:r>
      <w:r w:rsidRPr="00916223">
        <w:rPr>
          <w:noProof/>
        </w:rPr>
        <w:t xml:space="preserve"> Number of deviations by tooth stage for intra-observer error.</w:t>
      </w:r>
      <w:r>
        <w:rPr>
          <w:noProof/>
          <w:webHidden/>
        </w:rPr>
        <w:tab/>
        <w:t>85</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3.19</w:t>
      </w:r>
      <w:r w:rsidRPr="00916223">
        <w:rPr>
          <w:noProof/>
        </w:rPr>
        <w:t xml:space="preserve"> Number of deviations by tooth stage for inter-observer error.</w:t>
      </w:r>
      <w:r>
        <w:rPr>
          <w:noProof/>
          <w:webHidden/>
        </w:rPr>
        <w:tab/>
        <w:t>86</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3.20</w:t>
      </w:r>
      <w:r w:rsidRPr="00916223">
        <w:rPr>
          <w:noProof/>
        </w:rPr>
        <w:t xml:space="preserve"> Sample size and frequency of differences between sides.</w:t>
      </w:r>
      <w:r>
        <w:rPr>
          <w:noProof/>
          <w:webHidden/>
        </w:rPr>
        <w:tab/>
        <w:t>89</w:t>
      </w:r>
    </w:p>
    <w:p w:rsidR="00795735" w:rsidRDefault="00795735" w:rsidP="00795735">
      <w:pPr>
        <w:pStyle w:val="TableofFigures"/>
        <w:tabs>
          <w:tab w:val="left" w:pos="8861"/>
          <w:tab w:val="right" w:pos="9113"/>
        </w:tabs>
        <w:spacing w:before="120" w:line="288" w:lineRule="auto"/>
        <w:ind w:left="1078" w:right="474" w:hanging="1078"/>
        <w:rPr>
          <w:rFonts w:asciiTheme="minorHAnsi" w:eastAsiaTheme="minorEastAsia" w:hAnsiTheme="minorHAnsi" w:cstheme="minorBidi"/>
          <w:noProof/>
          <w:lang w:val="en-GB" w:eastAsia="en-GB"/>
        </w:rPr>
      </w:pPr>
      <w:r w:rsidRPr="00916223">
        <w:rPr>
          <w:b/>
          <w:noProof/>
        </w:rPr>
        <w:t>Table 3.21</w:t>
      </w:r>
      <w:r w:rsidRPr="00916223">
        <w:rPr>
          <w:noProof/>
        </w:rPr>
        <w:t xml:space="preserve"> Frequences of missing values for epiphyseal fusion sites in </w:t>
      </w:r>
      <w:r w:rsidRPr="00916223">
        <w:rPr>
          <w:i/>
          <w:noProof/>
        </w:rPr>
        <w:t>Pan paniscus</w:t>
      </w:r>
      <w:r w:rsidRPr="00916223">
        <w:rPr>
          <w:noProof/>
        </w:rPr>
        <w:t xml:space="preserve"> and </w:t>
      </w:r>
      <w:r w:rsidRPr="00916223">
        <w:rPr>
          <w:i/>
          <w:noProof/>
        </w:rPr>
        <w:t>Pan troglodytes</w:t>
      </w:r>
      <w:r w:rsidRPr="00916223">
        <w:rPr>
          <w:noProof/>
        </w:rPr>
        <w:t>.</w:t>
      </w:r>
      <w:r>
        <w:rPr>
          <w:noProof/>
          <w:webHidden/>
        </w:rPr>
        <w:tab/>
        <w:t>93</w:t>
      </w:r>
    </w:p>
    <w:p w:rsidR="00795735" w:rsidRDefault="00795735" w:rsidP="00795735">
      <w:pPr>
        <w:pStyle w:val="TableofFigures"/>
        <w:tabs>
          <w:tab w:val="right" w:pos="9113"/>
        </w:tabs>
        <w:spacing w:before="120" w:line="288" w:lineRule="auto"/>
        <w:ind w:left="1092" w:right="474" w:hanging="1092"/>
        <w:rPr>
          <w:rFonts w:asciiTheme="minorHAnsi" w:eastAsiaTheme="minorEastAsia" w:hAnsiTheme="minorHAnsi" w:cstheme="minorBidi"/>
          <w:noProof/>
          <w:lang w:val="en-GB" w:eastAsia="en-GB"/>
        </w:rPr>
      </w:pPr>
      <w:r w:rsidRPr="00916223">
        <w:rPr>
          <w:b/>
          <w:noProof/>
        </w:rPr>
        <w:t>Table 3.22</w:t>
      </w:r>
      <w:r w:rsidRPr="00916223">
        <w:rPr>
          <w:noProof/>
        </w:rPr>
        <w:t xml:space="preserve"> Missing data by epiphysis showing number of individuals for the entire sample and for dental score 64 individuals</w:t>
      </w:r>
      <w:r>
        <w:rPr>
          <w:noProof/>
          <w:webHidden/>
        </w:rPr>
        <w:tab/>
        <w:t>94</w:t>
      </w:r>
    </w:p>
    <w:p w:rsidR="00795735" w:rsidRDefault="00795735" w:rsidP="00795735">
      <w:pPr>
        <w:pStyle w:val="TableofFigures"/>
        <w:tabs>
          <w:tab w:val="right" w:pos="9099"/>
        </w:tabs>
        <w:spacing w:before="120" w:line="288" w:lineRule="auto"/>
        <w:ind w:left="1106" w:right="474" w:hanging="1106"/>
        <w:rPr>
          <w:rFonts w:asciiTheme="minorHAnsi" w:eastAsiaTheme="minorEastAsia" w:hAnsiTheme="minorHAnsi" w:cstheme="minorBidi"/>
          <w:noProof/>
          <w:lang w:val="en-GB" w:eastAsia="en-GB"/>
        </w:rPr>
      </w:pPr>
      <w:r w:rsidRPr="00916223">
        <w:rPr>
          <w:b/>
          <w:noProof/>
        </w:rPr>
        <w:t>Table 3.23</w:t>
      </w:r>
      <w:r w:rsidRPr="00916223">
        <w:rPr>
          <w:noProof/>
        </w:rPr>
        <w:t xml:space="preserve"> Number of individuals in mid-fusion and complete fusion for </w:t>
      </w:r>
      <w:r w:rsidRPr="00916223">
        <w:rPr>
          <w:i/>
          <w:noProof/>
        </w:rPr>
        <w:t>Pan troglodytes</w:t>
      </w:r>
      <w:r w:rsidRPr="00916223">
        <w:rPr>
          <w:noProof/>
        </w:rPr>
        <w:t xml:space="preserve"> females by epiphysis.</w:t>
      </w:r>
      <w:r>
        <w:rPr>
          <w:noProof/>
          <w:webHidden/>
        </w:rPr>
        <w:tab/>
        <w:t>97</w:t>
      </w:r>
    </w:p>
    <w:p w:rsidR="00795735" w:rsidRDefault="00795735" w:rsidP="00795735">
      <w:pPr>
        <w:pStyle w:val="TableofFigures"/>
        <w:tabs>
          <w:tab w:val="right" w:pos="9099"/>
        </w:tabs>
        <w:spacing w:before="120" w:line="288" w:lineRule="auto"/>
        <w:ind w:left="1120" w:right="474" w:hanging="1120"/>
        <w:rPr>
          <w:rFonts w:asciiTheme="minorHAnsi" w:eastAsiaTheme="minorEastAsia" w:hAnsiTheme="minorHAnsi" w:cstheme="minorBidi"/>
          <w:noProof/>
          <w:lang w:val="en-GB" w:eastAsia="en-GB"/>
        </w:rPr>
      </w:pPr>
      <w:r w:rsidRPr="00916223">
        <w:rPr>
          <w:b/>
          <w:noProof/>
        </w:rPr>
        <w:t>Table 3.24</w:t>
      </w:r>
      <w:r w:rsidRPr="00916223">
        <w:rPr>
          <w:noProof/>
        </w:rPr>
        <w:t xml:space="preserve"> </w:t>
      </w:r>
      <w:r w:rsidRPr="00916223">
        <w:rPr>
          <w:noProof/>
          <w:lang w:val="en-GB" w:eastAsia="en-GB"/>
        </w:rPr>
        <w:t xml:space="preserve">Number of unfused, mid-fusion, and complete fusion values for the upper limb in </w:t>
      </w:r>
      <w:r w:rsidRPr="00916223">
        <w:rPr>
          <w:i/>
          <w:noProof/>
          <w:lang w:val="en-GB" w:eastAsia="en-GB"/>
        </w:rPr>
        <w:t>Pan paniscus</w:t>
      </w:r>
      <w:r w:rsidRPr="00916223">
        <w:rPr>
          <w:noProof/>
          <w:lang w:val="en-GB" w:eastAsia="en-GB"/>
        </w:rPr>
        <w:t xml:space="preserve"> and </w:t>
      </w:r>
      <w:r w:rsidRPr="00916223">
        <w:rPr>
          <w:i/>
          <w:noProof/>
          <w:lang w:val="en-GB" w:eastAsia="en-GB"/>
        </w:rPr>
        <w:t>Pan troglodytes</w:t>
      </w:r>
      <w:r w:rsidRPr="00916223">
        <w:rPr>
          <w:noProof/>
          <w:lang w:val="en-GB" w:eastAsia="en-GB"/>
        </w:rPr>
        <w:t>.</w:t>
      </w:r>
      <w:r>
        <w:rPr>
          <w:noProof/>
          <w:webHidden/>
        </w:rPr>
        <w:tab/>
        <w:t>98</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3.25</w:t>
      </w:r>
      <w:r w:rsidRPr="00916223">
        <w:rPr>
          <w:noProof/>
        </w:rPr>
        <w:t xml:space="preserve"> Number of individuals contributing long-bone measurements both by species and sex.</w:t>
      </w:r>
      <w:r>
        <w:rPr>
          <w:noProof/>
          <w:webHidden/>
        </w:rPr>
        <w:tab/>
        <w:t>100</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3.26</w:t>
      </w:r>
      <w:r w:rsidRPr="00916223">
        <w:rPr>
          <w:noProof/>
        </w:rPr>
        <w:t xml:space="preserve"> Number of individuals contributing long bone lengths with dental scores.</w:t>
      </w:r>
      <w:r>
        <w:rPr>
          <w:noProof/>
          <w:webHidden/>
        </w:rPr>
        <w:tab/>
        <w:t>101</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3.27</w:t>
      </w:r>
      <w:r w:rsidRPr="00916223">
        <w:rPr>
          <w:noProof/>
        </w:rPr>
        <w:t xml:space="preserve"> Number of complete bones by bone type.</w:t>
      </w:r>
      <w:r>
        <w:rPr>
          <w:noProof/>
          <w:webHidden/>
        </w:rPr>
        <w:tab/>
        <w:t>102</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 xml:space="preserve">Table 3.28 </w:t>
      </w:r>
      <w:r w:rsidRPr="00916223">
        <w:rPr>
          <w:noProof/>
        </w:rPr>
        <w:t xml:space="preserve"> Number of present bones for each dental stage sorted by sex for </w:t>
      </w:r>
      <w:r w:rsidRPr="00916223">
        <w:rPr>
          <w:i/>
          <w:noProof/>
        </w:rPr>
        <w:t>Pan panicus</w:t>
      </w:r>
      <w:r w:rsidRPr="00916223">
        <w:rPr>
          <w:noProof/>
        </w:rPr>
        <w:t>.</w:t>
      </w:r>
      <w:r>
        <w:rPr>
          <w:noProof/>
          <w:webHidden/>
        </w:rPr>
        <w:tab/>
        <w:t>103</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3.29</w:t>
      </w:r>
      <w:r w:rsidRPr="00916223">
        <w:rPr>
          <w:noProof/>
        </w:rPr>
        <w:t xml:space="preserve">  Number of present bones for each dental stage sorted by sex for </w:t>
      </w:r>
      <w:r w:rsidRPr="00916223">
        <w:rPr>
          <w:i/>
          <w:noProof/>
        </w:rPr>
        <w:t>Pan troglodytes</w:t>
      </w:r>
      <w:r w:rsidRPr="00916223">
        <w:rPr>
          <w:noProof/>
        </w:rPr>
        <w:t>.</w:t>
      </w:r>
      <w:r>
        <w:rPr>
          <w:noProof/>
          <w:webHidden/>
        </w:rPr>
        <w:tab/>
        <w:t>104</w:t>
      </w:r>
    </w:p>
    <w:p w:rsidR="00795735" w:rsidRDefault="00795735" w:rsidP="00795735">
      <w:pPr>
        <w:pStyle w:val="TableofFigures"/>
        <w:tabs>
          <w:tab w:val="left" w:pos="8749"/>
          <w:tab w:val="right" w:pos="9127"/>
        </w:tabs>
        <w:spacing w:before="120" w:line="288" w:lineRule="auto"/>
        <w:ind w:left="1064" w:right="474" w:hanging="1064"/>
        <w:rPr>
          <w:rFonts w:asciiTheme="minorHAnsi" w:eastAsiaTheme="minorEastAsia" w:hAnsiTheme="minorHAnsi" w:cstheme="minorBidi"/>
          <w:noProof/>
          <w:lang w:val="en-GB" w:eastAsia="en-GB"/>
        </w:rPr>
      </w:pPr>
      <w:r w:rsidRPr="00916223">
        <w:rPr>
          <w:b/>
          <w:noProof/>
        </w:rPr>
        <w:t>Table 3.30</w:t>
      </w:r>
      <w:r w:rsidRPr="00916223">
        <w:rPr>
          <w:noProof/>
        </w:rPr>
        <w:t xml:space="preserve"> </w:t>
      </w:r>
      <w:r w:rsidRPr="00287722">
        <w:rPr>
          <w:i/>
          <w:noProof/>
        </w:rPr>
        <w:t>Z</w:t>
      </w:r>
      <w:r w:rsidRPr="00916223">
        <w:rPr>
          <w:noProof/>
        </w:rPr>
        <w:t xml:space="preserve"> scores and significance from 2-tailed paired sample test for the humerus in </w:t>
      </w:r>
      <w:r w:rsidRPr="00916223">
        <w:rPr>
          <w:i/>
          <w:noProof/>
        </w:rPr>
        <w:t>Pan troglodytes</w:t>
      </w:r>
      <w:r w:rsidRPr="00916223">
        <w:rPr>
          <w:noProof/>
        </w:rPr>
        <w:t xml:space="preserve"> and </w:t>
      </w:r>
      <w:r w:rsidRPr="00916223">
        <w:rPr>
          <w:i/>
          <w:noProof/>
        </w:rPr>
        <w:t>Pan pansicus</w:t>
      </w:r>
      <w:r w:rsidRPr="00916223">
        <w:rPr>
          <w:noProof/>
        </w:rPr>
        <w:t>.</w:t>
      </w:r>
      <w:r>
        <w:rPr>
          <w:noProof/>
          <w:webHidden/>
        </w:rPr>
        <w:tab/>
        <w:t>107</w:t>
      </w:r>
    </w:p>
    <w:p w:rsidR="00795735" w:rsidRDefault="00795735" w:rsidP="00795735">
      <w:pPr>
        <w:pStyle w:val="TableofFigures"/>
        <w:tabs>
          <w:tab w:val="right" w:pos="9099"/>
        </w:tabs>
        <w:spacing w:before="120" w:line="288" w:lineRule="auto"/>
        <w:ind w:left="1162" w:right="474" w:hanging="1162"/>
        <w:rPr>
          <w:rFonts w:asciiTheme="minorHAnsi" w:eastAsiaTheme="minorEastAsia" w:hAnsiTheme="minorHAnsi" w:cstheme="minorBidi"/>
          <w:noProof/>
          <w:lang w:val="en-GB" w:eastAsia="en-GB"/>
        </w:rPr>
      </w:pPr>
      <w:r w:rsidRPr="00916223">
        <w:rPr>
          <w:b/>
          <w:noProof/>
        </w:rPr>
        <w:t>Table 3.31</w:t>
      </w:r>
      <w:r w:rsidRPr="00916223">
        <w:rPr>
          <w:noProof/>
        </w:rPr>
        <w:t xml:space="preserve"> </w:t>
      </w:r>
      <w:r w:rsidRPr="00916223">
        <w:rPr>
          <w:i/>
          <w:noProof/>
        </w:rPr>
        <w:t>Z</w:t>
      </w:r>
      <w:r w:rsidRPr="00916223">
        <w:rPr>
          <w:noProof/>
        </w:rPr>
        <w:t xml:space="preserve"> scores and 2-tailed significance for left-right comparisons of all long bones (excluding humerus) for male and female </w:t>
      </w:r>
      <w:r w:rsidRPr="00916223">
        <w:rPr>
          <w:i/>
          <w:noProof/>
        </w:rPr>
        <w:t>Pan troglodytes</w:t>
      </w:r>
      <w:r w:rsidRPr="00916223">
        <w:rPr>
          <w:noProof/>
        </w:rPr>
        <w:t xml:space="preserve"> and </w:t>
      </w:r>
      <w:r w:rsidRPr="00916223">
        <w:rPr>
          <w:i/>
          <w:noProof/>
        </w:rPr>
        <w:t>Pan paniscus</w:t>
      </w:r>
      <w:r w:rsidRPr="00916223">
        <w:rPr>
          <w:noProof/>
        </w:rPr>
        <w:t>.</w:t>
      </w:r>
      <w:r>
        <w:rPr>
          <w:noProof/>
          <w:webHidden/>
        </w:rPr>
        <w:tab/>
        <w:t>107</w:t>
      </w:r>
    </w:p>
    <w:p w:rsidR="00795735" w:rsidRDefault="00795735" w:rsidP="00795735">
      <w:pPr>
        <w:pStyle w:val="TableofFigures"/>
        <w:tabs>
          <w:tab w:val="right" w:pos="9113"/>
        </w:tabs>
        <w:spacing w:before="120" w:line="288" w:lineRule="auto"/>
        <w:ind w:left="1092" w:right="474" w:hanging="1092"/>
        <w:rPr>
          <w:rFonts w:asciiTheme="minorHAnsi" w:eastAsiaTheme="minorEastAsia" w:hAnsiTheme="minorHAnsi" w:cstheme="minorBidi"/>
          <w:noProof/>
          <w:lang w:val="en-GB" w:eastAsia="en-GB"/>
        </w:rPr>
      </w:pPr>
      <w:r w:rsidRPr="00916223">
        <w:rPr>
          <w:b/>
          <w:noProof/>
        </w:rPr>
        <w:t>Table 3.32</w:t>
      </w:r>
      <w:r w:rsidRPr="00916223">
        <w:rPr>
          <w:noProof/>
        </w:rPr>
        <w:t xml:space="preserve"> </w:t>
      </w:r>
      <w:r w:rsidR="00287722">
        <w:rPr>
          <w:noProof/>
        </w:rPr>
        <w:tab/>
      </w:r>
      <w:r w:rsidRPr="00916223">
        <w:rPr>
          <w:noProof/>
        </w:rPr>
        <w:t xml:space="preserve">Number of contributing measurements with dental scores for each long-bone in </w:t>
      </w:r>
      <w:r w:rsidRPr="00916223">
        <w:rPr>
          <w:i/>
          <w:noProof/>
        </w:rPr>
        <w:t>Pan paniscus</w:t>
      </w:r>
      <w:r w:rsidRPr="00916223">
        <w:rPr>
          <w:noProof/>
        </w:rPr>
        <w:t xml:space="preserve"> and </w:t>
      </w:r>
      <w:r w:rsidRPr="00916223">
        <w:rPr>
          <w:i/>
          <w:noProof/>
        </w:rPr>
        <w:t>Pan troglodytes</w:t>
      </w:r>
      <w:r w:rsidRPr="00916223">
        <w:rPr>
          <w:noProof/>
        </w:rPr>
        <w:t>.</w:t>
      </w:r>
      <w:r>
        <w:rPr>
          <w:noProof/>
          <w:webHidden/>
        </w:rPr>
        <w:tab/>
        <w:t>108</w:t>
      </w:r>
    </w:p>
    <w:p w:rsidR="00795735" w:rsidRDefault="00795735" w:rsidP="00795735">
      <w:pPr>
        <w:pStyle w:val="TableofFigures"/>
        <w:tabs>
          <w:tab w:val="right" w:pos="9085"/>
        </w:tabs>
        <w:spacing w:before="120" w:line="288" w:lineRule="auto"/>
        <w:ind w:left="1036" w:right="474" w:hanging="1036"/>
        <w:rPr>
          <w:rFonts w:asciiTheme="minorHAnsi" w:eastAsiaTheme="minorEastAsia" w:hAnsiTheme="minorHAnsi" w:cstheme="minorBidi"/>
          <w:noProof/>
          <w:lang w:val="en-GB" w:eastAsia="en-GB"/>
        </w:rPr>
      </w:pPr>
      <w:r w:rsidRPr="00916223">
        <w:rPr>
          <w:b/>
          <w:noProof/>
        </w:rPr>
        <w:t>Table 4.1</w:t>
      </w:r>
      <w:r w:rsidRPr="00916223">
        <w:rPr>
          <w:noProof/>
        </w:rPr>
        <w:t xml:space="preserve"> </w:t>
      </w:r>
      <w:r w:rsidR="00287722">
        <w:rPr>
          <w:noProof/>
        </w:rPr>
        <w:tab/>
      </w:r>
      <w:r w:rsidRPr="00916223">
        <w:rPr>
          <w:bCs/>
          <w:noProof/>
        </w:rPr>
        <w:t xml:space="preserve">Regression r-squared values for the humerus plotted against dental score for </w:t>
      </w:r>
      <w:r w:rsidRPr="00916223">
        <w:rPr>
          <w:bCs/>
          <w:i/>
          <w:noProof/>
        </w:rPr>
        <w:t xml:space="preserve">Pan troglodytes </w:t>
      </w:r>
      <w:r w:rsidRPr="00916223">
        <w:rPr>
          <w:bCs/>
          <w:noProof/>
        </w:rPr>
        <w:t>females</w:t>
      </w:r>
      <w:r>
        <w:rPr>
          <w:noProof/>
          <w:webHidden/>
        </w:rPr>
        <w:tab/>
        <w:t>115</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 xml:space="preserve">Table 4.2 </w:t>
      </w:r>
      <w:r w:rsidR="00287722">
        <w:rPr>
          <w:b/>
          <w:noProof/>
        </w:rPr>
        <w:tab/>
      </w:r>
      <w:r w:rsidRPr="00916223">
        <w:rPr>
          <w:noProof/>
        </w:rPr>
        <w:t xml:space="preserve">Regression data for all 6 long bones in </w:t>
      </w:r>
      <w:r w:rsidRPr="00916223">
        <w:rPr>
          <w:i/>
          <w:noProof/>
        </w:rPr>
        <w:t xml:space="preserve">Pan troglodytes </w:t>
      </w:r>
      <w:r w:rsidRPr="00916223">
        <w:rPr>
          <w:noProof/>
        </w:rPr>
        <w:t>females and males.</w:t>
      </w:r>
      <w:r>
        <w:rPr>
          <w:noProof/>
          <w:webHidden/>
        </w:rPr>
        <w:tab/>
        <w:t>115</w:t>
      </w:r>
    </w:p>
    <w:p w:rsidR="00795735" w:rsidRDefault="00795735" w:rsidP="00795735">
      <w:pPr>
        <w:pStyle w:val="TableofFigures"/>
        <w:tabs>
          <w:tab w:val="right" w:pos="9099"/>
        </w:tabs>
        <w:spacing w:before="120" w:line="288" w:lineRule="auto"/>
        <w:ind w:left="980" w:right="474" w:hanging="980"/>
        <w:rPr>
          <w:rFonts w:asciiTheme="minorHAnsi" w:eastAsiaTheme="minorEastAsia" w:hAnsiTheme="minorHAnsi" w:cstheme="minorBidi"/>
          <w:noProof/>
          <w:lang w:val="en-GB" w:eastAsia="en-GB"/>
        </w:rPr>
      </w:pPr>
      <w:r w:rsidRPr="00916223">
        <w:rPr>
          <w:b/>
          <w:noProof/>
        </w:rPr>
        <w:t xml:space="preserve">Table 4.3 </w:t>
      </w:r>
      <w:r w:rsidR="00287722">
        <w:rPr>
          <w:b/>
          <w:noProof/>
        </w:rPr>
        <w:tab/>
      </w:r>
      <w:r w:rsidRPr="00916223">
        <w:rPr>
          <w:noProof/>
        </w:rPr>
        <w:t xml:space="preserve">Linear regression equations for </w:t>
      </w:r>
      <w:r w:rsidRPr="00916223">
        <w:rPr>
          <w:i/>
          <w:noProof/>
        </w:rPr>
        <w:t xml:space="preserve">Pan troglodytes </w:t>
      </w:r>
      <w:r w:rsidRPr="00916223">
        <w:rPr>
          <w:noProof/>
        </w:rPr>
        <w:t>males and females as plotted in Figure 4.2 and 4.3</w:t>
      </w:r>
      <w:r>
        <w:rPr>
          <w:noProof/>
          <w:webHidden/>
        </w:rPr>
        <w:tab/>
        <w:t>117</w:t>
      </w:r>
    </w:p>
    <w:p w:rsidR="00795735" w:rsidRDefault="00795735" w:rsidP="00795735">
      <w:pPr>
        <w:pStyle w:val="TableofFigures"/>
        <w:tabs>
          <w:tab w:val="right" w:pos="9099"/>
        </w:tabs>
        <w:spacing w:before="120" w:line="288" w:lineRule="auto"/>
        <w:ind w:left="993" w:right="474" w:hanging="993"/>
        <w:rPr>
          <w:rFonts w:asciiTheme="minorHAnsi" w:eastAsiaTheme="minorEastAsia" w:hAnsiTheme="minorHAnsi" w:cstheme="minorBidi"/>
          <w:noProof/>
          <w:lang w:val="en-GB" w:eastAsia="en-GB"/>
        </w:rPr>
      </w:pPr>
      <w:r w:rsidRPr="00916223">
        <w:rPr>
          <w:b/>
          <w:noProof/>
        </w:rPr>
        <w:t>Table 4.4</w:t>
      </w:r>
      <w:r w:rsidRPr="00916223">
        <w:rPr>
          <w:noProof/>
        </w:rPr>
        <w:t xml:space="preserve"> </w:t>
      </w:r>
      <w:r w:rsidR="00287722">
        <w:rPr>
          <w:noProof/>
        </w:rPr>
        <w:tab/>
      </w:r>
      <w:r w:rsidRPr="00916223">
        <w:rPr>
          <w:noProof/>
        </w:rPr>
        <w:t xml:space="preserve">Median values and ranges of fusion for all mid-fusion epiphyses in </w:t>
      </w:r>
      <w:r w:rsidRPr="00916223">
        <w:rPr>
          <w:i/>
          <w:noProof/>
        </w:rPr>
        <w:t>Pan troglodytes</w:t>
      </w:r>
      <w:r w:rsidRPr="00916223">
        <w:rPr>
          <w:noProof/>
        </w:rPr>
        <w:t xml:space="preserve"> females.</w:t>
      </w:r>
      <w:r>
        <w:rPr>
          <w:noProof/>
          <w:webHidden/>
        </w:rPr>
        <w:tab/>
        <w:t>120</w:t>
      </w:r>
    </w:p>
    <w:p w:rsidR="00795735" w:rsidRDefault="00795735" w:rsidP="001E59DE">
      <w:pPr>
        <w:pStyle w:val="TableofFigures"/>
        <w:tabs>
          <w:tab w:val="left" w:pos="8647"/>
          <w:tab w:val="right" w:pos="9099"/>
        </w:tabs>
        <w:spacing w:before="120" w:line="288" w:lineRule="auto"/>
        <w:ind w:left="966" w:right="474" w:hanging="966"/>
        <w:rPr>
          <w:rFonts w:asciiTheme="minorHAnsi" w:eastAsiaTheme="minorEastAsia" w:hAnsiTheme="minorHAnsi" w:cstheme="minorBidi"/>
          <w:noProof/>
          <w:lang w:val="en-GB" w:eastAsia="en-GB"/>
        </w:rPr>
      </w:pPr>
      <w:r w:rsidRPr="00916223">
        <w:rPr>
          <w:b/>
          <w:noProof/>
        </w:rPr>
        <w:t>Table 4.5</w:t>
      </w:r>
      <w:r w:rsidRPr="00916223">
        <w:rPr>
          <w:noProof/>
        </w:rPr>
        <w:t xml:space="preserve"> </w:t>
      </w:r>
      <w:r w:rsidR="00287722">
        <w:rPr>
          <w:noProof/>
        </w:rPr>
        <w:tab/>
      </w:r>
      <w:r w:rsidRPr="00916223">
        <w:rPr>
          <w:noProof/>
        </w:rPr>
        <w:t xml:space="preserve">Median values and ranges of fusion for all complete fusion epiphyses in </w:t>
      </w:r>
      <w:r w:rsidRPr="00916223">
        <w:rPr>
          <w:i/>
          <w:noProof/>
        </w:rPr>
        <w:t>Pan troglodytes</w:t>
      </w:r>
      <w:r w:rsidRPr="00916223">
        <w:rPr>
          <w:noProof/>
        </w:rPr>
        <w:t xml:space="preserve"> females.</w:t>
      </w:r>
      <w:r>
        <w:rPr>
          <w:noProof/>
          <w:webHidden/>
        </w:rPr>
        <w:tab/>
      </w:r>
      <w:r w:rsidR="001E59DE">
        <w:rPr>
          <w:noProof/>
          <w:webHidden/>
        </w:rPr>
        <w:t xml:space="preserve">  </w:t>
      </w:r>
      <w:r>
        <w:rPr>
          <w:noProof/>
          <w:webHidden/>
        </w:rPr>
        <w:t>121</w:t>
      </w:r>
    </w:p>
    <w:p w:rsidR="00795735" w:rsidRDefault="00795735" w:rsidP="00795735">
      <w:pPr>
        <w:pStyle w:val="TableofFigures"/>
        <w:tabs>
          <w:tab w:val="right" w:pos="9099"/>
        </w:tabs>
        <w:spacing w:before="120" w:line="288" w:lineRule="auto"/>
        <w:ind w:left="938" w:right="474" w:hanging="938"/>
        <w:rPr>
          <w:rFonts w:asciiTheme="minorHAnsi" w:eastAsiaTheme="minorEastAsia" w:hAnsiTheme="minorHAnsi" w:cstheme="minorBidi"/>
          <w:noProof/>
          <w:lang w:val="en-GB" w:eastAsia="en-GB"/>
        </w:rPr>
      </w:pPr>
      <w:r w:rsidRPr="00916223">
        <w:rPr>
          <w:b/>
          <w:noProof/>
        </w:rPr>
        <w:lastRenderedPageBreak/>
        <w:t>Table 4.6</w:t>
      </w:r>
      <w:r w:rsidRPr="00916223">
        <w:rPr>
          <w:noProof/>
        </w:rPr>
        <w:t xml:space="preserve"> Mid-fusion and complete fusion median, 25</w:t>
      </w:r>
      <w:r w:rsidRPr="00916223">
        <w:rPr>
          <w:noProof/>
          <w:vertAlign w:val="superscript"/>
        </w:rPr>
        <w:t>th</w:t>
      </w:r>
      <w:r w:rsidRPr="00916223">
        <w:rPr>
          <w:noProof/>
        </w:rPr>
        <w:t xml:space="preserve"> and 75</w:t>
      </w:r>
      <w:r w:rsidRPr="00916223">
        <w:rPr>
          <w:noProof/>
          <w:vertAlign w:val="superscript"/>
        </w:rPr>
        <w:t>th</w:t>
      </w:r>
      <w:r w:rsidRPr="00916223">
        <w:rPr>
          <w:noProof/>
        </w:rPr>
        <w:t xml:space="preserve"> percentiles values for generated dental score in </w:t>
      </w:r>
      <w:r w:rsidRPr="00916223">
        <w:rPr>
          <w:i/>
          <w:noProof/>
        </w:rPr>
        <w:t>Pan troglodytes</w:t>
      </w:r>
      <w:r w:rsidRPr="00916223">
        <w:rPr>
          <w:noProof/>
        </w:rPr>
        <w:t xml:space="preserve"> females.</w:t>
      </w:r>
      <w:r>
        <w:rPr>
          <w:noProof/>
          <w:webHidden/>
        </w:rPr>
        <w:tab/>
        <w:t>123</w:t>
      </w:r>
    </w:p>
    <w:p w:rsidR="00795735" w:rsidRDefault="00795735" w:rsidP="00795735">
      <w:pPr>
        <w:pStyle w:val="TableofFigures"/>
        <w:tabs>
          <w:tab w:val="right" w:pos="9099"/>
        </w:tabs>
        <w:spacing w:before="120" w:line="288" w:lineRule="auto"/>
        <w:ind w:left="966" w:right="474" w:hanging="966"/>
        <w:rPr>
          <w:rFonts w:asciiTheme="minorHAnsi" w:eastAsiaTheme="minorEastAsia" w:hAnsiTheme="minorHAnsi" w:cstheme="minorBidi"/>
          <w:noProof/>
          <w:lang w:val="en-GB" w:eastAsia="en-GB"/>
        </w:rPr>
      </w:pPr>
      <w:r w:rsidRPr="00916223">
        <w:rPr>
          <w:b/>
          <w:noProof/>
        </w:rPr>
        <w:t>Table 4.7</w:t>
      </w:r>
      <w:r w:rsidRPr="00916223">
        <w:rPr>
          <w:noProof/>
        </w:rPr>
        <w:t xml:space="preserve"> Shapiro-Wilk normality test for </w:t>
      </w:r>
      <w:r w:rsidRPr="00916223">
        <w:rPr>
          <w:i/>
          <w:noProof/>
        </w:rPr>
        <w:t>Pan troglodytes</w:t>
      </w:r>
      <w:r w:rsidRPr="00916223">
        <w:rPr>
          <w:noProof/>
        </w:rPr>
        <w:t xml:space="preserve"> male and female epiphyses with dental scores below DS64.</w:t>
      </w:r>
      <w:r>
        <w:rPr>
          <w:noProof/>
          <w:webHidden/>
        </w:rPr>
        <w:tab/>
        <w:t>130</w:t>
      </w:r>
    </w:p>
    <w:p w:rsidR="00795735" w:rsidRDefault="00795735" w:rsidP="00795735">
      <w:pPr>
        <w:pStyle w:val="TableofFigures"/>
        <w:tabs>
          <w:tab w:val="right" w:pos="9099"/>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4.8</w:t>
      </w:r>
      <w:r w:rsidRPr="00916223">
        <w:rPr>
          <w:noProof/>
        </w:rPr>
        <w:t xml:space="preserve"> t-test comparison for male and female </w:t>
      </w:r>
      <w:r w:rsidRPr="00916223">
        <w:rPr>
          <w:i/>
          <w:noProof/>
        </w:rPr>
        <w:t>Pan troglodytes</w:t>
      </w:r>
      <w:r w:rsidRPr="00916223">
        <w:rPr>
          <w:noProof/>
        </w:rPr>
        <w:t xml:space="preserve"> epiphyses that satisfy criteria for being below dental score 64.</w:t>
      </w:r>
      <w:r>
        <w:rPr>
          <w:noProof/>
          <w:webHidden/>
        </w:rPr>
        <w:tab/>
        <w:t>131</w:t>
      </w:r>
    </w:p>
    <w:p w:rsidR="00795735" w:rsidRDefault="00795735" w:rsidP="00795735">
      <w:pPr>
        <w:pStyle w:val="TableofFigures"/>
        <w:tabs>
          <w:tab w:val="right" w:pos="9099"/>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4.9</w:t>
      </w:r>
      <w:r w:rsidRPr="00916223">
        <w:rPr>
          <w:noProof/>
        </w:rPr>
        <w:t xml:space="preserve"> Mean epiphyseal fusion value compared to dental score for </w:t>
      </w:r>
      <w:r w:rsidRPr="00916223">
        <w:rPr>
          <w:i/>
          <w:noProof/>
        </w:rPr>
        <w:t>Pan troglodytes</w:t>
      </w:r>
      <w:r w:rsidRPr="00916223">
        <w:rPr>
          <w:noProof/>
        </w:rPr>
        <w:t xml:space="preserve"> females by individual.</w:t>
      </w:r>
      <w:r>
        <w:rPr>
          <w:noProof/>
          <w:webHidden/>
        </w:rPr>
        <w:tab/>
        <w:t>132</w:t>
      </w:r>
    </w:p>
    <w:p w:rsidR="00795735" w:rsidRDefault="00795735" w:rsidP="00795735">
      <w:pPr>
        <w:pStyle w:val="TableofFigures"/>
        <w:tabs>
          <w:tab w:val="right" w:pos="9099"/>
        </w:tabs>
        <w:spacing w:before="120" w:line="288" w:lineRule="auto"/>
        <w:ind w:left="1064" w:right="474" w:hanging="1064"/>
        <w:rPr>
          <w:rFonts w:asciiTheme="minorHAnsi" w:eastAsiaTheme="minorEastAsia" w:hAnsiTheme="minorHAnsi" w:cstheme="minorBidi"/>
          <w:noProof/>
          <w:lang w:val="en-GB" w:eastAsia="en-GB"/>
        </w:rPr>
      </w:pPr>
      <w:r w:rsidRPr="00916223">
        <w:rPr>
          <w:b/>
          <w:noProof/>
        </w:rPr>
        <w:t>Table 4.10</w:t>
      </w:r>
      <w:r w:rsidRPr="00916223">
        <w:rPr>
          <w:noProof/>
        </w:rPr>
        <w:t xml:space="preserve"> Mean epiphyseal fusion value compared to dental score for </w:t>
      </w:r>
      <w:r w:rsidRPr="00916223">
        <w:rPr>
          <w:i/>
          <w:noProof/>
        </w:rPr>
        <w:t>Pan troglodytes</w:t>
      </w:r>
      <w:r w:rsidRPr="00916223">
        <w:rPr>
          <w:noProof/>
        </w:rPr>
        <w:t xml:space="preserve"> males and </w:t>
      </w:r>
      <w:r w:rsidRPr="00916223">
        <w:rPr>
          <w:i/>
          <w:noProof/>
        </w:rPr>
        <w:t>Pan paniscus</w:t>
      </w:r>
      <w:r w:rsidRPr="00916223">
        <w:rPr>
          <w:noProof/>
        </w:rPr>
        <w:t xml:space="preserve"> males and females.</w:t>
      </w:r>
      <w:r>
        <w:rPr>
          <w:noProof/>
          <w:webHidden/>
        </w:rPr>
        <w:tab/>
        <w:t>133</w:t>
      </w:r>
    </w:p>
    <w:p w:rsidR="00795735" w:rsidRDefault="00795735" w:rsidP="00795735">
      <w:pPr>
        <w:pStyle w:val="TableofFigures"/>
        <w:tabs>
          <w:tab w:val="left" w:pos="8735"/>
          <w:tab w:val="right" w:pos="9072"/>
        </w:tabs>
        <w:spacing w:before="120" w:line="288" w:lineRule="auto"/>
        <w:ind w:left="1078" w:right="474" w:hanging="1078"/>
        <w:rPr>
          <w:rFonts w:asciiTheme="minorHAnsi" w:eastAsiaTheme="minorEastAsia" w:hAnsiTheme="minorHAnsi" w:cstheme="minorBidi"/>
          <w:noProof/>
          <w:lang w:val="en-GB" w:eastAsia="en-GB"/>
        </w:rPr>
      </w:pPr>
      <w:r w:rsidRPr="00916223">
        <w:rPr>
          <w:b/>
          <w:noProof/>
        </w:rPr>
        <w:t>Table 4.11</w:t>
      </w:r>
      <w:r w:rsidRPr="00916223">
        <w:rPr>
          <w:noProof/>
        </w:rPr>
        <w:t xml:space="preserve"> Example of contingency table comparing the coracoid with the distal ulna in </w:t>
      </w:r>
      <w:r w:rsidRPr="00916223">
        <w:rPr>
          <w:i/>
          <w:noProof/>
        </w:rPr>
        <w:t xml:space="preserve">Pan troglodytes </w:t>
      </w:r>
      <w:r w:rsidRPr="00916223">
        <w:rPr>
          <w:noProof/>
        </w:rPr>
        <w:t>males.</w:t>
      </w:r>
      <w:r>
        <w:rPr>
          <w:noProof/>
          <w:webHidden/>
        </w:rPr>
        <w:tab/>
        <w:t>134</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4.12</w:t>
      </w:r>
      <w:r w:rsidRPr="00916223">
        <w:rPr>
          <w:noProof/>
        </w:rPr>
        <w:t xml:space="preserve"> Modular sequence of fusion for </w:t>
      </w:r>
      <w:r w:rsidRPr="00916223">
        <w:rPr>
          <w:i/>
          <w:noProof/>
        </w:rPr>
        <w:t>Pan troglodytes</w:t>
      </w:r>
      <w:r w:rsidRPr="00916223">
        <w:rPr>
          <w:noProof/>
        </w:rPr>
        <w:t xml:space="preserve"> females.</w:t>
      </w:r>
      <w:r>
        <w:rPr>
          <w:noProof/>
          <w:webHidden/>
        </w:rPr>
        <w:tab/>
        <w:t>134</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4.13</w:t>
      </w:r>
      <w:r w:rsidRPr="00916223">
        <w:rPr>
          <w:noProof/>
        </w:rPr>
        <w:t xml:space="preserve"> Modular sequence of fusion for </w:t>
      </w:r>
      <w:r w:rsidRPr="00916223">
        <w:rPr>
          <w:i/>
          <w:noProof/>
        </w:rPr>
        <w:t>Pan troglodytes</w:t>
      </w:r>
      <w:r w:rsidRPr="00916223">
        <w:rPr>
          <w:noProof/>
        </w:rPr>
        <w:t xml:space="preserve"> males.</w:t>
      </w:r>
      <w:r>
        <w:rPr>
          <w:noProof/>
          <w:webHidden/>
        </w:rPr>
        <w:tab/>
        <w:t>135</w:t>
      </w:r>
    </w:p>
    <w:p w:rsidR="00795735" w:rsidRDefault="00795735" w:rsidP="00795735">
      <w:pPr>
        <w:pStyle w:val="TableofFigures"/>
        <w:tabs>
          <w:tab w:val="right" w:pos="9099"/>
        </w:tabs>
        <w:spacing w:before="120" w:line="288" w:lineRule="auto"/>
        <w:ind w:left="1092" w:right="474" w:hanging="1092"/>
        <w:rPr>
          <w:rFonts w:asciiTheme="minorHAnsi" w:eastAsiaTheme="minorEastAsia" w:hAnsiTheme="minorHAnsi" w:cstheme="minorBidi"/>
          <w:noProof/>
          <w:lang w:val="en-GB" w:eastAsia="en-GB"/>
        </w:rPr>
      </w:pPr>
      <w:r w:rsidRPr="00916223">
        <w:rPr>
          <w:b/>
          <w:noProof/>
        </w:rPr>
        <w:t>Table 4.14</w:t>
      </w:r>
      <w:r w:rsidRPr="00916223">
        <w:rPr>
          <w:noProof/>
        </w:rPr>
        <w:t xml:space="preserve"> </w:t>
      </w:r>
      <w:r w:rsidRPr="00916223">
        <w:rPr>
          <w:rFonts w:eastAsia="Times New Roman"/>
          <w:noProof/>
          <w:lang w:val="en-GB" w:eastAsia="en-GB"/>
        </w:rPr>
        <w:t xml:space="preserve">Summary of non-normal ranges of mean epiphyseal fusion score for mid-fusion and complete fusion in </w:t>
      </w:r>
      <w:r w:rsidRPr="00916223">
        <w:rPr>
          <w:rFonts w:eastAsia="Times New Roman"/>
          <w:i/>
          <w:noProof/>
          <w:lang w:val="en-GB" w:eastAsia="en-GB"/>
        </w:rPr>
        <w:t>Pan troglodytes</w:t>
      </w:r>
      <w:r w:rsidRPr="00916223">
        <w:rPr>
          <w:rFonts w:eastAsia="Times New Roman"/>
          <w:noProof/>
          <w:lang w:val="en-GB" w:eastAsia="en-GB"/>
        </w:rPr>
        <w:t xml:space="preserve"> males and females.</w:t>
      </w:r>
      <w:r>
        <w:rPr>
          <w:noProof/>
          <w:webHidden/>
        </w:rPr>
        <w:tab/>
        <w:t>137</w:t>
      </w:r>
    </w:p>
    <w:p w:rsidR="00795735" w:rsidRDefault="00795735" w:rsidP="00795735">
      <w:pPr>
        <w:pStyle w:val="TableofFigures"/>
        <w:tabs>
          <w:tab w:val="right" w:pos="9099"/>
        </w:tabs>
        <w:spacing w:before="120" w:line="288" w:lineRule="auto"/>
        <w:ind w:left="1050" w:right="474" w:hanging="1050"/>
        <w:rPr>
          <w:rFonts w:asciiTheme="minorHAnsi" w:eastAsiaTheme="minorEastAsia" w:hAnsiTheme="minorHAnsi" w:cstheme="minorBidi"/>
          <w:noProof/>
          <w:lang w:val="en-GB" w:eastAsia="en-GB"/>
        </w:rPr>
      </w:pPr>
      <w:r w:rsidRPr="00916223">
        <w:rPr>
          <w:b/>
          <w:noProof/>
        </w:rPr>
        <w:t>Table 4.15</w:t>
      </w:r>
      <w:r w:rsidRPr="00916223">
        <w:rPr>
          <w:noProof/>
        </w:rPr>
        <w:t xml:space="preserve"> Bonferroni post-hoc test of difference for the proximal humerus in </w:t>
      </w:r>
      <w:r w:rsidRPr="00916223">
        <w:rPr>
          <w:i/>
          <w:noProof/>
        </w:rPr>
        <w:t>Pan troglodytes</w:t>
      </w:r>
      <w:r w:rsidRPr="00916223">
        <w:rPr>
          <w:noProof/>
        </w:rPr>
        <w:t xml:space="preserve"> females.</w:t>
      </w:r>
      <w:r>
        <w:rPr>
          <w:noProof/>
          <w:webHidden/>
        </w:rPr>
        <w:tab/>
        <w:t>141</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4.16</w:t>
      </w:r>
      <w:r w:rsidRPr="00916223">
        <w:rPr>
          <w:noProof/>
        </w:rPr>
        <w:t xml:space="preserve"> Earlier and later epiphyses for mid-fusion </w:t>
      </w:r>
      <w:r w:rsidRPr="00916223">
        <w:rPr>
          <w:i/>
          <w:noProof/>
        </w:rPr>
        <w:t>Pan troglodytes</w:t>
      </w:r>
      <w:r w:rsidRPr="00916223">
        <w:rPr>
          <w:noProof/>
        </w:rPr>
        <w:t xml:space="preserve"> females.</w:t>
      </w:r>
      <w:r>
        <w:rPr>
          <w:noProof/>
          <w:webHidden/>
        </w:rPr>
        <w:tab/>
        <w:t>143</w:t>
      </w:r>
    </w:p>
    <w:p w:rsidR="00795735" w:rsidRDefault="00795735" w:rsidP="00795735">
      <w:pPr>
        <w:pStyle w:val="TableofFigures"/>
        <w:tabs>
          <w:tab w:val="right" w:pos="9099"/>
        </w:tabs>
        <w:spacing w:before="120" w:line="288" w:lineRule="auto"/>
        <w:ind w:left="1176" w:right="474" w:hanging="1176"/>
        <w:rPr>
          <w:rFonts w:asciiTheme="minorHAnsi" w:eastAsiaTheme="minorEastAsia" w:hAnsiTheme="minorHAnsi" w:cstheme="minorBidi"/>
          <w:noProof/>
          <w:lang w:val="en-GB" w:eastAsia="en-GB"/>
        </w:rPr>
      </w:pPr>
      <w:r w:rsidRPr="00916223">
        <w:rPr>
          <w:b/>
          <w:noProof/>
        </w:rPr>
        <w:t>Table 4.17</w:t>
      </w:r>
      <w:r w:rsidRPr="00916223">
        <w:rPr>
          <w:noProof/>
        </w:rPr>
        <w:t xml:space="preserve"> Independent sample t-test for comparing male and female mid-fusion mean epiphyseal fusion score ranges for all epiphyses.</w:t>
      </w:r>
      <w:r>
        <w:rPr>
          <w:noProof/>
          <w:webHidden/>
        </w:rPr>
        <w:tab/>
        <w:t>146</w:t>
      </w:r>
    </w:p>
    <w:p w:rsidR="00795735" w:rsidRDefault="00795735" w:rsidP="00795735">
      <w:pPr>
        <w:pStyle w:val="TableofFigures"/>
        <w:tabs>
          <w:tab w:val="right" w:pos="9099"/>
        </w:tabs>
        <w:spacing w:before="120" w:line="288" w:lineRule="auto"/>
        <w:ind w:left="1092" w:right="474" w:hanging="1092"/>
        <w:rPr>
          <w:rFonts w:asciiTheme="minorHAnsi" w:eastAsiaTheme="minorEastAsia" w:hAnsiTheme="minorHAnsi" w:cstheme="minorBidi"/>
          <w:noProof/>
          <w:lang w:val="en-GB" w:eastAsia="en-GB"/>
        </w:rPr>
      </w:pPr>
      <w:r w:rsidRPr="00916223">
        <w:rPr>
          <w:b/>
          <w:noProof/>
        </w:rPr>
        <w:t>Table 4.18</w:t>
      </w:r>
      <w:r w:rsidRPr="00916223">
        <w:rPr>
          <w:noProof/>
        </w:rPr>
        <w:t xml:space="preserve"> Independent sample t-test for comparing male and female complete fusion mean epiphyseal fusion score ranges for all epiphyses.</w:t>
      </w:r>
      <w:r>
        <w:rPr>
          <w:noProof/>
          <w:webHidden/>
        </w:rPr>
        <w:tab/>
        <w:t>1</w:t>
      </w:r>
      <w:r w:rsidR="00E33CBF">
        <w:rPr>
          <w:noProof/>
          <w:webHidden/>
        </w:rPr>
        <w:t>49</w:t>
      </w:r>
    </w:p>
    <w:p w:rsidR="00795735" w:rsidRDefault="00795735" w:rsidP="00795735">
      <w:pPr>
        <w:pStyle w:val="TableofFigures"/>
        <w:tabs>
          <w:tab w:val="right" w:pos="9099"/>
        </w:tabs>
        <w:spacing w:before="120" w:line="288" w:lineRule="auto"/>
        <w:ind w:left="1078" w:right="474" w:hanging="1078"/>
        <w:rPr>
          <w:rFonts w:asciiTheme="minorHAnsi" w:eastAsiaTheme="minorEastAsia" w:hAnsiTheme="minorHAnsi" w:cstheme="minorBidi"/>
          <w:noProof/>
          <w:lang w:val="en-GB" w:eastAsia="en-GB"/>
        </w:rPr>
      </w:pPr>
      <w:r w:rsidRPr="00916223">
        <w:rPr>
          <w:b/>
          <w:noProof/>
        </w:rPr>
        <w:t>Table 4.19</w:t>
      </w:r>
      <w:r w:rsidRPr="00916223">
        <w:rPr>
          <w:noProof/>
        </w:rPr>
        <w:t xml:space="preserve"> </w:t>
      </w:r>
      <w:r>
        <w:rPr>
          <w:noProof/>
          <w:color w:val="000000" w:themeColor="text1"/>
        </w:rPr>
        <w:t xml:space="preserve">Post-hoc Bonferroni tests of the proximal humerus for mid-fusion combined-sex fusion events in </w:t>
      </w:r>
      <w:r>
        <w:rPr>
          <w:i/>
          <w:noProof/>
          <w:color w:val="000000" w:themeColor="text1"/>
        </w:rPr>
        <w:t>Pan troglodytes</w:t>
      </w:r>
      <w:r w:rsidRPr="00916223">
        <w:rPr>
          <w:noProof/>
        </w:rPr>
        <w:t>.</w:t>
      </w:r>
      <w:r>
        <w:rPr>
          <w:noProof/>
          <w:webHidden/>
        </w:rPr>
        <w:tab/>
        <w:t>15</w:t>
      </w:r>
      <w:r w:rsidR="00E33CBF">
        <w:rPr>
          <w:noProof/>
          <w:webHidden/>
        </w:rPr>
        <w:t>3</w:t>
      </w:r>
    </w:p>
    <w:p w:rsidR="00795735" w:rsidRDefault="00795735" w:rsidP="00795735">
      <w:pPr>
        <w:pStyle w:val="TableofFigures"/>
        <w:tabs>
          <w:tab w:val="left" w:pos="8749"/>
          <w:tab w:val="right" w:pos="9099"/>
        </w:tabs>
        <w:spacing w:before="120" w:line="288" w:lineRule="auto"/>
        <w:ind w:left="1078" w:right="474" w:hanging="1078"/>
        <w:rPr>
          <w:rFonts w:asciiTheme="minorHAnsi" w:eastAsiaTheme="minorEastAsia" w:hAnsiTheme="minorHAnsi" w:cstheme="minorBidi"/>
          <w:noProof/>
          <w:lang w:val="en-GB" w:eastAsia="en-GB"/>
        </w:rPr>
      </w:pPr>
      <w:r w:rsidRPr="00916223">
        <w:rPr>
          <w:b/>
          <w:noProof/>
        </w:rPr>
        <w:t>Table 4.20</w:t>
      </w:r>
      <w:r w:rsidRPr="00916223">
        <w:rPr>
          <w:noProof/>
        </w:rPr>
        <w:t xml:space="preserve"> </w:t>
      </w:r>
      <w:r w:rsidRPr="004F6F92">
        <w:rPr>
          <w:noProof/>
          <w:color w:val="000000" w:themeColor="text1"/>
        </w:rPr>
        <w:t>Sequence order of mean</w:t>
      </w:r>
      <w:r>
        <w:rPr>
          <w:noProof/>
          <w:color w:val="000000" w:themeColor="text1"/>
        </w:rPr>
        <w:t xml:space="preserve"> values</w:t>
      </w:r>
      <w:r w:rsidRPr="004F6F92">
        <w:rPr>
          <w:noProof/>
          <w:color w:val="000000" w:themeColor="text1"/>
        </w:rPr>
        <w:t xml:space="preserve"> from lowest to highest for mid-fusion </w:t>
      </w:r>
      <w:r w:rsidRPr="004F6F92">
        <w:rPr>
          <w:i/>
          <w:noProof/>
          <w:color w:val="000000" w:themeColor="text1"/>
        </w:rPr>
        <w:t>Pan troglodytes</w:t>
      </w:r>
      <w:r>
        <w:rPr>
          <w:noProof/>
          <w:color w:val="000000" w:themeColor="text1"/>
        </w:rPr>
        <w:t xml:space="preserve"> males and females</w:t>
      </w:r>
      <w:r w:rsidRPr="00916223">
        <w:rPr>
          <w:noProof/>
        </w:rPr>
        <w:t>.</w:t>
      </w:r>
      <w:r>
        <w:rPr>
          <w:noProof/>
          <w:webHidden/>
        </w:rPr>
        <w:tab/>
        <w:t>15</w:t>
      </w:r>
      <w:r w:rsidR="00E33CBF">
        <w:rPr>
          <w:noProof/>
          <w:webHidden/>
        </w:rPr>
        <w:t>5</w:t>
      </w:r>
    </w:p>
    <w:p w:rsidR="00795735" w:rsidRDefault="00795735" w:rsidP="00795735">
      <w:pPr>
        <w:pStyle w:val="TableofFigures"/>
        <w:tabs>
          <w:tab w:val="right" w:pos="9099"/>
        </w:tabs>
        <w:spacing w:before="120" w:line="288" w:lineRule="auto"/>
        <w:ind w:left="1092" w:right="474" w:hanging="1092"/>
        <w:rPr>
          <w:rFonts w:asciiTheme="minorHAnsi" w:eastAsiaTheme="minorEastAsia" w:hAnsiTheme="minorHAnsi" w:cstheme="minorBidi"/>
          <w:noProof/>
          <w:lang w:val="en-GB" w:eastAsia="en-GB"/>
        </w:rPr>
      </w:pPr>
      <w:r w:rsidRPr="00916223">
        <w:rPr>
          <w:b/>
          <w:noProof/>
        </w:rPr>
        <w:t>Table 4.21</w:t>
      </w:r>
      <w:r w:rsidRPr="00916223">
        <w:rPr>
          <w:noProof/>
        </w:rPr>
        <w:t xml:space="preserve"> Sequence order of mean from lowest to highest for complete fusion </w:t>
      </w:r>
      <w:r w:rsidRPr="00916223">
        <w:rPr>
          <w:i/>
          <w:noProof/>
        </w:rPr>
        <w:t>Pan troglodytes</w:t>
      </w:r>
      <w:r w:rsidRPr="00916223">
        <w:rPr>
          <w:noProof/>
        </w:rPr>
        <w:t xml:space="preserve"> males and females.</w:t>
      </w:r>
      <w:r>
        <w:rPr>
          <w:noProof/>
          <w:webHidden/>
        </w:rPr>
        <w:tab/>
        <w:t>15</w:t>
      </w:r>
      <w:r w:rsidR="00E33CBF">
        <w:rPr>
          <w:noProof/>
          <w:webHidden/>
        </w:rPr>
        <w:t>6</w:t>
      </w:r>
    </w:p>
    <w:p w:rsidR="00795735" w:rsidRDefault="00795735" w:rsidP="00795735">
      <w:pPr>
        <w:pStyle w:val="TableofFigures"/>
        <w:tabs>
          <w:tab w:val="right" w:pos="9111"/>
        </w:tabs>
        <w:spacing w:before="120" w:line="288" w:lineRule="auto"/>
        <w:ind w:left="1021" w:right="474" w:hanging="1021"/>
        <w:rPr>
          <w:rFonts w:asciiTheme="minorHAnsi" w:eastAsiaTheme="minorEastAsia" w:hAnsiTheme="minorHAnsi" w:cstheme="minorBidi"/>
          <w:noProof/>
          <w:lang w:val="en-GB" w:eastAsia="en-GB"/>
        </w:rPr>
      </w:pPr>
      <w:r w:rsidRPr="00916223">
        <w:rPr>
          <w:b/>
          <w:noProof/>
        </w:rPr>
        <w:t>Table 4.22</w:t>
      </w:r>
      <w:r w:rsidRPr="00916223">
        <w:rPr>
          <w:noProof/>
        </w:rPr>
        <w:t xml:space="preserve"> Regression summary for male </w:t>
      </w:r>
      <w:r w:rsidRPr="00916223">
        <w:rPr>
          <w:i/>
          <w:noProof/>
        </w:rPr>
        <w:t>Pan troglodytes</w:t>
      </w:r>
      <w:r w:rsidRPr="00916223">
        <w:rPr>
          <w:noProof/>
        </w:rPr>
        <w:t xml:space="preserve"> upper vs. lower limb.</w:t>
      </w:r>
      <w:r>
        <w:rPr>
          <w:noProof/>
          <w:webHidden/>
        </w:rPr>
        <w:tab/>
        <w:t>15</w:t>
      </w:r>
      <w:r w:rsidR="00E33CBF">
        <w:rPr>
          <w:noProof/>
          <w:webHidden/>
        </w:rPr>
        <w:t>8</w:t>
      </w:r>
    </w:p>
    <w:p w:rsidR="00795735" w:rsidRDefault="00795735" w:rsidP="00795735">
      <w:pPr>
        <w:pStyle w:val="TableofFigures"/>
        <w:tabs>
          <w:tab w:val="right" w:pos="9111"/>
        </w:tabs>
        <w:spacing w:before="120" w:line="288" w:lineRule="auto"/>
        <w:ind w:left="1078" w:right="474" w:hanging="1078"/>
        <w:rPr>
          <w:rFonts w:asciiTheme="minorHAnsi" w:eastAsiaTheme="minorEastAsia" w:hAnsiTheme="minorHAnsi" w:cstheme="minorBidi"/>
          <w:noProof/>
          <w:lang w:val="en-GB" w:eastAsia="en-GB"/>
        </w:rPr>
      </w:pPr>
      <w:r w:rsidRPr="00916223">
        <w:rPr>
          <w:b/>
          <w:noProof/>
        </w:rPr>
        <w:t>Table 4.23</w:t>
      </w:r>
      <w:r w:rsidRPr="00916223">
        <w:rPr>
          <w:noProof/>
        </w:rPr>
        <w:t xml:space="preserve"> Regression r-squared values for limb comparisons of </w:t>
      </w:r>
      <w:r w:rsidRPr="00916223">
        <w:rPr>
          <w:i/>
          <w:noProof/>
        </w:rPr>
        <w:t xml:space="preserve">Pan troglodytes </w:t>
      </w:r>
      <w:r w:rsidRPr="00916223">
        <w:rPr>
          <w:noProof/>
        </w:rPr>
        <w:t xml:space="preserve">females and </w:t>
      </w:r>
      <w:r w:rsidRPr="00916223">
        <w:rPr>
          <w:i/>
          <w:noProof/>
        </w:rPr>
        <w:t>Pan paniscus</w:t>
      </w:r>
      <w:r w:rsidRPr="00916223">
        <w:rPr>
          <w:noProof/>
        </w:rPr>
        <w:t xml:space="preserve"> males and females</w:t>
      </w:r>
      <w:r>
        <w:rPr>
          <w:noProof/>
          <w:webHidden/>
        </w:rPr>
        <w:tab/>
        <w:t>1</w:t>
      </w:r>
      <w:r w:rsidR="00E33CBF">
        <w:rPr>
          <w:noProof/>
          <w:webHidden/>
        </w:rPr>
        <w:t>59</w:t>
      </w:r>
    </w:p>
    <w:p w:rsidR="00795735" w:rsidRDefault="00795735" w:rsidP="00795735">
      <w:pPr>
        <w:pStyle w:val="TableofFigures"/>
        <w:tabs>
          <w:tab w:val="right" w:pos="9111"/>
        </w:tabs>
        <w:spacing w:before="120" w:line="288" w:lineRule="auto"/>
        <w:ind w:left="1106" w:right="474" w:hanging="1106"/>
        <w:rPr>
          <w:rFonts w:asciiTheme="minorHAnsi" w:eastAsiaTheme="minorEastAsia" w:hAnsiTheme="minorHAnsi" w:cstheme="minorBidi"/>
          <w:noProof/>
          <w:lang w:val="en-GB" w:eastAsia="en-GB"/>
        </w:rPr>
      </w:pPr>
      <w:r w:rsidRPr="00916223">
        <w:rPr>
          <w:b/>
          <w:noProof/>
        </w:rPr>
        <w:t>Table 4.24</w:t>
      </w:r>
      <w:r w:rsidRPr="00916223">
        <w:rPr>
          <w:noProof/>
        </w:rPr>
        <w:t xml:space="preserve"> </w:t>
      </w:r>
      <w:r>
        <w:rPr>
          <w:noProof/>
          <w:color w:val="000000" w:themeColor="text1"/>
        </w:rPr>
        <w:t>Linear regression equations of log</w:t>
      </w:r>
      <w:r w:rsidRPr="00516FE9">
        <w:rPr>
          <w:noProof/>
          <w:color w:val="000000" w:themeColor="text1"/>
          <w:vertAlign w:val="subscript"/>
        </w:rPr>
        <w:t>10</w:t>
      </w:r>
      <w:r>
        <w:rPr>
          <w:i/>
          <w:noProof/>
          <w:color w:val="000000" w:themeColor="text1"/>
        </w:rPr>
        <w:t xml:space="preserve"> </w:t>
      </w:r>
      <w:r>
        <w:rPr>
          <w:noProof/>
          <w:color w:val="000000" w:themeColor="text1"/>
        </w:rPr>
        <w:t xml:space="preserve">transformed limb data for </w:t>
      </w:r>
      <w:r>
        <w:rPr>
          <w:i/>
          <w:noProof/>
          <w:color w:val="000000" w:themeColor="text1"/>
        </w:rPr>
        <w:t xml:space="preserve">Pan troglodytes </w:t>
      </w:r>
      <w:r>
        <w:t xml:space="preserve">and </w:t>
      </w:r>
      <w:r>
        <w:rPr>
          <w:i/>
        </w:rPr>
        <w:t xml:space="preserve">Pan </w:t>
      </w:r>
      <w:proofErr w:type="gramStart"/>
      <w:r>
        <w:rPr>
          <w:i/>
        </w:rPr>
        <w:t>paniscus</w:t>
      </w:r>
      <w:proofErr w:type="gramEnd"/>
      <w:r>
        <w:t xml:space="preserve"> males and females.</w:t>
      </w:r>
      <w:r>
        <w:rPr>
          <w:noProof/>
          <w:webHidden/>
        </w:rPr>
        <w:tab/>
        <w:t>16</w:t>
      </w:r>
      <w:r w:rsidR="00E33CBF">
        <w:rPr>
          <w:noProof/>
          <w:webHidden/>
        </w:rPr>
        <w:t>0</w:t>
      </w:r>
    </w:p>
    <w:p w:rsidR="00795735" w:rsidRDefault="00795735" w:rsidP="00795735">
      <w:pPr>
        <w:pStyle w:val="TableofFigures"/>
        <w:tabs>
          <w:tab w:val="right" w:pos="9111"/>
        </w:tabs>
        <w:spacing w:before="120" w:line="288" w:lineRule="auto"/>
        <w:ind w:left="1050" w:right="474" w:hanging="1050"/>
        <w:rPr>
          <w:rFonts w:asciiTheme="minorHAnsi" w:eastAsiaTheme="minorEastAsia" w:hAnsiTheme="minorHAnsi" w:cstheme="minorBidi"/>
          <w:noProof/>
          <w:lang w:val="en-GB" w:eastAsia="en-GB"/>
        </w:rPr>
      </w:pPr>
      <w:r w:rsidRPr="00916223">
        <w:rPr>
          <w:b/>
          <w:noProof/>
        </w:rPr>
        <w:lastRenderedPageBreak/>
        <w:t>Table 4.25</w:t>
      </w:r>
      <w:r w:rsidRPr="00916223">
        <w:rPr>
          <w:noProof/>
        </w:rPr>
        <w:t xml:space="preserve"> </w:t>
      </w:r>
      <w:r>
        <w:rPr>
          <w:noProof/>
          <w:color w:val="000000" w:themeColor="text1"/>
        </w:rPr>
        <w:t xml:space="preserve">Regression values for analysis of serially homologous limb elements in </w:t>
      </w:r>
      <w:r>
        <w:rPr>
          <w:i/>
          <w:noProof/>
          <w:color w:val="000000" w:themeColor="text1"/>
        </w:rPr>
        <w:t>Pan troglodytes</w:t>
      </w:r>
      <w:r w:rsidRPr="00916223">
        <w:rPr>
          <w:noProof/>
        </w:rPr>
        <w:t>.</w:t>
      </w:r>
      <w:r>
        <w:rPr>
          <w:noProof/>
          <w:webHidden/>
        </w:rPr>
        <w:tab/>
        <w:t>16</w:t>
      </w:r>
      <w:r w:rsidR="00E33CBF">
        <w:rPr>
          <w:noProof/>
          <w:webHidden/>
        </w:rPr>
        <w:t>1</w:t>
      </w:r>
    </w:p>
    <w:p w:rsidR="00795735" w:rsidRDefault="00795735" w:rsidP="00795735">
      <w:pPr>
        <w:pStyle w:val="TableofFigures"/>
        <w:tabs>
          <w:tab w:val="right" w:pos="9111"/>
        </w:tabs>
        <w:spacing w:before="100" w:line="288" w:lineRule="auto"/>
        <w:ind w:left="1077" w:right="476" w:hanging="1077"/>
        <w:rPr>
          <w:rFonts w:asciiTheme="minorHAnsi" w:eastAsiaTheme="minorEastAsia" w:hAnsiTheme="minorHAnsi" w:cstheme="minorBidi"/>
          <w:noProof/>
          <w:lang w:val="en-GB" w:eastAsia="en-GB"/>
        </w:rPr>
      </w:pPr>
      <w:r w:rsidRPr="00916223">
        <w:rPr>
          <w:b/>
          <w:noProof/>
        </w:rPr>
        <w:t>Table 4.26</w:t>
      </w:r>
      <w:r w:rsidRPr="00916223">
        <w:rPr>
          <w:noProof/>
        </w:rPr>
        <w:t xml:space="preserve"> </w:t>
      </w:r>
      <w:r>
        <w:rPr>
          <w:noProof/>
          <w:color w:val="000000" w:themeColor="text1"/>
        </w:rPr>
        <w:t xml:space="preserve">Regression values for analysis of serially homologous limb elements in </w:t>
      </w:r>
      <w:r>
        <w:rPr>
          <w:i/>
          <w:noProof/>
          <w:color w:val="000000" w:themeColor="text1"/>
        </w:rPr>
        <w:t>Pan paniscus</w:t>
      </w:r>
      <w:r w:rsidRPr="00916223">
        <w:rPr>
          <w:noProof/>
        </w:rPr>
        <w:t>.</w:t>
      </w:r>
      <w:r>
        <w:rPr>
          <w:noProof/>
          <w:webHidden/>
        </w:rPr>
        <w:tab/>
        <w:t>16</w:t>
      </w:r>
      <w:r w:rsidR="00E33CBF">
        <w:rPr>
          <w:noProof/>
          <w:webHidden/>
        </w:rPr>
        <w:t>1</w:t>
      </w:r>
    </w:p>
    <w:p w:rsidR="00795735" w:rsidRDefault="00795735" w:rsidP="00795735">
      <w:pPr>
        <w:pStyle w:val="TableofFigures"/>
        <w:tabs>
          <w:tab w:val="right" w:pos="9111"/>
        </w:tabs>
        <w:spacing w:before="100" w:line="288" w:lineRule="auto"/>
        <w:ind w:left="1094" w:right="476" w:hanging="1094"/>
        <w:rPr>
          <w:rFonts w:asciiTheme="minorHAnsi" w:eastAsiaTheme="minorEastAsia" w:hAnsiTheme="minorHAnsi" w:cstheme="minorBidi"/>
          <w:noProof/>
          <w:lang w:val="en-GB" w:eastAsia="en-GB"/>
        </w:rPr>
      </w:pPr>
      <w:r w:rsidRPr="00916223">
        <w:rPr>
          <w:b/>
          <w:noProof/>
        </w:rPr>
        <w:t>Table 4.27</w:t>
      </w:r>
      <w:r w:rsidRPr="00EA6BEE">
        <w:rPr>
          <w:noProof/>
        </w:rPr>
        <w:t xml:space="preserve"> </w:t>
      </w:r>
      <w:r>
        <w:rPr>
          <w:noProof/>
        </w:rPr>
        <w:t xml:space="preserve">Estimated chronological ages for fusion events based on median values of mid-fusion and complete fusion in </w:t>
      </w:r>
      <w:r>
        <w:rPr>
          <w:i/>
          <w:noProof/>
        </w:rPr>
        <w:t>Pan troglodytes</w:t>
      </w:r>
      <w:r>
        <w:rPr>
          <w:noProof/>
        </w:rPr>
        <w:t xml:space="preserve"> females</w:t>
      </w:r>
      <w:r w:rsidRPr="00916223">
        <w:rPr>
          <w:noProof/>
        </w:rPr>
        <w:t>.</w:t>
      </w:r>
      <w:r>
        <w:rPr>
          <w:noProof/>
          <w:webHidden/>
        </w:rPr>
        <w:tab/>
        <w:t>16</w:t>
      </w:r>
      <w:r w:rsidR="00E33CBF">
        <w:rPr>
          <w:noProof/>
          <w:webHidden/>
        </w:rPr>
        <w:t>3</w:t>
      </w:r>
    </w:p>
    <w:p w:rsidR="00795735" w:rsidRDefault="00795735" w:rsidP="00795735">
      <w:pPr>
        <w:pStyle w:val="TableofFigures"/>
        <w:tabs>
          <w:tab w:val="right" w:pos="9111"/>
        </w:tabs>
        <w:spacing w:before="120" w:line="288" w:lineRule="auto"/>
        <w:ind w:left="1092" w:right="474" w:hanging="1092"/>
        <w:rPr>
          <w:rFonts w:asciiTheme="minorHAnsi" w:eastAsiaTheme="minorEastAsia" w:hAnsiTheme="minorHAnsi" w:cstheme="minorBidi"/>
          <w:noProof/>
          <w:lang w:val="en-GB" w:eastAsia="en-GB"/>
        </w:rPr>
      </w:pPr>
      <w:r w:rsidRPr="00916223">
        <w:rPr>
          <w:b/>
          <w:noProof/>
        </w:rPr>
        <w:t>Table 4.28</w:t>
      </w:r>
      <w:r w:rsidRPr="00916223">
        <w:rPr>
          <w:noProof/>
        </w:rPr>
        <w:t xml:space="preserve"> Estimated chronological ages for fusion events based on median values of mid-fusion and complete fusion in </w:t>
      </w:r>
      <w:r w:rsidRPr="00916223">
        <w:rPr>
          <w:i/>
          <w:noProof/>
        </w:rPr>
        <w:t>Pan troglodytes</w:t>
      </w:r>
      <w:r w:rsidRPr="00916223">
        <w:rPr>
          <w:noProof/>
        </w:rPr>
        <w:t xml:space="preserve"> males.</w:t>
      </w:r>
      <w:r>
        <w:rPr>
          <w:noProof/>
          <w:webHidden/>
        </w:rPr>
        <w:tab/>
        <w:t>16</w:t>
      </w:r>
      <w:r w:rsidR="00E33CBF">
        <w:rPr>
          <w:noProof/>
          <w:webHidden/>
        </w:rPr>
        <w:t>4</w:t>
      </w:r>
    </w:p>
    <w:p w:rsidR="00795735" w:rsidRDefault="00795735" w:rsidP="00795735">
      <w:pPr>
        <w:pStyle w:val="TableofFigures"/>
        <w:tabs>
          <w:tab w:val="right" w:pos="9111"/>
        </w:tabs>
        <w:spacing w:before="120" w:line="288" w:lineRule="auto"/>
        <w:ind w:left="1092" w:right="474" w:hanging="1092"/>
        <w:rPr>
          <w:rFonts w:asciiTheme="minorHAnsi" w:eastAsiaTheme="minorEastAsia" w:hAnsiTheme="minorHAnsi" w:cstheme="minorBidi"/>
          <w:noProof/>
          <w:lang w:val="en-GB" w:eastAsia="en-GB"/>
        </w:rPr>
      </w:pPr>
      <w:r w:rsidRPr="00916223">
        <w:rPr>
          <w:b/>
          <w:noProof/>
        </w:rPr>
        <w:t>Table 4.29</w:t>
      </w:r>
      <w:r w:rsidRPr="00916223">
        <w:rPr>
          <w:noProof/>
        </w:rPr>
        <w:t xml:space="preserve"> Estimated chronological ages for fusion events based on median values of mid-fusion and complete fusion in </w:t>
      </w:r>
      <w:r w:rsidRPr="00916223">
        <w:rPr>
          <w:i/>
          <w:noProof/>
        </w:rPr>
        <w:t xml:space="preserve">Pan paniscus </w:t>
      </w:r>
      <w:r w:rsidRPr="00916223">
        <w:rPr>
          <w:noProof/>
        </w:rPr>
        <w:t>females.</w:t>
      </w:r>
      <w:r>
        <w:rPr>
          <w:noProof/>
          <w:webHidden/>
        </w:rPr>
        <w:tab/>
        <w:t>16</w:t>
      </w:r>
      <w:r w:rsidR="00E33CBF">
        <w:rPr>
          <w:noProof/>
          <w:webHidden/>
        </w:rPr>
        <w:t>5</w:t>
      </w:r>
    </w:p>
    <w:p w:rsidR="00795735" w:rsidRDefault="00795735" w:rsidP="00795735">
      <w:pPr>
        <w:pStyle w:val="TableofFigures"/>
        <w:tabs>
          <w:tab w:val="right" w:pos="9111"/>
        </w:tabs>
        <w:spacing w:before="120" w:line="288" w:lineRule="auto"/>
        <w:ind w:left="1092" w:right="474" w:hanging="1092"/>
        <w:rPr>
          <w:rFonts w:asciiTheme="minorHAnsi" w:eastAsiaTheme="minorEastAsia" w:hAnsiTheme="minorHAnsi" w:cstheme="minorBidi"/>
          <w:noProof/>
          <w:lang w:val="en-GB" w:eastAsia="en-GB"/>
        </w:rPr>
      </w:pPr>
      <w:r w:rsidRPr="00916223">
        <w:rPr>
          <w:b/>
          <w:noProof/>
        </w:rPr>
        <w:t>Table 4.30</w:t>
      </w:r>
      <w:r w:rsidRPr="00916223">
        <w:rPr>
          <w:noProof/>
        </w:rPr>
        <w:t xml:space="preserve"> Estimated chronological ages for fusion events based on median values of mid-fusion and complete fusion in </w:t>
      </w:r>
      <w:r w:rsidRPr="00916223">
        <w:rPr>
          <w:i/>
          <w:noProof/>
        </w:rPr>
        <w:t xml:space="preserve">Pan paniscus </w:t>
      </w:r>
      <w:r w:rsidRPr="00916223">
        <w:rPr>
          <w:noProof/>
        </w:rPr>
        <w:t>males.</w:t>
      </w:r>
      <w:r>
        <w:rPr>
          <w:noProof/>
          <w:webHidden/>
        </w:rPr>
        <w:tab/>
        <w:t>16</w:t>
      </w:r>
      <w:r w:rsidR="00E33CBF">
        <w:rPr>
          <w:noProof/>
          <w:webHidden/>
        </w:rPr>
        <w:t>6</w:t>
      </w:r>
    </w:p>
    <w:p w:rsidR="00795735" w:rsidRDefault="00795735" w:rsidP="00795735">
      <w:pPr>
        <w:pStyle w:val="TableofFigures"/>
        <w:tabs>
          <w:tab w:val="right" w:pos="9111"/>
        </w:tabs>
        <w:spacing w:before="120" w:line="288" w:lineRule="auto"/>
        <w:ind w:left="1064" w:right="474" w:hanging="1064"/>
        <w:rPr>
          <w:rFonts w:asciiTheme="minorHAnsi" w:eastAsiaTheme="minorEastAsia" w:hAnsiTheme="minorHAnsi" w:cstheme="minorBidi"/>
          <w:noProof/>
          <w:lang w:val="en-GB" w:eastAsia="en-GB"/>
        </w:rPr>
      </w:pPr>
      <w:r w:rsidRPr="00916223">
        <w:rPr>
          <w:b/>
          <w:noProof/>
        </w:rPr>
        <w:t>Table 4.31</w:t>
      </w:r>
      <w:r w:rsidRPr="00916223">
        <w:rPr>
          <w:noProof/>
          <w:lang w:val="en-GB"/>
        </w:rPr>
        <w:t xml:space="preserve"> Comparison of estimated mid-fusion and complete fusion ages in </w:t>
      </w:r>
      <w:r w:rsidRPr="00916223">
        <w:rPr>
          <w:i/>
          <w:noProof/>
          <w:lang w:val="en-GB"/>
        </w:rPr>
        <w:t xml:space="preserve">Pan troglodytes </w:t>
      </w:r>
      <w:r w:rsidRPr="00916223">
        <w:rPr>
          <w:noProof/>
          <w:lang w:val="en-GB"/>
        </w:rPr>
        <w:t>from the present study to data from Bolter and Zihlman (2012).</w:t>
      </w:r>
      <w:r>
        <w:rPr>
          <w:noProof/>
          <w:webHidden/>
        </w:rPr>
        <w:tab/>
        <w:t>16</w:t>
      </w:r>
      <w:r w:rsidR="00E33CBF">
        <w:rPr>
          <w:noProof/>
          <w:webHidden/>
        </w:rPr>
        <w:t>7</w:t>
      </w:r>
    </w:p>
    <w:p w:rsidR="00795735" w:rsidRDefault="00795735" w:rsidP="00795735">
      <w:pPr>
        <w:pStyle w:val="TableofFigures"/>
        <w:tabs>
          <w:tab w:val="right" w:pos="9111"/>
        </w:tabs>
        <w:spacing w:before="120" w:line="288" w:lineRule="auto"/>
        <w:ind w:left="1050" w:right="474" w:hanging="1050"/>
        <w:rPr>
          <w:rFonts w:asciiTheme="minorHAnsi" w:eastAsiaTheme="minorEastAsia" w:hAnsiTheme="minorHAnsi" w:cstheme="minorBidi"/>
          <w:noProof/>
          <w:lang w:val="en-GB" w:eastAsia="en-GB"/>
        </w:rPr>
      </w:pPr>
      <w:r w:rsidRPr="00916223">
        <w:rPr>
          <w:b/>
          <w:noProof/>
        </w:rPr>
        <w:t>Table 4.32</w:t>
      </w:r>
      <w:r w:rsidRPr="00916223">
        <w:rPr>
          <w:noProof/>
          <w:lang w:val="en-GB"/>
        </w:rPr>
        <w:t xml:space="preserve"> Comparison of estimated mid-fusion and complete fusion ages in </w:t>
      </w:r>
      <w:r w:rsidRPr="00916223">
        <w:rPr>
          <w:i/>
          <w:noProof/>
          <w:lang w:val="en-GB"/>
        </w:rPr>
        <w:t xml:space="preserve">Pan paniscus </w:t>
      </w:r>
      <w:r w:rsidRPr="00916223">
        <w:rPr>
          <w:noProof/>
          <w:lang w:val="en-GB"/>
        </w:rPr>
        <w:t>from the present study to data from Bolter and Zihlman (2012).</w:t>
      </w:r>
      <w:r>
        <w:rPr>
          <w:noProof/>
          <w:webHidden/>
        </w:rPr>
        <w:tab/>
        <w:t>16</w:t>
      </w:r>
      <w:r w:rsidR="00E33CBF">
        <w:rPr>
          <w:noProof/>
          <w:webHidden/>
        </w:rPr>
        <w:t>8</w:t>
      </w:r>
    </w:p>
    <w:p w:rsidR="00795735" w:rsidRDefault="00795735" w:rsidP="00795735">
      <w:pPr>
        <w:pStyle w:val="TableofFigures"/>
        <w:tabs>
          <w:tab w:val="right" w:pos="9111"/>
        </w:tabs>
        <w:spacing w:before="120" w:line="288" w:lineRule="auto"/>
        <w:ind w:left="966" w:right="474" w:hanging="966"/>
        <w:rPr>
          <w:rFonts w:asciiTheme="minorHAnsi" w:eastAsiaTheme="minorEastAsia" w:hAnsiTheme="minorHAnsi" w:cstheme="minorBidi"/>
          <w:noProof/>
          <w:lang w:val="en-GB" w:eastAsia="en-GB"/>
        </w:rPr>
      </w:pPr>
      <w:r w:rsidRPr="00916223">
        <w:rPr>
          <w:b/>
          <w:noProof/>
        </w:rPr>
        <w:t xml:space="preserve">Table 5.1 </w:t>
      </w:r>
      <w:r w:rsidRPr="00916223">
        <w:rPr>
          <w:noProof/>
        </w:rPr>
        <w:t xml:space="preserve">Sample size for mid-fusion events in </w:t>
      </w:r>
      <w:r w:rsidRPr="00916223">
        <w:rPr>
          <w:i/>
          <w:noProof/>
        </w:rPr>
        <w:t>Pan troglodytes</w:t>
      </w:r>
      <w:r w:rsidRPr="00916223">
        <w:rPr>
          <w:noProof/>
        </w:rPr>
        <w:t xml:space="preserve"> males using Schaefer and Black’s (2007) criteria.</w:t>
      </w:r>
      <w:r>
        <w:rPr>
          <w:noProof/>
          <w:webHidden/>
        </w:rPr>
        <w:tab/>
        <w:t>17</w:t>
      </w:r>
      <w:r w:rsidR="00E33CBF">
        <w:rPr>
          <w:noProof/>
          <w:webHidden/>
        </w:rPr>
        <w:t>1</w:t>
      </w:r>
    </w:p>
    <w:p w:rsidR="00795735" w:rsidRDefault="00795735" w:rsidP="00795735">
      <w:pPr>
        <w:pStyle w:val="TableofFigures"/>
        <w:tabs>
          <w:tab w:val="right" w:pos="9111"/>
        </w:tabs>
        <w:spacing w:before="100" w:line="288" w:lineRule="auto"/>
        <w:ind w:left="1021" w:hanging="1021"/>
        <w:rPr>
          <w:rFonts w:asciiTheme="minorHAnsi" w:eastAsiaTheme="minorEastAsia" w:hAnsiTheme="minorHAnsi" w:cstheme="minorBidi"/>
          <w:noProof/>
          <w:lang w:val="en-GB" w:eastAsia="en-GB"/>
        </w:rPr>
      </w:pPr>
      <w:r w:rsidRPr="00916223">
        <w:rPr>
          <w:b/>
          <w:noProof/>
        </w:rPr>
        <w:t>Table 5.2</w:t>
      </w:r>
      <w:r w:rsidRPr="00916223">
        <w:rPr>
          <w:noProof/>
        </w:rPr>
        <w:t xml:space="preserve"> Legend of epiphyses for Figure 5.1.</w:t>
      </w:r>
      <w:r>
        <w:rPr>
          <w:noProof/>
          <w:webHidden/>
        </w:rPr>
        <w:tab/>
        <w:t>17</w:t>
      </w:r>
      <w:r w:rsidR="00E33CBF">
        <w:rPr>
          <w:noProof/>
          <w:webHidden/>
        </w:rPr>
        <w:t>3</w:t>
      </w:r>
    </w:p>
    <w:p w:rsidR="00795735" w:rsidRDefault="00795735" w:rsidP="00795735">
      <w:pPr>
        <w:pStyle w:val="TableofFigures"/>
        <w:tabs>
          <w:tab w:val="right" w:pos="9099"/>
        </w:tabs>
        <w:spacing w:before="100" w:line="288" w:lineRule="auto"/>
        <w:ind w:left="964" w:right="476" w:hanging="964"/>
        <w:rPr>
          <w:rFonts w:asciiTheme="minorHAnsi" w:eastAsiaTheme="minorEastAsia" w:hAnsiTheme="minorHAnsi" w:cstheme="minorBidi"/>
          <w:noProof/>
          <w:lang w:val="en-GB" w:eastAsia="en-GB"/>
        </w:rPr>
      </w:pPr>
      <w:r w:rsidRPr="00916223">
        <w:rPr>
          <w:b/>
          <w:noProof/>
        </w:rPr>
        <w:t>Table 5.3</w:t>
      </w:r>
      <w:r w:rsidRPr="00916223">
        <w:rPr>
          <w:noProof/>
        </w:rPr>
        <w:t xml:space="preserve"> Sample size for combined-sex </w:t>
      </w:r>
      <w:r w:rsidRPr="00916223">
        <w:rPr>
          <w:i/>
          <w:noProof/>
        </w:rPr>
        <w:t>Pan troglodytes</w:t>
      </w:r>
      <w:r w:rsidRPr="00916223">
        <w:rPr>
          <w:noProof/>
        </w:rPr>
        <w:t xml:space="preserve"> mid-fusion epiphysis using Schaefer and Black’s (2007) criteria.</w:t>
      </w:r>
      <w:r>
        <w:rPr>
          <w:noProof/>
          <w:webHidden/>
        </w:rPr>
        <w:tab/>
        <w:t>17</w:t>
      </w:r>
      <w:r w:rsidR="00E33CBF">
        <w:rPr>
          <w:noProof/>
          <w:webHidden/>
        </w:rPr>
        <w:t>3</w:t>
      </w:r>
    </w:p>
    <w:p w:rsidR="00795735" w:rsidRDefault="00795735" w:rsidP="00795735">
      <w:pPr>
        <w:pStyle w:val="TableofFigures"/>
        <w:tabs>
          <w:tab w:val="right" w:pos="9099"/>
        </w:tabs>
        <w:spacing w:before="100" w:line="288" w:lineRule="auto"/>
        <w:ind w:left="992" w:right="476" w:hanging="992"/>
        <w:rPr>
          <w:rFonts w:asciiTheme="minorHAnsi" w:eastAsiaTheme="minorEastAsia" w:hAnsiTheme="minorHAnsi" w:cstheme="minorBidi"/>
          <w:noProof/>
          <w:lang w:val="en-GB" w:eastAsia="en-GB"/>
        </w:rPr>
      </w:pPr>
      <w:r w:rsidRPr="00916223">
        <w:rPr>
          <w:b/>
          <w:noProof/>
        </w:rPr>
        <w:t>Table 5.4</w:t>
      </w:r>
      <w:r w:rsidRPr="00916223">
        <w:rPr>
          <w:noProof/>
        </w:rPr>
        <w:t xml:space="preserve"> Comparison of sequence differences between chimpanzees and humans using Schaefer and Black’s (2007) criteria.</w:t>
      </w:r>
      <w:r>
        <w:rPr>
          <w:noProof/>
          <w:webHidden/>
        </w:rPr>
        <w:tab/>
        <w:t>17</w:t>
      </w:r>
      <w:r w:rsidR="00E33CBF">
        <w:rPr>
          <w:noProof/>
          <w:webHidden/>
        </w:rPr>
        <w:t>5</w:t>
      </w:r>
    </w:p>
    <w:p w:rsidR="00795735" w:rsidRDefault="00795735" w:rsidP="00795735">
      <w:pPr>
        <w:pStyle w:val="TableofFigures"/>
        <w:tabs>
          <w:tab w:val="right" w:pos="9099"/>
        </w:tabs>
        <w:spacing w:before="100" w:line="288" w:lineRule="auto"/>
        <w:ind w:left="964" w:right="476" w:hanging="964"/>
        <w:rPr>
          <w:rFonts w:asciiTheme="minorHAnsi" w:eastAsiaTheme="minorEastAsia" w:hAnsiTheme="minorHAnsi" w:cstheme="minorBidi"/>
          <w:noProof/>
          <w:lang w:val="en-GB" w:eastAsia="en-GB"/>
        </w:rPr>
      </w:pPr>
      <w:r w:rsidRPr="00916223">
        <w:rPr>
          <w:b/>
          <w:noProof/>
        </w:rPr>
        <w:t>Table 5.5</w:t>
      </w:r>
      <w:r w:rsidRPr="00916223">
        <w:rPr>
          <w:noProof/>
        </w:rPr>
        <w:t xml:space="preserve"> Comparison of mid-fusion sequences between combined-sex chimpanzees using mean epiphyseal fusion value and humans from Schaefer and Black (2007).</w:t>
      </w:r>
      <w:r>
        <w:rPr>
          <w:noProof/>
          <w:webHidden/>
        </w:rPr>
        <w:tab/>
        <w:t>17</w:t>
      </w:r>
      <w:r w:rsidR="00E33CBF">
        <w:rPr>
          <w:noProof/>
          <w:webHidden/>
        </w:rPr>
        <w:t>6</w:t>
      </w:r>
    </w:p>
    <w:p w:rsidR="00795735" w:rsidRDefault="00795735" w:rsidP="00795735">
      <w:pPr>
        <w:pStyle w:val="TableofFigures"/>
        <w:tabs>
          <w:tab w:val="right" w:pos="9111"/>
        </w:tabs>
        <w:spacing w:before="100" w:line="288" w:lineRule="auto"/>
        <w:ind w:left="1021" w:hanging="1021"/>
        <w:rPr>
          <w:rFonts w:asciiTheme="minorHAnsi" w:eastAsiaTheme="minorEastAsia" w:hAnsiTheme="minorHAnsi" w:cstheme="minorBidi"/>
          <w:noProof/>
          <w:lang w:val="en-GB" w:eastAsia="en-GB"/>
        </w:rPr>
      </w:pPr>
      <w:r w:rsidRPr="00916223">
        <w:rPr>
          <w:b/>
          <w:noProof/>
        </w:rPr>
        <w:t>Table 5.6</w:t>
      </w:r>
      <w:r w:rsidRPr="00916223">
        <w:rPr>
          <w:noProof/>
        </w:rPr>
        <w:t xml:space="preserve"> Human and chimpanzee dental apical closure ages and chimpanzee</w:t>
      </w:r>
      <w:r>
        <w:rPr>
          <w:noProof/>
          <w:webHidden/>
        </w:rPr>
        <w:tab/>
        <w:t>17</w:t>
      </w:r>
      <w:r w:rsidR="00E33CBF">
        <w:rPr>
          <w:noProof/>
          <w:webHidden/>
        </w:rPr>
        <w:t>8</w:t>
      </w:r>
    </w:p>
    <w:p w:rsidR="00795735" w:rsidRDefault="00795735" w:rsidP="00795735">
      <w:pPr>
        <w:pStyle w:val="TableofFigures"/>
        <w:tabs>
          <w:tab w:val="right" w:pos="9099"/>
        </w:tabs>
        <w:spacing w:before="100" w:line="288" w:lineRule="auto"/>
        <w:ind w:left="981" w:right="476" w:hanging="981"/>
        <w:rPr>
          <w:rFonts w:asciiTheme="minorHAnsi" w:eastAsiaTheme="minorEastAsia" w:hAnsiTheme="minorHAnsi" w:cstheme="minorBidi"/>
          <w:noProof/>
          <w:lang w:val="en-GB" w:eastAsia="en-GB"/>
        </w:rPr>
      </w:pPr>
      <w:r w:rsidRPr="00916223">
        <w:rPr>
          <w:b/>
          <w:noProof/>
        </w:rPr>
        <w:t>Table 5.7</w:t>
      </w:r>
      <w:r w:rsidRPr="00916223">
        <w:rPr>
          <w:noProof/>
        </w:rPr>
        <w:t xml:space="preserve"> Epiphyseal fusion ranges in humans for both males and females derived from several different studies.</w:t>
      </w:r>
      <w:r>
        <w:rPr>
          <w:noProof/>
          <w:webHidden/>
        </w:rPr>
        <w:tab/>
        <w:t>1</w:t>
      </w:r>
      <w:r w:rsidR="00E33CBF">
        <w:rPr>
          <w:noProof/>
          <w:webHidden/>
        </w:rPr>
        <w:t>79</w:t>
      </w:r>
    </w:p>
    <w:p w:rsidR="00795735" w:rsidRDefault="00795735" w:rsidP="00795735">
      <w:pPr>
        <w:pStyle w:val="TableofFigures"/>
        <w:tabs>
          <w:tab w:val="right" w:pos="9111"/>
        </w:tabs>
        <w:spacing w:before="100" w:line="288" w:lineRule="auto"/>
        <w:ind w:left="1021" w:hanging="1021"/>
        <w:rPr>
          <w:rFonts w:asciiTheme="minorHAnsi" w:eastAsiaTheme="minorEastAsia" w:hAnsiTheme="minorHAnsi" w:cstheme="minorBidi"/>
          <w:noProof/>
          <w:lang w:val="en-GB" w:eastAsia="en-GB"/>
        </w:rPr>
      </w:pPr>
      <w:r w:rsidRPr="00916223">
        <w:rPr>
          <w:b/>
          <w:noProof/>
        </w:rPr>
        <w:t>Table 5.8</w:t>
      </w:r>
      <w:r w:rsidRPr="00916223">
        <w:rPr>
          <w:noProof/>
        </w:rPr>
        <w:t xml:space="preserve"> Chimpanzee fusion events after apical closures estimated from Kuykendall (1996)</w:t>
      </w:r>
      <w:r>
        <w:rPr>
          <w:noProof/>
          <w:webHidden/>
        </w:rPr>
        <w:tab/>
        <w:t>18</w:t>
      </w:r>
      <w:r w:rsidR="00E33CBF">
        <w:rPr>
          <w:noProof/>
          <w:webHidden/>
        </w:rPr>
        <w:t>0</w:t>
      </w:r>
    </w:p>
    <w:p w:rsidR="00795735" w:rsidRDefault="00795735" w:rsidP="00795735">
      <w:pPr>
        <w:pStyle w:val="TableofFigures"/>
        <w:tabs>
          <w:tab w:val="right" w:pos="9111"/>
        </w:tabs>
        <w:spacing w:before="100" w:line="288" w:lineRule="auto"/>
        <w:ind w:left="1021" w:hanging="1021"/>
        <w:rPr>
          <w:rFonts w:asciiTheme="minorHAnsi" w:eastAsiaTheme="minorEastAsia" w:hAnsiTheme="minorHAnsi" w:cstheme="minorBidi"/>
          <w:noProof/>
          <w:lang w:val="en-GB" w:eastAsia="en-GB"/>
        </w:rPr>
      </w:pPr>
      <w:r w:rsidRPr="00916223">
        <w:rPr>
          <w:b/>
          <w:noProof/>
        </w:rPr>
        <w:t>Table 5.9</w:t>
      </w:r>
      <w:r w:rsidRPr="00916223">
        <w:rPr>
          <w:noProof/>
        </w:rPr>
        <w:t xml:space="preserve"> Epiphysis groups for dental apical age ranges in chimpanzees.</w:t>
      </w:r>
      <w:r>
        <w:rPr>
          <w:noProof/>
          <w:webHidden/>
        </w:rPr>
        <w:tab/>
        <w:t>18</w:t>
      </w:r>
      <w:r w:rsidR="00E33CBF">
        <w:rPr>
          <w:noProof/>
          <w:webHidden/>
        </w:rPr>
        <w:t>0</w:t>
      </w:r>
    </w:p>
    <w:p w:rsidR="00795735" w:rsidRDefault="00795735" w:rsidP="00795735">
      <w:pPr>
        <w:pStyle w:val="TableofFigures"/>
        <w:tabs>
          <w:tab w:val="right" w:pos="9111"/>
        </w:tabs>
        <w:spacing w:before="100" w:line="288" w:lineRule="auto"/>
        <w:ind w:left="1021" w:hanging="1021"/>
        <w:rPr>
          <w:rFonts w:asciiTheme="minorHAnsi" w:eastAsiaTheme="minorEastAsia" w:hAnsiTheme="minorHAnsi" w:cstheme="minorBidi"/>
          <w:noProof/>
          <w:lang w:val="en-GB" w:eastAsia="en-GB"/>
        </w:rPr>
      </w:pPr>
      <w:r w:rsidRPr="00916223">
        <w:rPr>
          <w:b/>
          <w:noProof/>
        </w:rPr>
        <w:t>Table 5.10</w:t>
      </w:r>
      <w:r w:rsidRPr="00916223">
        <w:rPr>
          <w:noProof/>
        </w:rPr>
        <w:t xml:space="preserve"> Groupings of mid-fusion epiphyses by dental apical closure for human females.</w:t>
      </w:r>
      <w:r>
        <w:rPr>
          <w:noProof/>
          <w:webHidden/>
        </w:rPr>
        <w:tab/>
        <w:t>18</w:t>
      </w:r>
      <w:r w:rsidR="00E33CBF">
        <w:rPr>
          <w:noProof/>
          <w:webHidden/>
        </w:rPr>
        <w:t>2</w:t>
      </w:r>
    </w:p>
    <w:p w:rsidR="00795735" w:rsidRDefault="00795735" w:rsidP="00795735">
      <w:pPr>
        <w:pStyle w:val="TableofFigures"/>
        <w:tabs>
          <w:tab w:val="right" w:pos="9085"/>
        </w:tabs>
        <w:spacing w:before="100" w:line="288" w:lineRule="auto"/>
        <w:ind w:left="1094" w:right="476" w:hanging="1094"/>
        <w:rPr>
          <w:rFonts w:asciiTheme="minorHAnsi" w:eastAsiaTheme="minorEastAsia" w:hAnsiTheme="minorHAnsi" w:cstheme="minorBidi"/>
          <w:noProof/>
          <w:lang w:val="en-GB" w:eastAsia="en-GB"/>
        </w:rPr>
      </w:pPr>
      <w:r w:rsidRPr="00916223">
        <w:rPr>
          <w:b/>
          <w:noProof/>
        </w:rPr>
        <w:t>Table 5.11</w:t>
      </w:r>
      <w:r w:rsidRPr="00916223">
        <w:rPr>
          <w:noProof/>
        </w:rPr>
        <w:t xml:space="preserve"> Comparison of mid-fusion timing relative to growth in long-bone length for female chimpanzees and humans.</w:t>
      </w:r>
      <w:r>
        <w:rPr>
          <w:noProof/>
          <w:webHidden/>
        </w:rPr>
        <w:tab/>
        <w:t>18</w:t>
      </w:r>
      <w:r w:rsidR="00E33CBF">
        <w:rPr>
          <w:noProof/>
          <w:webHidden/>
        </w:rPr>
        <w:t>5</w:t>
      </w:r>
    </w:p>
    <w:p w:rsidR="00795735" w:rsidRDefault="00795735" w:rsidP="00795735">
      <w:pPr>
        <w:pStyle w:val="TableofFigures"/>
        <w:tabs>
          <w:tab w:val="right" w:pos="9085"/>
        </w:tabs>
        <w:spacing w:before="100" w:line="288" w:lineRule="auto"/>
        <w:ind w:left="1094" w:right="476" w:hanging="1094"/>
        <w:rPr>
          <w:rFonts w:asciiTheme="minorHAnsi" w:eastAsiaTheme="minorEastAsia" w:hAnsiTheme="minorHAnsi" w:cstheme="minorBidi"/>
          <w:noProof/>
          <w:lang w:val="en-GB" w:eastAsia="en-GB"/>
        </w:rPr>
      </w:pPr>
      <w:r w:rsidRPr="00916223">
        <w:rPr>
          <w:b/>
          <w:noProof/>
        </w:rPr>
        <w:t xml:space="preserve">Table 5.12 </w:t>
      </w:r>
      <w:r w:rsidRPr="00916223">
        <w:rPr>
          <w:noProof/>
        </w:rPr>
        <w:t>Comparison of mid-fusion timing relative to growth in long-bone length for male chimpanzees and humans.</w:t>
      </w:r>
      <w:r>
        <w:rPr>
          <w:noProof/>
          <w:webHidden/>
        </w:rPr>
        <w:tab/>
        <w:t>18</w:t>
      </w:r>
      <w:r w:rsidR="00E33CBF">
        <w:rPr>
          <w:noProof/>
          <w:webHidden/>
        </w:rPr>
        <w:t>6</w:t>
      </w:r>
    </w:p>
    <w:p w:rsidR="00795735" w:rsidRDefault="00795735" w:rsidP="00795735">
      <w:pPr>
        <w:pStyle w:val="TableofFigures"/>
        <w:tabs>
          <w:tab w:val="right" w:pos="9111"/>
        </w:tabs>
        <w:spacing w:before="100" w:line="288" w:lineRule="auto"/>
        <w:ind w:left="1021" w:hanging="1021"/>
        <w:rPr>
          <w:rFonts w:asciiTheme="minorHAnsi" w:eastAsiaTheme="minorEastAsia" w:hAnsiTheme="minorHAnsi" w:cstheme="minorBidi"/>
          <w:noProof/>
          <w:lang w:val="en-GB" w:eastAsia="en-GB"/>
        </w:rPr>
      </w:pPr>
      <w:r w:rsidRPr="00916223">
        <w:rPr>
          <w:b/>
          <w:noProof/>
        </w:rPr>
        <w:t xml:space="preserve">Table 6.1 </w:t>
      </w:r>
      <w:r w:rsidRPr="00916223">
        <w:rPr>
          <w:noProof/>
        </w:rPr>
        <w:t>Epiphysis classification for regional comparison of epiphyses.</w:t>
      </w:r>
      <w:r>
        <w:rPr>
          <w:noProof/>
          <w:webHidden/>
        </w:rPr>
        <w:tab/>
        <w:t>19</w:t>
      </w:r>
      <w:r w:rsidR="00E33CBF">
        <w:rPr>
          <w:noProof/>
          <w:webHidden/>
        </w:rPr>
        <w:t>4</w:t>
      </w:r>
    </w:p>
    <w:p w:rsidR="00795735" w:rsidRDefault="00795735" w:rsidP="00795735">
      <w:pPr>
        <w:spacing w:before="120" w:line="288" w:lineRule="auto"/>
        <w:ind w:left="1021" w:hanging="1021"/>
      </w:pPr>
    </w:p>
    <w:p w:rsidR="00795735" w:rsidRPr="00A96574" w:rsidRDefault="00795735" w:rsidP="00795735">
      <w:pPr>
        <w:jc w:val="center"/>
        <w:rPr>
          <w:b/>
        </w:rPr>
      </w:pPr>
      <w:r w:rsidRPr="00A96574">
        <w:rPr>
          <w:b/>
          <w:bCs/>
          <w:noProof/>
        </w:rPr>
        <w:t>List of Tables for the Appendix</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Table 8.1</w:t>
      </w:r>
      <w:r w:rsidRPr="00916223">
        <w:rPr>
          <w:noProof/>
        </w:rPr>
        <w:t xml:space="preserve"> Reported locations for wild specimens at the Museum of Central Africa.</w:t>
      </w:r>
      <w:r>
        <w:rPr>
          <w:noProof/>
          <w:webHidden/>
        </w:rPr>
        <w:tab/>
        <w:t>22</w:t>
      </w:r>
      <w:r w:rsidR="00EF6B1C">
        <w:rPr>
          <w:noProof/>
          <w:webHidden/>
        </w:rPr>
        <w:t>9</w:t>
      </w:r>
    </w:p>
    <w:p w:rsidR="00795735" w:rsidRDefault="00795735" w:rsidP="005E5C59">
      <w:pPr>
        <w:pStyle w:val="TableofFigures"/>
        <w:tabs>
          <w:tab w:val="right" w:pos="9072"/>
        </w:tabs>
        <w:spacing w:before="120" w:line="288" w:lineRule="auto"/>
        <w:ind w:left="1050" w:right="474" w:hanging="1050"/>
        <w:rPr>
          <w:rFonts w:asciiTheme="minorHAnsi" w:eastAsiaTheme="minorEastAsia" w:hAnsiTheme="minorHAnsi" w:cstheme="minorBidi"/>
          <w:noProof/>
          <w:lang w:eastAsia="en-GB"/>
        </w:rPr>
      </w:pPr>
      <w:r w:rsidRPr="00916223">
        <w:rPr>
          <w:b/>
          <w:noProof/>
        </w:rPr>
        <w:t>Table 8.2</w:t>
      </w:r>
      <w:r w:rsidRPr="00916223">
        <w:rPr>
          <w:noProof/>
        </w:rPr>
        <w:t xml:space="preserve"> Locations from which </w:t>
      </w:r>
      <w:r w:rsidRPr="00916223">
        <w:rPr>
          <w:i/>
          <w:noProof/>
        </w:rPr>
        <w:t>Pan troglodytes troglodytes</w:t>
      </w:r>
      <w:r w:rsidRPr="00916223">
        <w:rPr>
          <w:noProof/>
        </w:rPr>
        <w:t xml:space="preserve"> specimens were collected at the Powell-Cotton Museum.</w:t>
      </w:r>
      <w:r>
        <w:rPr>
          <w:noProof/>
          <w:webHidden/>
        </w:rPr>
        <w:tab/>
        <w:t>2</w:t>
      </w:r>
      <w:r w:rsidR="00EF6B1C">
        <w:rPr>
          <w:noProof/>
          <w:webHidden/>
        </w:rPr>
        <w:t>30</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Table 8.3</w:t>
      </w:r>
      <w:r w:rsidRPr="00916223">
        <w:rPr>
          <w:noProof/>
        </w:rPr>
        <w:t xml:space="preserve"> Provenience for specimens from the University of Zurich and re-classification.</w:t>
      </w:r>
      <w:r>
        <w:rPr>
          <w:noProof/>
          <w:webHidden/>
        </w:rPr>
        <w:tab/>
        <w:t>2</w:t>
      </w:r>
      <w:r w:rsidR="00EF6B1C">
        <w:rPr>
          <w:noProof/>
          <w:webHidden/>
        </w:rPr>
        <w:t>30</w:t>
      </w:r>
    </w:p>
    <w:p w:rsidR="00795735" w:rsidRDefault="00795735" w:rsidP="005E5C59">
      <w:pPr>
        <w:pStyle w:val="TableofFigures"/>
        <w:tabs>
          <w:tab w:val="right" w:pos="9099"/>
        </w:tabs>
        <w:spacing w:before="120" w:line="288" w:lineRule="auto"/>
        <w:ind w:left="1036" w:right="474" w:hanging="1036"/>
        <w:rPr>
          <w:rFonts w:asciiTheme="minorHAnsi" w:eastAsiaTheme="minorEastAsia" w:hAnsiTheme="minorHAnsi" w:cstheme="minorBidi"/>
          <w:noProof/>
          <w:lang w:eastAsia="en-GB"/>
        </w:rPr>
      </w:pPr>
      <w:r w:rsidRPr="00916223">
        <w:rPr>
          <w:b/>
          <w:noProof/>
        </w:rPr>
        <w:t>Table 8.4</w:t>
      </w:r>
      <w:r w:rsidRPr="00916223">
        <w:rPr>
          <w:noProof/>
        </w:rPr>
        <w:t xml:space="preserve"> Variable summary for missing tooth data in </w:t>
      </w:r>
      <w:r w:rsidRPr="00916223">
        <w:rPr>
          <w:i/>
          <w:noProof/>
        </w:rPr>
        <w:t>Pan paniscus</w:t>
      </w:r>
      <w:r w:rsidRPr="00916223">
        <w:rPr>
          <w:noProof/>
        </w:rPr>
        <w:t xml:space="preserve"> combined sex multiple imputation.</w:t>
      </w:r>
      <w:r>
        <w:rPr>
          <w:noProof/>
          <w:webHidden/>
        </w:rPr>
        <w:tab/>
        <w:t>23</w:t>
      </w:r>
      <w:r w:rsidR="00E33CBF">
        <w:t>1</w:t>
      </w:r>
    </w:p>
    <w:p w:rsidR="00795735" w:rsidRDefault="00795735" w:rsidP="00795735">
      <w:pPr>
        <w:pStyle w:val="TableofFigures"/>
        <w:tabs>
          <w:tab w:val="right" w:pos="9099"/>
        </w:tabs>
        <w:spacing w:before="120" w:line="288" w:lineRule="auto"/>
        <w:ind w:left="1092" w:right="474" w:hanging="1092"/>
        <w:rPr>
          <w:rFonts w:asciiTheme="minorHAnsi" w:eastAsiaTheme="minorEastAsia" w:hAnsiTheme="minorHAnsi" w:cstheme="minorBidi"/>
          <w:noProof/>
          <w:lang w:eastAsia="en-GB"/>
        </w:rPr>
      </w:pPr>
      <w:r w:rsidRPr="00916223">
        <w:rPr>
          <w:b/>
          <w:noProof/>
        </w:rPr>
        <w:t>Table 8.5</w:t>
      </w:r>
      <w:r w:rsidRPr="00916223">
        <w:rPr>
          <w:noProof/>
        </w:rPr>
        <w:t xml:space="preserve"> Variable summary for missing tooth data in </w:t>
      </w:r>
      <w:r w:rsidRPr="00916223">
        <w:rPr>
          <w:i/>
          <w:noProof/>
        </w:rPr>
        <w:t>Pan troglodytes</w:t>
      </w:r>
      <w:r w:rsidRPr="00916223">
        <w:rPr>
          <w:noProof/>
        </w:rPr>
        <w:t xml:space="preserve"> females multiple imputation.</w:t>
      </w:r>
      <w:r>
        <w:rPr>
          <w:noProof/>
          <w:webHidden/>
        </w:rPr>
        <w:tab/>
        <w:t>23</w:t>
      </w:r>
      <w:r w:rsidR="00E33CBF">
        <w:t>3</w:t>
      </w:r>
    </w:p>
    <w:p w:rsidR="00795735" w:rsidRDefault="00795735" w:rsidP="005E5C59">
      <w:pPr>
        <w:pStyle w:val="TableofFigures"/>
        <w:tabs>
          <w:tab w:val="right" w:pos="9127"/>
        </w:tabs>
        <w:spacing w:before="120" w:line="288" w:lineRule="auto"/>
        <w:rPr>
          <w:rFonts w:asciiTheme="minorHAnsi" w:eastAsiaTheme="minorEastAsia" w:hAnsiTheme="minorHAnsi" w:cstheme="minorBidi"/>
          <w:noProof/>
          <w:lang w:eastAsia="en-GB"/>
        </w:rPr>
      </w:pPr>
      <w:r w:rsidRPr="00916223">
        <w:rPr>
          <w:b/>
          <w:noProof/>
        </w:rPr>
        <w:t>Table 8.6</w:t>
      </w:r>
      <w:r w:rsidRPr="00916223">
        <w:rPr>
          <w:noProof/>
        </w:rPr>
        <w:t xml:space="preserve"> Variable summary for missing tooth data in </w:t>
      </w:r>
      <w:r w:rsidRPr="00916223">
        <w:rPr>
          <w:i/>
          <w:noProof/>
        </w:rPr>
        <w:t>Pan troglodytes</w:t>
      </w:r>
      <w:r w:rsidRPr="00916223">
        <w:rPr>
          <w:noProof/>
        </w:rPr>
        <w:t xml:space="preserve"> males multiple imputation.</w:t>
      </w:r>
      <w:r>
        <w:rPr>
          <w:noProof/>
          <w:webHidden/>
        </w:rPr>
        <w:tab/>
        <w:t>23</w:t>
      </w:r>
      <w:r w:rsidR="00E33CBF">
        <w:t>4</w:t>
      </w:r>
    </w:p>
    <w:p w:rsidR="00795735" w:rsidRDefault="00795735" w:rsidP="00795735">
      <w:pPr>
        <w:pStyle w:val="TableofFigures"/>
        <w:tabs>
          <w:tab w:val="right" w:pos="9085"/>
        </w:tabs>
        <w:spacing w:before="120" w:line="288" w:lineRule="auto"/>
        <w:ind w:left="980" w:right="476" w:hanging="980"/>
        <w:rPr>
          <w:rFonts w:asciiTheme="minorHAnsi" w:eastAsiaTheme="minorEastAsia" w:hAnsiTheme="minorHAnsi" w:cstheme="minorBidi"/>
          <w:noProof/>
          <w:lang w:eastAsia="en-GB"/>
        </w:rPr>
      </w:pPr>
      <w:r w:rsidRPr="00916223">
        <w:rPr>
          <w:b/>
          <w:noProof/>
        </w:rPr>
        <w:t>Table 8.7</w:t>
      </w:r>
      <w:r w:rsidRPr="00916223">
        <w:rPr>
          <w:noProof/>
        </w:rPr>
        <w:t xml:space="preserve"> Regression outputs for linear regression analysis comparing long-bone plotted against dental score.</w:t>
      </w:r>
      <w:r>
        <w:rPr>
          <w:noProof/>
          <w:webHidden/>
        </w:rPr>
        <w:tab/>
        <w:t>2</w:t>
      </w:r>
      <w:r w:rsidR="00E33CBF">
        <w:t>36</w:t>
      </w:r>
    </w:p>
    <w:p w:rsidR="00795735" w:rsidRDefault="00795735" w:rsidP="00795735">
      <w:pPr>
        <w:pStyle w:val="TableofFigures"/>
        <w:tabs>
          <w:tab w:val="right" w:pos="9085"/>
        </w:tabs>
        <w:spacing w:before="120" w:line="288" w:lineRule="auto"/>
        <w:ind w:left="1050" w:right="476" w:hanging="1050"/>
        <w:rPr>
          <w:rFonts w:asciiTheme="minorHAnsi" w:eastAsiaTheme="minorEastAsia" w:hAnsiTheme="minorHAnsi" w:cstheme="minorBidi"/>
          <w:noProof/>
          <w:lang w:eastAsia="en-GB"/>
        </w:rPr>
      </w:pPr>
      <w:r w:rsidRPr="00916223">
        <w:rPr>
          <w:b/>
          <w:noProof/>
        </w:rPr>
        <w:t>Table 8.8</w:t>
      </w:r>
      <w:r w:rsidRPr="00916223">
        <w:rPr>
          <w:i/>
          <w:noProof/>
        </w:rPr>
        <w:t xml:space="preserve"> Pan troglodytes</w:t>
      </w:r>
      <w:r w:rsidRPr="00916223">
        <w:rPr>
          <w:noProof/>
        </w:rPr>
        <w:t xml:space="preserve"> females linear regression ANOVA outputs for all long-bones as plotted against dental score.</w:t>
      </w:r>
      <w:r>
        <w:rPr>
          <w:noProof/>
          <w:webHidden/>
        </w:rPr>
        <w:tab/>
        <w:t>23</w:t>
      </w:r>
      <w:r w:rsidR="00E33CBF">
        <w:rPr>
          <w:noProof/>
          <w:webHidden/>
        </w:rPr>
        <w:t>6</w:t>
      </w:r>
    </w:p>
    <w:p w:rsidR="00795735" w:rsidRDefault="00795735" w:rsidP="00795735">
      <w:pPr>
        <w:pStyle w:val="TableofFigures"/>
        <w:tabs>
          <w:tab w:val="right" w:pos="9085"/>
        </w:tabs>
        <w:spacing w:before="120" w:line="288" w:lineRule="auto"/>
        <w:ind w:left="980" w:right="476" w:hanging="980"/>
        <w:rPr>
          <w:rFonts w:asciiTheme="minorHAnsi" w:eastAsiaTheme="minorEastAsia" w:hAnsiTheme="minorHAnsi" w:cstheme="minorBidi"/>
          <w:noProof/>
          <w:lang w:eastAsia="en-GB"/>
        </w:rPr>
      </w:pPr>
      <w:r w:rsidRPr="00916223">
        <w:rPr>
          <w:b/>
          <w:noProof/>
        </w:rPr>
        <w:t>Table 8.9</w:t>
      </w:r>
      <w:r w:rsidRPr="00916223">
        <w:rPr>
          <w:i/>
          <w:noProof/>
        </w:rPr>
        <w:t xml:space="preserve"> Pan troglodytes</w:t>
      </w:r>
      <w:r w:rsidRPr="00916223">
        <w:rPr>
          <w:noProof/>
        </w:rPr>
        <w:t xml:space="preserve"> males linear regression ANOVA outputs for all long-bones as plotted against dental score.</w:t>
      </w:r>
      <w:r>
        <w:rPr>
          <w:noProof/>
          <w:webHidden/>
        </w:rPr>
        <w:tab/>
        <w:t>2</w:t>
      </w:r>
      <w:r w:rsidR="00E33CBF">
        <w:t>37</w:t>
      </w:r>
    </w:p>
    <w:p w:rsidR="00795735" w:rsidRDefault="00795735" w:rsidP="00795735">
      <w:pPr>
        <w:pStyle w:val="TableofFigures"/>
        <w:tabs>
          <w:tab w:val="right" w:pos="9085"/>
        </w:tabs>
        <w:spacing w:before="120" w:line="288" w:lineRule="auto"/>
        <w:ind w:left="1134" w:right="476" w:hanging="1064"/>
        <w:rPr>
          <w:rFonts w:asciiTheme="minorHAnsi" w:eastAsiaTheme="minorEastAsia" w:hAnsiTheme="minorHAnsi" w:cstheme="minorBidi"/>
          <w:noProof/>
          <w:lang w:eastAsia="en-GB"/>
        </w:rPr>
      </w:pPr>
      <w:r w:rsidRPr="00916223">
        <w:rPr>
          <w:b/>
          <w:noProof/>
        </w:rPr>
        <w:t>Table 8.10</w:t>
      </w:r>
      <w:r w:rsidRPr="00916223">
        <w:rPr>
          <w:noProof/>
        </w:rPr>
        <w:t xml:space="preserve"> Coefficients of linear regression analysis of long-bones as plotted against dental score for </w:t>
      </w:r>
      <w:r w:rsidRPr="00916223">
        <w:rPr>
          <w:i/>
          <w:noProof/>
        </w:rPr>
        <w:t xml:space="preserve">Pan troglodytes </w:t>
      </w:r>
      <w:r w:rsidRPr="00916223">
        <w:rPr>
          <w:noProof/>
        </w:rPr>
        <w:t>females.</w:t>
      </w:r>
      <w:r>
        <w:rPr>
          <w:noProof/>
          <w:webHidden/>
        </w:rPr>
        <w:tab/>
        <w:t>2</w:t>
      </w:r>
      <w:r w:rsidR="00E33CBF">
        <w:t>37</w:t>
      </w:r>
    </w:p>
    <w:p w:rsidR="00795735" w:rsidRDefault="00795735" w:rsidP="00795735">
      <w:pPr>
        <w:pStyle w:val="TableofFigures"/>
        <w:tabs>
          <w:tab w:val="right" w:pos="9085"/>
        </w:tabs>
        <w:spacing w:before="120" w:line="288" w:lineRule="auto"/>
        <w:ind w:left="1078" w:right="476" w:hanging="1078"/>
        <w:rPr>
          <w:rFonts w:asciiTheme="minorHAnsi" w:eastAsiaTheme="minorEastAsia" w:hAnsiTheme="minorHAnsi" w:cstheme="minorBidi"/>
          <w:noProof/>
          <w:lang w:eastAsia="en-GB"/>
        </w:rPr>
      </w:pPr>
      <w:r w:rsidRPr="00916223">
        <w:rPr>
          <w:b/>
          <w:noProof/>
        </w:rPr>
        <w:t>Table 8.11</w:t>
      </w:r>
      <w:r w:rsidRPr="00916223">
        <w:rPr>
          <w:noProof/>
        </w:rPr>
        <w:t xml:space="preserve"> Coefficients of linear regression analysis of long-bones as plotted against dental score for </w:t>
      </w:r>
      <w:r w:rsidRPr="00916223">
        <w:rPr>
          <w:i/>
          <w:noProof/>
        </w:rPr>
        <w:t xml:space="preserve">Pan troglodytes </w:t>
      </w:r>
      <w:r w:rsidRPr="00916223">
        <w:rPr>
          <w:noProof/>
        </w:rPr>
        <w:t>males.</w:t>
      </w:r>
      <w:r>
        <w:rPr>
          <w:noProof/>
          <w:webHidden/>
        </w:rPr>
        <w:tab/>
        <w:t>2</w:t>
      </w:r>
      <w:r w:rsidR="00E33CBF">
        <w:t>38</w:t>
      </w:r>
    </w:p>
    <w:p w:rsidR="00795735" w:rsidRDefault="00795735" w:rsidP="00795735">
      <w:pPr>
        <w:pStyle w:val="TableofFigures"/>
        <w:tabs>
          <w:tab w:val="right" w:pos="9085"/>
        </w:tabs>
        <w:spacing w:before="120" w:line="288" w:lineRule="auto"/>
        <w:ind w:left="1162" w:right="476" w:hanging="1162"/>
        <w:rPr>
          <w:rFonts w:asciiTheme="minorHAnsi" w:eastAsiaTheme="minorEastAsia" w:hAnsiTheme="minorHAnsi" w:cstheme="minorBidi"/>
          <w:noProof/>
          <w:lang w:eastAsia="en-GB"/>
        </w:rPr>
      </w:pPr>
      <w:r w:rsidRPr="00916223">
        <w:rPr>
          <w:b/>
          <w:noProof/>
        </w:rPr>
        <w:t>Table 8.12</w:t>
      </w:r>
      <w:r w:rsidRPr="00916223">
        <w:rPr>
          <w:noProof/>
        </w:rPr>
        <w:t xml:space="preserve"> </w:t>
      </w:r>
      <w:bookmarkStart w:id="1" w:name="_Toc373177894"/>
      <w:r w:rsidRPr="00EF5A9A">
        <w:t>Median values</w:t>
      </w:r>
      <w:r>
        <w:t xml:space="preserve"> </w:t>
      </w:r>
      <w:r w:rsidRPr="00EF5A9A">
        <w:t xml:space="preserve">and ranges of </w:t>
      </w:r>
      <w:r>
        <w:t>dental score</w:t>
      </w:r>
      <w:r w:rsidRPr="00EF5A9A">
        <w:t xml:space="preserve"> </w:t>
      </w:r>
      <w:r>
        <w:t xml:space="preserve">for </w:t>
      </w:r>
      <w:r w:rsidRPr="00EF5A9A">
        <w:t xml:space="preserve">all mid-fusion epiphyses in </w:t>
      </w:r>
      <w:r w:rsidRPr="00EF5A9A">
        <w:rPr>
          <w:i/>
        </w:rPr>
        <w:t xml:space="preserve">Pan </w:t>
      </w:r>
      <w:proofErr w:type="gramStart"/>
      <w:r w:rsidRPr="00EF5A9A">
        <w:rPr>
          <w:i/>
        </w:rPr>
        <w:t>troglodytes</w:t>
      </w:r>
      <w:proofErr w:type="gramEnd"/>
      <w:r w:rsidRPr="00EF5A9A">
        <w:t xml:space="preserve"> males</w:t>
      </w:r>
      <w:bookmarkEnd w:id="1"/>
      <w:r w:rsidRPr="00916223">
        <w:rPr>
          <w:noProof/>
        </w:rPr>
        <w:t>.</w:t>
      </w:r>
      <w:r>
        <w:rPr>
          <w:noProof/>
          <w:webHidden/>
        </w:rPr>
        <w:tab/>
        <w:t>2</w:t>
      </w:r>
      <w:r w:rsidR="00E33CBF">
        <w:t>39</w:t>
      </w:r>
    </w:p>
    <w:p w:rsidR="00795735" w:rsidRDefault="00795735" w:rsidP="00795735">
      <w:pPr>
        <w:pStyle w:val="TableofFigures"/>
        <w:tabs>
          <w:tab w:val="right" w:pos="9099"/>
        </w:tabs>
        <w:spacing w:before="120" w:line="288" w:lineRule="auto"/>
        <w:ind w:left="1162" w:right="476" w:hanging="1162"/>
        <w:rPr>
          <w:rFonts w:asciiTheme="minorHAnsi" w:eastAsiaTheme="minorEastAsia" w:hAnsiTheme="minorHAnsi" w:cstheme="minorBidi"/>
          <w:noProof/>
          <w:lang w:eastAsia="en-GB"/>
        </w:rPr>
      </w:pPr>
      <w:r w:rsidRPr="00916223">
        <w:rPr>
          <w:b/>
          <w:noProof/>
        </w:rPr>
        <w:t>Table 8.13</w:t>
      </w:r>
      <w:r w:rsidRPr="00916223">
        <w:rPr>
          <w:noProof/>
        </w:rPr>
        <w:t xml:space="preserve"> </w:t>
      </w:r>
      <w:r w:rsidRPr="00EF5A9A">
        <w:t>Median values</w:t>
      </w:r>
      <w:r>
        <w:t xml:space="preserve"> </w:t>
      </w:r>
      <w:r w:rsidRPr="00EF5A9A">
        <w:t xml:space="preserve">and ranges of </w:t>
      </w:r>
      <w:r>
        <w:t>dental score</w:t>
      </w:r>
      <w:r w:rsidRPr="00EF5A9A">
        <w:t xml:space="preserve"> </w:t>
      </w:r>
      <w:r>
        <w:t xml:space="preserve">for </w:t>
      </w:r>
      <w:r w:rsidRPr="00EF5A9A">
        <w:t>all</w:t>
      </w:r>
      <w:r w:rsidRPr="00916223">
        <w:rPr>
          <w:noProof/>
        </w:rPr>
        <w:t xml:space="preserve"> complete fusion epiphyses in </w:t>
      </w:r>
      <w:r w:rsidRPr="00916223">
        <w:rPr>
          <w:i/>
          <w:noProof/>
        </w:rPr>
        <w:t>Pan troglodytes</w:t>
      </w:r>
      <w:r w:rsidRPr="00916223">
        <w:rPr>
          <w:noProof/>
        </w:rPr>
        <w:t xml:space="preserve"> males.</w:t>
      </w:r>
      <w:r>
        <w:rPr>
          <w:noProof/>
          <w:webHidden/>
        </w:rPr>
        <w:tab/>
        <w:t>2</w:t>
      </w:r>
      <w:r>
        <w:t>4</w:t>
      </w:r>
      <w:r w:rsidR="00E33CBF">
        <w:t>0</w:t>
      </w:r>
    </w:p>
    <w:p w:rsidR="00795735" w:rsidRDefault="00795735" w:rsidP="00795735">
      <w:pPr>
        <w:pStyle w:val="TableofFigures"/>
        <w:tabs>
          <w:tab w:val="right" w:pos="9099"/>
        </w:tabs>
        <w:spacing w:before="120" w:line="288" w:lineRule="auto"/>
        <w:ind w:left="1092" w:right="476" w:hanging="1092"/>
        <w:rPr>
          <w:rFonts w:asciiTheme="minorHAnsi" w:eastAsiaTheme="minorEastAsia" w:hAnsiTheme="minorHAnsi" w:cstheme="minorBidi"/>
          <w:noProof/>
          <w:lang w:eastAsia="en-GB"/>
        </w:rPr>
      </w:pPr>
      <w:r w:rsidRPr="00916223">
        <w:rPr>
          <w:b/>
          <w:noProof/>
        </w:rPr>
        <w:t>Table 8.14</w:t>
      </w:r>
      <w:r w:rsidRPr="00916223">
        <w:rPr>
          <w:noProof/>
        </w:rPr>
        <w:t xml:space="preserve"> </w:t>
      </w:r>
      <w:r w:rsidRPr="00EF5A9A">
        <w:t>Median values</w:t>
      </w:r>
      <w:r>
        <w:t xml:space="preserve"> </w:t>
      </w:r>
      <w:r w:rsidRPr="00EF5A9A">
        <w:t xml:space="preserve">and ranges of </w:t>
      </w:r>
      <w:r>
        <w:t>dental score</w:t>
      </w:r>
      <w:r w:rsidRPr="00EF5A9A">
        <w:t xml:space="preserve"> </w:t>
      </w:r>
      <w:r>
        <w:t xml:space="preserve">for </w:t>
      </w:r>
      <w:r w:rsidRPr="00EF5A9A">
        <w:t>all</w:t>
      </w:r>
      <w:r w:rsidRPr="00916223">
        <w:rPr>
          <w:noProof/>
        </w:rPr>
        <w:t xml:space="preserve"> mid-fusion epiphyses in </w:t>
      </w:r>
      <w:r w:rsidRPr="00916223">
        <w:rPr>
          <w:i/>
          <w:noProof/>
        </w:rPr>
        <w:t>Pan paniscus</w:t>
      </w:r>
      <w:r w:rsidRPr="00916223">
        <w:rPr>
          <w:noProof/>
        </w:rPr>
        <w:t xml:space="preserve"> females.</w:t>
      </w:r>
      <w:r>
        <w:rPr>
          <w:noProof/>
          <w:webHidden/>
        </w:rPr>
        <w:tab/>
        <w:t>24</w:t>
      </w:r>
      <w:r w:rsidR="00E33CBF">
        <w:t>1</w:t>
      </w:r>
    </w:p>
    <w:p w:rsidR="00795735" w:rsidRDefault="00795735" w:rsidP="00795735">
      <w:pPr>
        <w:pStyle w:val="TableofFigures"/>
        <w:tabs>
          <w:tab w:val="right" w:pos="9099"/>
        </w:tabs>
        <w:spacing w:before="120" w:line="288" w:lineRule="auto"/>
        <w:ind w:left="1120" w:right="476" w:hanging="1120"/>
        <w:rPr>
          <w:rFonts w:asciiTheme="minorHAnsi" w:eastAsiaTheme="minorEastAsia" w:hAnsiTheme="minorHAnsi" w:cstheme="minorBidi"/>
          <w:noProof/>
          <w:lang w:eastAsia="en-GB"/>
        </w:rPr>
      </w:pPr>
      <w:r w:rsidRPr="00916223">
        <w:rPr>
          <w:b/>
          <w:noProof/>
        </w:rPr>
        <w:t>Table 8.15</w:t>
      </w:r>
      <w:r w:rsidRPr="00916223">
        <w:rPr>
          <w:noProof/>
        </w:rPr>
        <w:t xml:space="preserve"> </w:t>
      </w:r>
      <w:r w:rsidRPr="00EF5A9A">
        <w:t>Median values</w:t>
      </w:r>
      <w:r>
        <w:t xml:space="preserve"> </w:t>
      </w:r>
      <w:r w:rsidRPr="00EF5A9A">
        <w:t xml:space="preserve">and ranges of </w:t>
      </w:r>
      <w:r>
        <w:t>dental score</w:t>
      </w:r>
      <w:r w:rsidRPr="00EF5A9A">
        <w:t xml:space="preserve"> </w:t>
      </w:r>
      <w:r>
        <w:t xml:space="preserve">for </w:t>
      </w:r>
      <w:r w:rsidRPr="00EF5A9A">
        <w:t>all</w:t>
      </w:r>
      <w:r w:rsidRPr="00916223">
        <w:rPr>
          <w:noProof/>
        </w:rPr>
        <w:t xml:space="preserve"> complete fusion epiphyses in </w:t>
      </w:r>
      <w:r w:rsidRPr="00916223">
        <w:rPr>
          <w:i/>
          <w:noProof/>
        </w:rPr>
        <w:t xml:space="preserve">Pan paniscus </w:t>
      </w:r>
      <w:r w:rsidRPr="00916223">
        <w:rPr>
          <w:noProof/>
        </w:rPr>
        <w:t>females.</w:t>
      </w:r>
      <w:r>
        <w:rPr>
          <w:noProof/>
          <w:webHidden/>
        </w:rPr>
        <w:tab/>
        <w:t>24</w:t>
      </w:r>
      <w:r w:rsidR="00E33CBF">
        <w:t>2</w:t>
      </w:r>
    </w:p>
    <w:p w:rsidR="00795735" w:rsidRDefault="00795735" w:rsidP="00795735">
      <w:pPr>
        <w:pStyle w:val="TableofFigures"/>
        <w:tabs>
          <w:tab w:val="right" w:pos="9072"/>
        </w:tabs>
        <w:spacing w:before="120" w:line="288" w:lineRule="auto"/>
        <w:ind w:left="1092" w:right="476" w:hanging="1092"/>
        <w:rPr>
          <w:rFonts w:asciiTheme="minorHAnsi" w:eastAsiaTheme="minorEastAsia" w:hAnsiTheme="minorHAnsi" w:cstheme="minorBidi"/>
          <w:noProof/>
          <w:lang w:eastAsia="en-GB"/>
        </w:rPr>
      </w:pPr>
      <w:r w:rsidRPr="00916223">
        <w:rPr>
          <w:b/>
          <w:noProof/>
        </w:rPr>
        <w:t>Table 8.16</w:t>
      </w:r>
      <w:r w:rsidRPr="00916223">
        <w:rPr>
          <w:noProof/>
        </w:rPr>
        <w:t xml:space="preserve"> </w:t>
      </w:r>
      <w:r w:rsidRPr="00EF5A9A">
        <w:t>Median values</w:t>
      </w:r>
      <w:r>
        <w:t xml:space="preserve"> </w:t>
      </w:r>
      <w:r w:rsidRPr="00EF5A9A">
        <w:t xml:space="preserve">and ranges of </w:t>
      </w:r>
      <w:r>
        <w:t>dental score</w:t>
      </w:r>
      <w:r w:rsidRPr="00EF5A9A">
        <w:t xml:space="preserve"> </w:t>
      </w:r>
      <w:r>
        <w:t xml:space="preserve">for </w:t>
      </w:r>
      <w:r w:rsidRPr="00EF5A9A">
        <w:t>all</w:t>
      </w:r>
      <w:r w:rsidRPr="00916223">
        <w:rPr>
          <w:noProof/>
        </w:rPr>
        <w:t xml:space="preserve"> mid-fusion epiphyses in </w:t>
      </w:r>
      <w:r w:rsidRPr="00916223">
        <w:rPr>
          <w:i/>
          <w:noProof/>
        </w:rPr>
        <w:t>Pan paniscus</w:t>
      </w:r>
      <w:r w:rsidRPr="00916223">
        <w:rPr>
          <w:noProof/>
        </w:rPr>
        <w:t xml:space="preserve"> males.</w:t>
      </w:r>
      <w:r>
        <w:rPr>
          <w:noProof/>
          <w:webHidden/>
        </w:rPr>
        <w:tab/>
        <w:t>24</w:t>
      </w:r>
      <w:r w:rsidR="00E33CBF">
        <w:t>3</w:t>
      </w:r>
    </w:p>
    <w:p w:rsidR="00795735" w:rsidRDefault="00795735" w:rsidP="00795735">
      <w:pPr>
        <w:pStyle w:val="TableofFigures"/>
        <w:tabs>
          <w:tab w:val="right" w:pos="9072"/>
        </w:tabs>
        <w:spacing w:before="120" w:line="288" w:lineRule="auto"/>
        <w:ind w:left="1078" w:right="476" w:hanging="1078"/>
        <w:rPr>
          <w:rFonts w:asciiTheme="minorHAnsi" w:eastAsiaTheme="minorEastAsia" w:hAnsiTheme="minorHAnsi" w:cstheme="minorBidi"/>
          <w:noProof/>
          <w:lang w:eastAsia="en-GB"/>
        </w:rPr>
      </w:pPr>
      <w:r w:rsidRPr="00916223">
        <w:rPr>
          <w:b/>
          <w:noProof/>
        </w:rPr>
        <w:t>Table 8.17</w:t>
      </w:r>
      <w:r w:rsidRPr="00916223">
        <w:rPr>
          <w:noProof/>
        </w:rPr>
        <w:t xml:space="preserve"> </w:t>
      </w:r>
      <w:r w:rsidRPr="00EF5A9A">
        <w:t>Median values</w:t>
      </w:r>
      <w:r>
        <w:t xml:space="preserve"> </w:t>
      </w:r>
      <w:r w:rsidRPr="00EF5A9A">
        <w:t xml:space="preserve">and ranges of </w:t>
      </w:r>
      <w:r>
        <w:t>dental score</w:t>
      </w:r>
      <w:r w:rsidRPr="00EF5A9A">
        <w:t xml:space="preserve"> </w:t>
      </w:r>
      <w:r>
        <w:t xml:space="preserve">for </w:t>
      </w:r>
      <w:r w:rsidRPr="00EF5A9A">
        <w:t>all</w:t>
      </w:r>
      <w:r w:rsidRPr="00916223">
        <w:rPr>
          <w:noProof/>
        </w:rPr>
        <w:t xml:space="preserve"> complete fusion epiphyses in </w:t>
      </w:r>
      <w:r w:rsidRPr="00916223">
        <w:rPr>
          <w:i/>
          <w:noProof/>
        </w:rPr>
        <w:t xml:space="preserve">Pan paniscus </w:t>
      </w:r>
      <w:r w:rsidRPr="00916223">
        <w:rPr>
          <w:noProof/>
        </w:rPr>
        <w:t>males.</w:t>
      </w:r>
      <w:r>
        <w:rPr>
          <w:noProof/>
          <w:webHidden/>
        </w:rPr>
        <w:tab/>
        <w:t>24</w:t>
      </w:r>
      <w:r w:rsidR="00E33CBF">
        <w:t>4</w:t>
      </w:r>
    </w:p>
    <w:p w:rsidR="00795735" w:rsidRDefault="00795735" w:rsidP="00795735">
      <w:pPr>
        <w:pStyle w:val="TableofFigures"/>
        <w:tabs>
          <w:tab w:val="right" w:pos="9072"/>
        </w:tabs>
        <w:spacing w:before="120" w:line="288" w:lineRule="auto"/>
        <w:ind w:left="1050" w:right="474" w:hanging="1050"/>
        <w:rPr>
          <w:rFonts w:asciiTheme="minorHAnsi" w:eastAsiaTheme="minorEastAsia" w:hAnsiTheme="minorHAnsi" w:cstheme="minorBidi"/>
          <w:noProof/>
          <w:lang w:eastAsia="en-GB"/>
        </w:rPr>
      </w:pPr>
      <w:r w:rsidRPr="00916223">
        <w:rPr>
          <w:b/>
          <w:noProof/>
        </w:rPr>
        <w:lastRenderedPageBreak/>
        <w:t>Table 8.18</w:t>
      </w:r>
      <w:r w:rsidRPr="00916223">
        <w:rPr>
          <w:noProof/>
        </w:rPr>
        <w:t xml:space="preserve"> Mid-fusion and complete fusion median, 25</w:t>
      </w:r>
      <w:r w:rsidRPr="00916223">
        <w:rPr>
          <w:noProof/>
          <w:vertAlign w:val="superscript"/>
        </w:rPr>
        <w:t>th</w:t>
      </w:r>
      <w:r w:rsidRPr="00916223">
        <w:rPr>
          <w:noProof/>
        </w:rPr>
        <w:t xml:space="preserve"> and 75</w:t>
      </w:r>
      <w:r w:rsidRPr="00916223">
        <w:rPr>
          <w:noProof/>
          <w:vertAlign w:val="superscript"/>
        </w:rPr>
        <w:t>th</w:t>
      </w:r>
      <w:r w:rsidRPr="00916223">
        <w:rPr>
          <w:noProof/>
        </w:rPr>
        <w:t xml:space="preserve"> percentiles dental score values for </w:t>
      </w:r>
      <w:r w:rsidRPr="00916223">
        <w:rPr>
          <w:i/>
          <w:noProof/>
        </w:rPr>
        <w:t>Pan troglodytes</w:t>
      </w:r>
      <w:r w:rsidRPr="00916223">
        <w:rPr>
          <w:noProof/>
        </w:rPr>
        <w:t xml:space="preserve"> males.</w:t>
      </w:r>
      <w:r>
        <w:rPr>
          <w:noProof/>
          <w:webHidden/>
        </w:rPr>
        <w:tab/>
        <w:t>24</w:t>
      </w:r>
      <w:r w:rsidR="00E33CBF">
        <w:t>5</w:t>
      </w:r>
    </w:p>
    <w:p w:rsidR="00795735" w:rsidRDefault="00795735" w:rsidP="00795735">
      <w:pPr>
        <w:pStyle w:val="TableofFigures"/>
        <w:tabs>
          <w:tab w:val="right" w:pos="9085"/>
        </w:tabs>
        <w:spacing w:before="120" w:line="288" w:lineRule="auto"/>
        <w:ind w:left="1092" w:right="474" w:hanging="1092"/>
        <w:rPr>
          <w:rFonts w:asciiTheme="minorHAnsi" w:eastAsiaTheme="minorEastAsia" w:hAnsiTheme="minorHAnsi" w:cstheme="minorBidi"/>
          <w:noProof/>
          <w:lang w:eastAsia="en-GB"/>
        </w:rPr>
      </w:pPr>
      <w:r w:rsidRPr="00916223">
        <w:rPr>
          <w:b/>
          <w:noProof/>
        </w:rPr>
        <w:t>Table 8.19</w:t>
      </w:r>
      <w:r w:rsidRPr="00916223">
        <w:rPr>
          <w:noProof/>
        </w:rPr>
        <w:t xml:space="preserve"> Mid-fusion and complete fusion median, 25</w:t>
      </w:r>
      <w:r w:rsidRPr="00916223">
        <w:rPr>
          <w:noProof/>
          <w:vertAlign w:val="superscript"/>
        </w:rPr>
        <w:t>th</w:t>
      </w:r>
      <w:r w:rsidRPr="00916223">
        <w:rPr>
          <w:noProof/>
        </w:rPr>
        <w:t xml:space="preserve"> and 75</w:t>
      </w:r>
      <w:r w:rsidRPr="00916223">
        <w:rPr>
          <w:noProof/>
          <w:vertAlign w:val="superscript"/>
        </w:rPr>
        <w:t>th</w:t>
      </w:r>
      <w:r w:rsidRPr="00916223">
        <w:rPr>
          <w:noProof/>
        </w:rPr>
        <w:t xml:space="preserve"> percentiles dental score values for </w:t>
      </w:r>
      <w:r w:rsidRPr="00916223">
        <w:rPr>
          <w:i/>
          <w:noProof/>
        </w:rPr>
        <w:t xml:space="preserve">Pan paniscus </w:t>
      </w:r>
      <w:r w:rsidRPr="00916223">
        <w:rPr>
          <w:noProof/>
        </w:rPr>
        <w:t>females.</w:t>
      </w:r>
      <w:r>
        <w:rPr>
          <w:noProof/>
          <w:webHidden/>
        </w:rPr>
        <w:tab/>
        <w:t>2</w:t>
      </w:r>
      <w:r w:rsidR="00E33CBF">
        <w:t>46</w:t>
      </w:r>
    </w:p>
    <w:p w:rsidR="00795735" w:rsidRDefault="00795735" w:rsidP="00795735">
      <w:pPr>
        <w:pStyle w:val="TableofFigures"/>
        <w:tabs>
          <w:tab w:val="right" w:pos="9085"/>
        </w:tabs>
        <w:spacing w:before="120" w:line="288" w:lineRule="auto"/>
        <w:ind w:left="1078" w:right="474" w:hanging="1078"/>
        <w:rPr>
          <w:rFonts w:asciiTheme="minorHAnsi" w:eastAsiaTheme="minorEastAsia" w:hAnsiTheme="minorHAnsi" w:cstheme="minorBidi"/>
          <w:noProof/>
          <w:lang w:eastAsia="en-GB"/>
        </w:rPr>
      </w:pPr>
      <w:r w:rsidRPr="00916223">
        <w:rPr>
          <w:b/>
          <w:noProof/>
        </w:rPr>
        <w:t>Table 8.20</w:t>
      </w:r>
      <w:r w:rsidRPr="00916223">
        <w:rPr>
          <w:noProof/>
        </w:rPr>
        <w:t xml:space="preserve"> Mid-fusion and complete fusion median, 25</w:t>
      </w:r>
      <w:r w:rsidRPr="00916223">
        <w:rPr>
          <w:noProof/>
          <w:vertAlign w:val="superscript"/>
        </w:rPr>
        <w:t>th</w:t>
      </w:r>
      <w:r w:rsidRPr="00916223">
        <w:rPr>
          <w:noProof/>
        </w:rPr>
        <w:t xml:space="preserve"> and 75</w:t>
      </w:r>
      <w:r w:rsidRPr="00916223">
        <w:rPr>
          <w:noProof/>
          <w:vertAlign w:val="superscript"/>
        </w:rPr>
        <w:t>th</w:t>
      </w:r>
      <w:r w:rsidRPr="00916223">
        <w:rPr>
          <w:noProof/>
        </w:rPr>
        <w:t xml:space="preserve"> percentiles dental score values for </w:t>
      </w:r>
      <w:r w:rsidRPr="00916223">
        <w:rPr>
          <w:i/>
          <w:noProof/>
        </w:rPr>
        <w:t xml:space="preserve">Pan paniscus </w:t>
      </w:r>
      <w:r w:rsidRPr="00916223">
        <w:rPr>
          <w:noProof/>
        </w:rPr>
        <w:t>males.</w:t>
      </w:r>
      <w:r>
        <w:rPr>
          <w:noProof/>
          <w:webHidden/>
        </w:rPr>
        <w:tab/>
        <w:t>2</w:t>
      </w:r>
      <w:r w:rsidR="00E33CBF">
        <w:t>47</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Table 8.21</w:t>
      </w:r>
      <w:r w:rsidRPr="00916223">
        <w:rPr>
          <w:noProof/>
        </w:rPr>
        <w:t xml:space="preserve"> </w:t>
      </w:r>
      <w:bookmarkStart w:id="2" w:name="_Toc373177903"/>
      <w:r>
        <w:t>Mean epiphyseal fusion n</w:t>
      </w:r>
      <w:r w:rsidRPr="00AE44FC">
        <w:t>ormality test</w:t>
      </w:r>
      <w:r>
        <w:t>s</w:t>
      </w:r>
      <w:r w:rsidRPr="00AE44FC">
        <w:t xml:space="preserve"> for mid-fusion </w:t>
      </w:r>
      <w:r w:rsidRPr="00C97BD1">
        <w:rPr>
          <w:i/>
        </w:rPr>
        <w:t xml:space="preserve">Pan </w:t>
      </w:r>
      <w:proofErr w:type="gramStart"/>
      <w:r w:rsidRPr="00C97BD1">
        <w:rPr>
          <w:i/>
        </w:rPr>
        <w:t>troglodytes</w:t>
      </w:r>
      <w:proofErr w:type="gramEnd"/>
      <w:r>
        <w:t xml:space="preserve"> females</w:t>
      </w:r>
      <w:bookmarkEnd w:id="2"/>
      <w:r>
        <w:t>.</w:t>
      </w:r>
      <w:r>
        <w:rPr>
          <w:noProof/>
          <w:webHidden/>
        </w:rPr>
        <w:tab/>
        <w:t>2</w:t>
      </w:r>
      <w:r w:rsidR="00E33CBF">
        <w:t>48</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Table 8.22</w:t>
      </w:r>
      <w:r w:rsidRPr="00916223">
        <w:rPr>
          <w:noProof/>
        </w:rPr>
        <w:t xml:space="preserve"> Mean epiphyseal fusion normality tests for mid-fusion Pan troglodytes males</w:t>
      </w:r>
      <w:r>
        <w:rPr>
          <w:noProof/>
          <w:webHidden/>
        </w:rPr>
        <w:tab/>
        <w:t>2</w:t>
      </w:r>
      <w:r w:rsidR="00E33CBF">
        <w:t>49</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Table 8.23</w:t>
      </w:r>
      <w:r w:rsidRPr="00916223">
        <w:rPr>
          <w:noProof/>
        </w:rPr>
        <w:t xml:space="preserve"> </w:t>
      </w:r>
      <w:bookmarkStart w:id="3" w:name="_Toc373177905"/>
      <w:r w:rsidRPr="00D77A21">
        <w:t xml:space="preserve">Mean epiphyseal fusion normality tests for </w:t>
      </w:r>
      <w:r>
        <w:t xml:space="preserve">complete </w:t>
      </w:r>
      <w:r w:rsidRPr="00D77A21">
        <w:t xml:space="preserve">fusion </w:t>
      </w:r>
      <w:r w:rsidRPr="00D77A21">
        <w:rPr>
          <w:i/>
        </w:rPr>
        <w:t xml:space="preserve">Pan </w:t>
      </w:r>
      <w:proofErr w:type="gramStart"/>
      <w:r w:rsidRPr="00D77A21">
        <w:rPr>
          <w:i/>
        </w:rPr>
        <w:t>troglodytes</w:t>
      </w:r>
      <w:proofErr w:type="gramEnd"/>
      <w:r>
        <w:t xml:space="preserve"> females</w:t>
      </w:r>
      <w:bookmarkEnd w:id="3"/>
      <w:r>
        <w:rPr>
          <w:noProof/>
          <w:webHidden/>
        </w:rPr>
        <w:tab/>
        <w:t>2</w:t>
      </w:r>
      <w:r w:rsidR="00E33CBF">
        <w:t>50</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Table 8.24</w:t>
      </w:r>
      <w:r w:rsidRPr="00916223">
        <w:rPr>
          <w:noProof/>
        </w:rPr>
        <w:t xml:space="preserve"> Mean epiphyseal fusion normality tests for complete fusion </w:t>
      </w:r>
      <w:r w:rsidRPr="00916223">
        <w:rPr>
          <w:i/>
          <w:noProof/>
        </w:rPr>
        <w:t>Pan troglodytes</w:t>
      </w:r>
      <w:r w:rsidRPr="00916223">
        <w:rPr>
          <w:noProof/>
        </w:rPr>
        <w:t xml:space="preserve"> males.</w:t>
      </w:r>
      <w:r>
        <w:rPr>
          <w:noProof/>
          <w:webHidden/>
        </w:rPr>
        <w:tab/>
        <w:t>2</w:t>
      </w:r>
      <w:r w:rsidR="00E33CBF">
        <w:t>51</w:t>
      </w:r>
    </w:p>
    <w:p w:rsidR="00795735" w:rsidRDefault="00795735" w:rsidP="00795735">
      <w:pPr>
        <w:pStyle w:val="TableofFigures"/>
        <w:tabs>
          <w:tab w:val="right" w:pos="9099"/>
        </w:tabs>
        <w:spacing w:before="120" w:line="288" w:lineRule="auto"/>
        <w:ind w:left="1092" w:right="476" w:hanging="1092"/>
        <w:rPr>
          <w:rFonts w:asciiTheme="minorHAnsi" w:eastAsiaTheme="minorEastAsia" w:hAnsiTheme="minorHAnsi" w:cstheme="minorBidi"/>
          <w:noProof/>
          <w:lang w:eastAsia="en-GB"/>
        </w:rPr>
      </w:pPr>
      <w:r w:rsidRPr="00916223">
        <w:rPr>
          <w:b/>
          <w:noProof/>
        </w:rPr>
        <w:t>Table 8.25</w:t>
      </w:r>
      <w:r w:rsidRPr="00916223">
        <w:rPr>
          <w:noProof/>
        </w:rPr>
        <w:t xml:space="preserve"> Regression summary for comparison of upper vs. lower limb with Shea (1981) in </w:t>
      </w:r>
      <w:r w:rsidRPr="00916223">
        <w:rPr>
          <w:i/>
          <w:noProof/>
        </w:rPr>
        <w:t>Pan paniscus</w:t>
      </w:r>
      <w:r w:rsidRPr="00916223">
        <w:rPr>
          <w:noProof/>
        </w:rPr>
        <w:t xml:space="preserve"> and </w:t>
      </w:r>
      <w:r w:rsidRPr="00916223">
        <w:rPr>
          <w:i/>
          <w:noProof/>
        </w:rPr>
        <w:t>Pan troglodytes</w:t>
      </w:r>
      <w:r w:rsidRPr="00916223">
        <w:rPr>
          <w:noProof/>
        </w:rPr>
        <w:t>.</w:t>
      </w:r>
      <w:r>
        <w:rPr>
          <w:noProof/>
          <w:webHidden/>
        </w:rPr>
        <w:tab/>
        <w:t>25</w:t>
      </w:r>
      <w:r w:rsidR="00E33CBF">
        <w:t>2</w:t>
      </w:r>
    </w:p>
    <w:p w:rsidR="00795735" w:rsidRDefault="00795735" w:rsidP="00795735">
      <w:pPr>
        <w:pStyle w:val="TableofFigures"/>
        <w:tabs>
          <w:tab w:val="right" w:pos="9099"/>
        </w:tabs>
        <w:spacing w:before="120" w:line="288" w:lineRule="auto"/>
        <w:ind w:left="1064" w:right="476" w:hanging="1064"/>
        <w:rPr>
          <w:rFonts w:asciiTheme="minorHAnsi" w:eastAsiaTheme="minorEastAsia" w:hAnsiTheme="minorHAnsi" w:cstheme="minorBidi"/>
          <w:noProof/>
          <w:lang w:eastAsia="en-GB"/>
        </w:rPr>
      </w:pPr>
      <w:r w:rsidRPr="00916223">
        <w:rPr>
          <w:b/>
          <w:noProof/>
        </w:rPr>
        <w:t>Table 8.26</w:t>
      </w:r>
      <w:r w:rsidRPr="00916223">
        <w:rPr>
          <w:noProof/>
        </w:rPr>
        <w:t xml:space="preserve"> Linear regression ANOVA outputs for </w:t>
      </w:r>
      <w:r w:rsidRPr="00916223">
        <w:rPr>
          <w:i/>
          <w:noProof/>
        </w:rPr>
        <w:t xml:space="preserve">Pan troglodytes </w:t>
      </w:r>
      <w:r w:rsidRPr="00916223">
        <w:rPr>
          <w:noProof/>
        </w:rPr>
        <w:t xml:space="preserve">and </w:t>
      </w:r>
      <w:r w:rsidRPr="00916223">
        <w:rPr>
          <w:i/>
          <w:noProof/>
        </w:rPr>
        <w:t xml:space="preserve">Pan paniscus </w:t>
      </w:r>
      <w:r w:rsidRPr="00916223">
        <w:rPr>
          <w:noProof/>
        </w:rPr>
        <w:t>males and females.</w:t>
      </w:r>
      <w:r>
        <w:rPr>
          <w:noProof/>
          <w:webHidden/>
        </w:rPr>
        <w:tab/>
        <w:t>25</w:t>
      </w:r>
      <w:r w:rsidR="00E33CBF">
        <w:t>2</w:t>
      </w:r>
    </w:p>
    <w:p w:rsidR="00795735" w:rsidRDefault="00795735" w:rsidP="00795735">
      <w:pPr>
        <w:pStyle w:val="TableofFigures"/>
        <w:tabs>
          <w:tab w:val="right" w:pos="9099"/>
        </w:tabs>
        <w:spacing w:before="120" w:line="288" w:lineRule="auto"/>
        <w:ind w:left="1120" w:right="476" w:hanging="1120"/>
        <w:rPr>
          <w:rFonts w:asciiTheme="minorHAnsi" w:eastAsiaTheme="minorEastAsia" w:hAnsiTheme="minorHAnsi" w:cstheme="minorBidi"/>
          <w:noProof/>
          <w:lang w:eastAsia="en-GB"/>
        </w:rPr>
      </w:pPr>
      <w:r w:rsidRPr="00916223">
        <w:rPr>
          <w:b/>
          <w:noProof/>
        </w:rPr>
        <w:t>Table 8.27</w:t>
      </w:r>
      <w:r w:rsidRPr="00916223">
        <w:rPr>
          <w:noProof/>
        </w:rPr>
        <w:t xml:space="preserve"> Coefficients for linear regression analysis comparison with Shea (1981) for </w:t>
      </w:r>
      <w:r w:rsidRPr="00916223">
        <w:rPr>
          <w:i/>
          <w:noProof/>
        </w:rPr>
        <w:t>Pan troglodytes</w:t>
      </w:r>
      <w:r w:rsidRPr="00916223">
        <w:rPr>
          <w:noProof/>
        </w:rPr>
        <w:t xml:space="preserve"> and </w:t>
      </w:r>
      <w:r w:rsidRPr="00916223">
        <w:rPr>
          <w:i/>
          <w:noProof/>
        </w:rPr>
        <w:t>Pan paniscus</w:t>
      </w:r>
      <w:r w:rsidRPr="00916223">
        <w:rPr>
          <w:noProof/>
        </w:rPr>
        <w:t xml:space="preserve"> males and females.</w:t>
      </w:r>
      <w:r>
        <w:rPr>
          <w:noProof/>
          <w:webHidden/>
        </w:rPr>
        <w:tab/>
        <w:t>25</w:t>
      </w:r>
      <w:r w:rsidR="00E33CBF">
        <w:t>2</w:t>
      </w:r>
    </w:p>
    <w:p w:rsidR="00795735" w:rsidRDefault="00795735" w:rsidP="00795735">
      <w:pPr>
        <w:pStyle w:val="TableofFigures"/>
        <w:tabs>
          <w:tab w:val="right" w:pos="9099"/>
        </w:tabs>
        <w:spacing w:before="120" w:line="288" w:lineRule="auto"/>
        <w:ind w:left="1106" w:right="476" w:hanging="1106"/>
        <w:rPr>
          <w:rFonts w:asciiTheme="minorHAnsi" w:eastAsiaTheme="minorEastAsia" w:hAnsiTheme="minorHAnsi" w:cstheme="minorBidi"/>
          <w:noProof/>
          <w:lang w:eastAsia="en-GB"/>
        </w:rPr>
      </w:pPr>
      <w:r w:rsidRPr="00916223">
        <w:rPr>
          <w:b/>
          <w:noProof/>
        </w:rPr>
        <w:t>Table 8.28</w:t>
      </w:r>
      <w:r w:rsidRPr="00916223">
        <w:rPr>
          <w:noProof/>
        </w:rPr>
        <w:t xml:space="preserve"> </w:t>
      </w:r>
      <w:bookmarkStart w:id="4" w:name="_Toc373177910"/>
      <w:r w:rsidRPr="00916223">
        <w:rPr>
          <w:noProof/>
        </w:rPr>
        <w:t>Multiple limb element linear regression o</w:t>
      </w:r>
      <w:r>
        <w:t xml:space="preserve">utputs for </w:t>
      </w:r>
      <w:r>
        <w:rPr>
          <w:i/>
        </w:rPr>
        <w:t xml:space="preserve">Pan </w:t>
      </w:r>
      <w:proofErr w:type="gramStart"/>
      <w:r>
        <w:rPr>
          <w:i/>
        </w:rPr>
        <w:t>troglodyes</w:t>
      </w:r>
      <w:proofErr w:type="gramEnd"/>
      <w:r>
        <w:t xml:space="preserve"> and </w:t>
      </w:r>
      <w:r>
        <w:rPr>
          <w:i/>
        </w:rPr>
        <w:t xml:space="preserve">Pan paniscus </w:t>
      </w:r>
      <w:r>
        <w:t>males and females</w:t>
      </w:r>
      <w:bookmarkEnd w:id="4"/>
      <w:r w:rsidRPr="00916223">
        <w:rPr>
          <w:noProof/>
        </w:rPr>
        <w:t>.</w:t>
      </w:r>
      <w:r>
        <w:rPr>
          <w:noProof/>
          <w:webHidden/>
        </w:rPr>
        <w:tab/>
        <w:t>25</w:t>
      </w:r>
      <w:r w:rsidR="00E33CBF">
        <w:t>3</w:t>
      </w:r>
    </w:p>
    <w:p w:rsidR="00795735" w:rsidRDefault="00795735" w:rsidP="00795735">
      <w:pPr>
        <w:pStyle w:val="TableofFigures"/>
        <w:tabs>
          <w:tab w:val="right" w:pos="9099"/>
        </w:tabs>
        <w:spacing w:before="120" w:line="288" w:lineRule="auto"/>
        <w:ind w:left="1078" w:right="476" w:hanging="1078"/>
        <w:rPr>
          <w:rFonts w:asciiTheme="minorHAnsi" w:eastAsiaTheme="minorEastAsia" w:hAnsiTheme="minorHAnsi" w:cstheme="minorBidi"/>
          <w:noProof/>
          <w:lang w:eastAsia="en-GB"/>
        </w:rPr>
      </w:pPr>
      <w:r w:rsidRPr="00916223">
        <w:rPr>
          <w:b/>
          <w:noProof/>
        </w:rPr>
        <w:t>Table 8.29</w:t>
      </w:r>
      <w:r w:rsidRPr="00916223">
        <w:rPr>
          <w:noProof/>
        </w:rPr>
        <w:t xml:space="preserve"> </w:t>
      </w:r>
      <w:bookmarkStart w:id="5" w:name="_Toc373177911"/>
      <w:r>
        <w:t xml:space="preserve">Multiple limb-element linear regression ANOVA outputs for </w:t>
      </w:r>
      <w:r>
        <w:rPr>
          <w:i/>
        </w:rPr>
        <w:t xml:space="preserve">Pan </w:t>
      </w:r>
      <w:proofErr w:type="gramStart"/>
      <w:r>
        <w:rPr>
          <w:i/>
        </w:rPr>
        <w:t>troglodytes</w:t>
      </w:r>
      <w:proofErr w:type="gramEnd"/>
      <w:r>
        <w:rPr>
          <w:i/>
        </w:rPr>
        <w:t xml:space="preserve"> </w:t>
      </w:r>
      <w:r>
        <w:t>males and females</w:t>
      </w:r>
      <w:bookmarkEnd w:id="5"/>
      <w:r w:rsidRPr="00916223">
        <w:rPr>
          <w:noProof/>
        </w:rPr>
        <w:t>.</w:t>
      </w:r>
      <w:r>
        <w:rPr>
          <w:noProof/>
          <w:webHidden/>
        </w:rPr>
        <w:tab/>
        <w:t>25</w:t>
      </w:r>
      <w:r w:rsidR="00E33CBF">
        <w:t>4</w:t>
      </w:r>
    </w:p>
    <w:p w:rsidR="00795735" w:rsidRDefault="00795735" w:rsidP="00795735">
      <w:pPr>
        <w:pStyle w:val="TableofFigures"/>
        <w:tabs>
          <w:tab w:val="right" w:pos="9085"/>
        </w:tabs>
        <w:spacing w:before="120" w:line="288" w:lineRule="auto"/>
        <w:ind w:left="1092" w:right="476" w:hanging="1092"/>
        <w:rPr>
          <w:rFonts w:asciiTheme="minorHAnsi" w:eastAsiaTheme="minorEastAsia" w:hAnsiTheme="minorHAnsi" w:cstheme="minorBidi"/>
          <w:noProof/>
          <w:lang w:eastAsia="en-GB"/>
        </w:rPr>
      </w:pPr>
      <w:r w:rsidRPr="00916223">
        <w:rPr>
          <w:b/>
          <w:noProof/>
        </w:rPr>
        <w:t>Table 8.30</w:t>
      </w:r>
      <w:r w:rsidRPr="00916223">
        <w:rPr>
          <w:noProof/>
        </w:rPr>
        <w:t xml:space="preserve"> Multiple limb-element linear regression ANOVA outputs for </w:t>
      </w:r>
      <w:r w:rsidRPr="00916223">
        <w:rPr>
          <w:i/>
          <w:noProof/>
        </w:rPr>
        <w:t xml:space="preserve">Pan paniscus </w:t>
      </w:r>
      <w:r w:rsidRPr="00916223">
        <w:rPr>
          <w:noProof/>
        </w:rPr>
        <w:t>males and females.</w:t>
      </w:r>
      <w:r>
        <w:rPr>
          <w:noProof/>
          <w:webHidden/>
        </w:rPr>
        <w:tab/>
        <w:t>25</w:t>
      </w:r>
      <w:r w:rsidR="00E33CBF">
        <w:t>5</w:t>
      </w:r>
    </w:p>
    <w:p w:rsidR="00795735" w:rsidRDefault="00795735" w:rsidP="00795735">
      <w:pPr>
        <w:pStyle w:val="TableofFigures"/>
        <w:tabs>
          <w:tab w:val="right" w:pos="9085"/>
        </w:tabs>
        <w:spacing w:before="120" w:line="288" w:lineRule="auto"/>
        <w:ind w:left="1078" w:right="476" w:hanging="1078"/>
        <w:rPr>
          <w:rFonts w:asciiTheme="minorHAnsi" w:eastAsiaTheme="minorEastAsia" w:hAnsiTheme="minorHAnsi" w:cstheme="minorBidi"/>
          <w:noProof/>
          <w:lang w:eastAsia="en-GB"/>
        </w:rPr>
      </w:pPr>
      <w:r w:rsidRPr="00916223">
        <w:rPr>
          <w:b/>
          <w:noProof/>
        </w:rPr>
        <w:t>Table 8.31</w:t>
      </w:r>
      <w:r w:rsidRPr="00916223">
        <w:rPr>
          <w:noProof/>
        </w:rPr>
        <w:t xml:space="preserve"> Coefficients for linear regression in </w:t>
      </w:r>
      <w:r w:rsidRPr="00916223">
        <w:rPr>
          <w:i/>
          <w:noProof/>
        </w:rPr>
        <w:t xml:space="preserve">Pan troglodytes </w:t>
      </w:r>
      <w:r w:rsidRPr="00916223">
        <w:rPr>
          <w:noProof/>
        </w:rPr>
        <w:t>males and females.</w:t>
      </w:r>
      <w:r>
        <w:rPr>
          <w:noProof/>
          <w:webHidden/>
        </w:rPr>
        <w:tab/>
        <w:t>2</w:t>
      </w:r>
      <w:r w:rsidR="00E33CBF">
        <w:t>56</w:t>
      </w:r>
    </w:p>
    <w:p w:rsidR="00795735" w:rsidRDefault="00795735" w:rsidP="00795735">
      <w:pPr>
        <w:pStyle w:val="TableofFigures"/>
        <w:tabs>
          <w:tab w:val="right" w:pos="9085"/>
        </w:tabs>
        <w:spacing w:before="120" w:line="288" w:lineRule="auto"/>
        <w:ind w:left="1134" w:right="476" w:hanging="1134"/>
        <w:rPr>
          <w:rFonts w:asciiTheme="minorHAnsi" w:eastAsiaTheme="minorEastAsia" w:hAnsiTheme="minorHAnsi" w:cstheme="minorBidi"/>
          <w:noProof/>
          <w:lang w:eastAsia="en-GB"/>
        </w:rPr>
      </w:pPr>
      <w:r w:rsidRPr="00916223">
        <w:rPr>
          <w:b/>
          <w:noProof/>
        </w:rPr>
        <w:t>Table 8.32</w:t>
      </w:r>
      <w:r w:rsidRPr="00916223">
        <w:rPr>
          <w:noProof/>
        </w:rPr>
        <w:t xml:space="preserve"> Coefficients for linear regression in </w:t>
      </w:r>
      <w:r w:rsidRPr="00916223">
        <w:rPr>
          <w:i/>
          <w:noProof/>
        </w:rPr>
        <w:t xml:space="preserve">Pan paniscus </w:t>
      </w:r>
      <w:r w:rsidRPr="00916223">
        <w:rPr>
          <w:noProof/>
        </w:rPr>
        <w:t>males and females.</w:t>
      </w:r>
      <w:r>
        <w:rPr>
          <w:noProof/>
          <w:webHidden/>
        </w:rPr>
        <w:tab/>
        <w:t>2</w:t>
      </w:r>
      <w:r w:rsidR="00E33CBF">
        <w:t>56</w:t>
      </w:r>
    </w:p>
    <w:p w:rsidR="00795735" w:rsidRDefault="00795735" w:rsidP="00795735">
      <w:pPr>
        <w:pStyle w:val="TableofFigures"/>
        <w:tabs>
          <w:tab w:val="right" w:pos="9072"/>
        </w:tabs>
        <w:spacing w:before="120" w:line="288" w:lineRule="auto"/>
        <w:rPr>
          <w:rFonts w:asciiTheme="minorHAnsi" w:eastAsiaTheme="minorEastAsia" w:hAnsiTheme="minorHAnsi" w:cstheme="minorBidi"/>
          <w:noProof/>
          <w:lang w:eastAsia="en-GB"/>
        </w:rPr>
      </w:pPr>
      <w:r w:rsidRPr="00916223">
        <w:rPr>
          <w:b/>
          <w:noProof/>
        </w:rPr>
        <w:t>Table 8.33</w:t>
      </w:r>
      <w:r w:rsidRPr="00916223">
        <w:rPr>
          <w:noProof/>
        </w:rPr>
        <w:t xml:space="preserve"> Normality plots for fusion as a percentage of long-bone length in </w:t>
      </w:r>
      <w:r w:rsidRPr="00916223">
        <w:rPr>
          <w:i/>
          <w:noProof/>
        </w:rPr>
        <w:t>Pan troglodytes</w:t>
      </w:r>
      <w:r>
        <w:rPr>
          <w:noProof/>
          <w:webHidden/>
        </w:rPr>
        <w:tab/>
        <w:t>2</w:t>
      </w:r>
      <w:r w:rsidR="00E33CBF">
        <w:t>57</w:t>
      </w:r>
    </w:p>
    <w:p w:rsidR="00287722" w:rsidRDefault="00287722">
      <w:pPr>
        <w:spacing w:before="0" w:after="200" w:line="276" w:lineRule="auto"/>
        <w:jc w:val="left"/>
        <w:sectPr w:rsidR="00287722" w:rsidSect="00287722">
          <w:headerReference w:type="default" r:id="rId11"/>
          <w:pgSz w:w="12240" w:h="15840" w:code="1"/>
          <w:pgMar w:top="1418" w:right="1134" w:bottom="1418" w:left="1985" w:header="709" w:footer="709" w:gutter="0"/>
          <w:pgNumType w:fmt="lowerRoman" w:start="1"/>
          <w:cols w:space="708"/>
          <w:docGrid w:linePitch="360"/>
        </w:sectPr>
      </w:pPr>
    </w:p>
    <w:p w:rsidR="00757AD7" w:rsidRPr="00BF7F89" w:rsidRDefault="00757AD7" w:rsidP="003F2CED">
      <w:pPr>
        <w:pStyle w:val="Heading1"/>
        <w:rPr>
          <w:noProof/>
        </w:rPr>
      </w:pPr>
      <w:bookmarkStart w:id="6" w:name="_Toc373477709"/>
      <w:bookmarkStart w:id="7" w:name="_Toc373480707"/>
      <w:r w:rsidRPr="007D1FD1">
        <w:lastRenderedPageBreak/>
        <w:t>Introduction</w:t>
      </w:r>
      <w:bookmarkEnd w:id="6"/>
      <w:bookmarkEnd w:id="7"/>
    </w:p>
    <w:p w:rsidR="00BF7F89" w:rsidRPr="00742B70" w:rsidRDefault="00757AD7" w:rsidP="00D263E8">
      <w:pPr>
        <w:pStyle w:val="Heading2"/>
      </w:pPr>
      <w:bookmarkStart w:id="8" w:name="_Toc373477710"/>
      <w:bookmarkStart w:id="9" w:name="_Toc373480708"/>
      <w:r w:rsidRPr="00742B70">
        <w:t xml:space="preserve">The problem with sub-adult </w:t>
      </w:r>
      <w:r w:rsidR="009E65A6" w:rsidRPr="00742B70">
        <w:t>skeletal and dental</w:t>
      </w:r>
      <w:r w:rsidR="002A4A54" w:rsidRPr="00742B70">
        <w:t xml:space="preserve"> development</w:t>
      </w:r>
      <w:r w:rsidRPr="00742B70">
        <w:t xml:space="preserve"> in paleoanthropology</w:t>
      </w:r>
      <w:bookmarkEnd w:id="8"/>
      <w:bookmarkEnd w:id="9"/>
    </w:p>
    <w:p w:rsidR="00757AD7" w:rsidRDefault="00757AD7" w:rsidP="00BF7F89">
      <w:r>
        <w:t xml:space="preserve">Our knowledge of the origins of the human species has greatly expanded in recent decades.  With new fossil evidence being found on a continual basis, what </w:t>
      </w:r>
      <w:r w:rsidR="00EB6A30">
        <w:t>is</w:t>
      </w:r>
      <w:r>
        <w:t xml:space="preserve"> know</w:t>
      </w:r>
      <w:r w:rsidR="00EB6A30">
        <w:t>n</w:t>
      </w:r>
      <w:r>
        <w:t xml:space="preserve"> about our predecessors since the split between the human lineage and other </w:t>
      </w:r>
      <w:r w:rsidR="000B125D">
        <w:t xml:space="preserve">extant </w:t>
      </w:r>
      <w:r>
        <w:t>apes continues to change and evolve.  A great amount of this research has focused on morphological differences between species and adaptive changes such as the shift towards bipedalism</w:t>
      </w:r>
      <w:r w:rsidR="00E53D3B">
        <w:t>,</w:t>
      </w:r>
      <w:r>
        <w:t xml:space="preserve"> brain expansion and an extended period of maturation.  Much interest has focused on the environmental and behavioural reasons for these adaptations with many well-supported theories having been proffered.  However, it has been less clear how these changes are manifest in skeletal evidence for growth and development</w:t>
      </w:r>
      <w:r w:rsidR="00052A5F">
        <w:t xml:space="preserve"> and</w:t>
      </w:r>
      <w:r w:rsidR="00005084">
        <w:t xml:space="preserve"> </w:t>
      </w:r>
      <w:r w:rsidR="00052A5F">
        <w:t>t</w:t>
      </w:r>
      <w:r>
        <w:t xml:space="preserve">here is a good reason for a lack of lucidity in </w:t>
      </w:r>
      <w:r w:rsidR="0027698D">
        <w:t xml:space="preserve">the </w:t>
      </w:r>
      <w:r>
        <w:t xml:space="preserve">understanding of this topic.  This derives from the fact that understanding changes in skeletal development necessarily requires large samples of sub-adult individuals of different ages from a single species, preferably at a single point in geological time.  Even with the size of the fossil record growing on a continual basis, the satisfaction of such requirements is still extremely unlikely if not impossible.  </w:t>
      </w:r>
      <w:r w:rsidR="0019497C">
        <w:t>Researchers</w:t>
      </w:r>
      <w:r w:rsidR="00EB6A30">
        <w:t xml:space="preserve"> must</w:t>
      </w:r>
      <w:r>
        <w:t xml:space="preserve"> instead rely on evidence from a scattering of sub-adult specimens spanning different species over large periods of time and space.  Such specimens include well-known example</w:t>
      </w:r>
      <w:r w:rsidR="003E4BDD">
        <w:t>s</w:t>
      </w:r>
      <w:r>
        <w:t xml:space="preserve"> such as the Nariokotome Boy and the Sediba and Dikika specimens (Alemseged </w:t>
      </w:r>
      <w:r>
        <w:rPr>
          <w:i/>
        </w:rPr>
        <w:t xml:space="preserve">et </w:t>
      </w:r>
      <w:r w:rsidRPr="00A26557">
        <w:rPr>
          <w:i/>
        </w:rPr>
        <w:t>al</w:t>
      </w:r>
      <w:r w:rsidR="00052A5F">
        <w:rPr>
          <w:i/>
        </w:rPr>
        <w:t>.</w:t>
      </w:r>
      <w:r>
        <w:t xml:space="preserve"> 2006, Berger </w:t>
      </w:r>
      <w:r>
        <w:rPr>
          <w:i/>
        </w:rPr>
        <w:t>et</w:t>
      </w:r>
      <w:r w:rsidR="00857D4F">
        <w:rPr>
          <w:i/>
        </w:rPr>
        <w:t xml:space="preserve"> al.</w:t>
      </w:r>
      <w:r>
        <w:rPr>
          <w:i/>
        </w:rPr>
        <w:t xml:space="preserve"> </w:t>
      </w:r>
      <w:r w:rsidR="006D4BF9">
        <w:t>2010).</w:t>
      </w:r>
    </w:p>
    <w:p w:rsidR="00757AD7" w:rsidRPr="00DE1DD0" w:rsidRDefault="00757AD7" w:rsidP="00BF7F89">
      <w:pPr>
        <w:rPr>
          <w:b/>
          <w:color w:val="000000" w:themeColor="text1"/>
        </w:rPr>
      </w:pPr>
      <w:r>
        <w:t>The</w:t>
      </w:r>
      <w:r w:rsidR="00760F81">
        <w:t xml:space="preserve"> above mentioned</w:t>
      </w:r>
      <w:r>
        <w:t xml:space="preserve"> specimens only provide a snapshot of development.  They are single individuals frozen at one specific stage of an ongoing process.  Developmental parameters from long-deceased human ancestors will never be uncovered by compiling statistics from a small scattering of bones.  As such </w:t>
      </w:r>
      <w:r w:rsidR="00C52F0B">
        <w:t xml:space="preserve">research in the field has </w:t>
      </w:r>
      <w:r>
        <w:t xml:space="preserve">been forced to rely on comparing these individuals to developmental patterns of extant humans.  </w:t>
      </w:r>
      <w:r w:rsidR="006E5918">
        <w:t xml:space="preserve">The </w:t>
      </w:r>
      <w:r>
        <w:t>understanding of modern human development is quite advanced but using these data for comparison with fossil remains has been deemed questionable because of the inherent nature of this type of information.  Variati</w:t>
      </w:r>
      <w:r w:rsidR="003A4D2E">
        <w:t>on is a critical component that</w:t>
      </w:r>
      <w:r>
        <w:t xml:space="preserve"> must </w:t>
      </w:r>
      <w:r w:rsidR="003A4D2E">
        <w:t xml:space="preserve">be </w:t>
      </w:r>
      <w:r>
        <w:t>account</w:t>
      </w:r>
      <w:r w:rsidR="003A4D2E">
        <w:t>ed</w:t>
      </w:r>
      <w:r>
        <w:t xml:space="preserve"> for in any such comparison.  Patterns of growth found for extant humans have been ascertained by the use of large data sets which rely on patterns determined by statistics of central tendency.  However, it is well understood from such studies that individuals can exhibit variation in pattern and timing of developmental events caused either by genetic or environmental factors.  The case of the Nariokotome </w:t>
      </w:r>
      <w:r>
        <w:rPr>
          <w:i/>
        </w:rPr>
        <w:t xml:space="preserve">Homo ergaster </w:t>
      </w:r>
      <w:r>
        <w:t>specimen (</w:t>
      </w:r>
      <w:r w:rsidRPr="000B5713">
        <w:rPr>
          <w:color w:val="000000"/>
        </w:rPr>
        <w:t>KNM-WT 15000</w:t>
      </w:r>
      <w:r>
        <w:t xml:space="preserve">) is both a well-known and pertinent example of the ambiguity that such variation may present.  In this individual it was found that the pattern of skeletal fusion shown differed from an expected normal human pattern but was not outside of the range of </w:t>
      </w:r>
      <w:r>
        <w:lastRenderedPageBreak/>
        <w:t>modern human outliers (</w:t>
      </w:r>
      <w:r w:rsidRPr="00E34B20">
        <w:rPr>
          <w:color w:val="000000"/>
        </w:rPr>
        <w:t>Smith 2004</w:t>
      </w:r>
      <w:r>
        <w:t xml:space="preserve">).  In other words, the Nariokotome specimen’s parent population may or may not have been </w:t>
      </w:r>
      <w:r w:rsidRPr="00DE1DD0">
        <w:rPr>
          <w:color w:val="000000" w:themeColor="text1"/>
        </w:rPr>
        <w:t>developmentally analogous to modern humans.  Without further information</w:t>
      </w:r>
      <w:r w:rsidR="00DE1DD0" w:rsidRPr="00DE1DD0">
        <w:rPr>
          <w:color w:val="000000" w:themeColor="text1"/>
        </w:rPr>
        <w:t xml:space="preserve"> the problem cannot be solved.</w:t>
      </w:r>
    </w:p>
    <w:p w:rsidR="00757AD7" w:rsidRDefault="00757AD7" w:rsidP="00BF7F89">
      <w:r w:rsidRPr="00DE1DD0">
        <w:rPr>
          <w:color w:val="000000" w:themeColor="text1"/>
        </w:rPr>
        <w:t>This type of difficult</w:t>
      </w:r>
      <w:r w:rsidR="00F244FD" w:rsidRPr="00DE1DD0">
        <w:rPr>
          <w:color w:val="000000" w:themeColor="text1"/>
        </w:rPr>
        <w:t>y has drawn some researchers to</w:t>
      </w:r>
      <w:r w:rsidR="00760F81" w:rsidRPr="00DE1DD0">
        <w:rPr>
          <w:color w:val="000000" w:themeColor="text1"/>
        </w:rPr>
        <w:t xml:space="preserve"> </w:t>
      </w:r>
      <w:r w:rsidRPr="00DE1DD0">
        <w:rPr>
          <w:color w:val="000000" w:themeColor="text1"/>
        </w:rPr>
        <w:t xml:space="preserve">comparisons of modern humans </w:t>
      </w:r>
      <w:r>
        <w:t>with closely related extant primate species to ascertain where consistencies lie and deviations from shared patterns occur.  These patterns may help to identify where changes have developed and where shared primate</w:t>
      </w:r>
      <w:r w:rsidR="003A4D2E">
        <w:t xml:space="preserve"> traits are expected</w:t>
      </w:r>
      <w:r w:rsidR="00F244FD">
        <w:t xml:space="preserve">.  The underlying logic </w:t>
      </w:r>
      <w:r>
        <w:t xml:space="preserve">is that if a trait is shared between two closely related extant species then it is likely that their ancestor also exhibited this same trait.  </w:t>
      </w:r>
      <w:r w:rsidR="00760F81">
        <w:t xml:space="preserve">Even though </w:t>
      </w:r>
      <w:r>
        <w:t xml:space="preserve">this strategy is very good, from a cladistic perspective it is not foolproof.  Traits may develop by convergence whereby the same phenotype has been arrived at twice in two independently evolving species.  It is even possible that </w:t>
      </w:r>
      <w:r w:rsidR="00760F81">
        <w:t xml:space="preserve">a trait </w:t>
      </w:r>
      <w:r>
        <w:t xml:space="preserve">has disappeared and then re-appeared such as has been observed for the maxillary sinus in some old world monkeys (Rae </w:t>
      </w:r>
      <w:r>
        <w:rPr>
          <w:i/>
        </w:rPr>
        <w:t>et al</w:t>
      </w:r>
      <w:r w:rsidR="00760F81">
        <w:rPr>
          <w:i/>
        </w:rPr>
        <w:t>.</w:t>
      </w:r>
      <w:r>
        <w:t xml:space="preserve"> 2002</w:t>
      </w:r>
      <w:r w:rsidR="00377A9F">
        <w:t>).  However, the most important fact</w:t>
      </w:r>
      <w:r w:rsidR="00760F81">
        <w:t xml:space="preserve"> </w:t>
      </w:r>
      <w:r>
        <w:t xml:space="preserve">to keep in mind is that this method of comparison provides the most tenable pattern of shared and derived </w:t>
      </w:r>
      <w:r w:rsidR="006E5918">
        <w:t>traits</w:t>
      </w:r>
      <w:r>
        <w:t>.</w:t>
      </w:r>
    </w:p>
    <w:p w:rsidR="00757AD7" w:rsidRDefault="00757AD7" w:rsidP="00BF7F89">
      <w:r>
        <w:t xml:space="preserve">For humans, it has been established that our closest living relatives are chimpanzees and bonobos </w:t>
      </w:r>
      <w:r>
        <w:rPr>
          <w:color w:val="000000"/>
        </w:rPr>
        <w:t xml:space="preserve">(Kumar </w:t>
      </w:r>
      <w:r>
        <w:rPr>
          <w:i/>
          <w:color w:val="000000"/>
        </w:rPr>
        <w:t>et al</w:t>
      </w:r>
      <w:r>
        <w:rPr>
          <w:color w:val="000000"/>
        </w:rPr>
        <w:t xml:space="preserve">. 2005, Raaum </w:t>
      </w:r>
      <w:r>
        <w:rPr>
          <w:i/>
          <w:color w:val="000000"/>
        </w:rPr>
        <w:t>et al</w:t>
      </w:r>
      <w:r>
        <w:rPr>
          <w:color w:val="000000"/>
        </w:rPr>
        <w:t>. 2005, Stumpf 2007)</w:t>
      </w:r>
      <w:r>
        <w:t xml:space="preserve">.  It is these two species to which </w:t>
      </w:r>
      <w:r w:rsidR="00CC33C3">
        <w:t xml:space="preserve">research has focused for </w:t>
      </w:r>
      <w:r>
        <w:t xml:space="preserve">furthering </w:t>
      </w:r>
      <w:r w:rsidR="00CC33C3">
        <w:t>the</w:t>
      </w:r>
      <w:r>
        <w:t xml:space="preserve"> understanding of development in human fossil ancestors</w:t>
      </w:r>
      <w:r w:rsidR="00E67305">
        <w:t xml:space="preserve">.  This </w:t>
      </w:r>
      <w:r>
        <w:t xml:space="preserve">brings us to the key objective of this study.  A large body of research on chimpanzees and bonobos has in the past been produced but there remains much still to be understood with many gaps in integration of skeletal developmental parameters.  </w:t>
      </w:r>
      <w:r w:rsidR="00AB1C8C">
        <w:t>This study seeks</w:t>
      </w:r>
      <w:r>
        <w:t xml:space="preserve"> to close some of these gaps in knowledge and provide further insights into developmental pattern comparisons between humans and our closest living relatives.  This will allow </w:t>
      </w:r>
      <w:r w:rsidR="00E113C6">
        <w:t xml:space="preserve">for the </w:t>
      </w:r>
      <w:r>
        <w:t>refine</w:t>
      </w:r>
      <w:r w:rsidR="00E113C6">
        <w:t>ment</w:t>
      </w:r>
      <w:r>
        <w:t xml:space="preserve"> </w:t>
      </w:r>
      <w:r w:rsidR="00E113C6">
        <w:t xml:space="preserve">of models for what is observed </w:t>
      </w:r>
      <w:r>
        <w:t>in the fossil</w:t>
      </w:r>
      <w:r w:rsidR="00974AB1">
        <w:t xml:space="preserve"> record.</w:t>
      </w:r>
    </w:p>
    <w:p w:rsidR="00757AD7" w:rsidRPr="004D2056" w:rsidRDefault="00757AD7" w:rsidP="00D263E8">
      <w:pPr>
        <w:pStyle w:val="Heading2"/>
      </w:pPr>
      <w:bookmarkStart w:id="10" w:name="_Toc373477711"/>
      <w:bookmarkStart w:id="11" w:name="_Toc373480709"/>
      <w:r w:rsidRPr="004D2056">
        <w:t xml:space="preserve">The </w:t>
      </w:r>
      <w:r>
        <w:t xml:space="preserve">main </w:t>
      </w:r>
      <w:r w:rsidRPr="004D2056">
        <w:t>objectives of this study</w:t>
      </w:r>
      <w:bookmarkEnd w:id="10"/>
      <w:bookmarkEnd w:id="11"/>
    </w:p>
    <w:p w:rsidR="00757AD7" w:rsidRDefault="00757AD7" w:rsidP="00BF7F89">
      <w:pPr>
        <w:rPr>
          <w:color w:val="000000"/>
        </w:rPr>
      </w:pPr>
      <w:r>
        <w:t xml:space="preserve">This study will evaluate the level of concordance in pattern and timing of skeletal development between </w:t>
      </w:r>
      <w:r>
        <w:rPr>
          <w:i/>
        </w:rPr>
        <w:t xml:space="preserve">Pan </w:t>
      </w:r>
      <w:proofErr w:type="gramStart"/>
      <w:r>
        <w:rPr>
          <w:i/>
        </w:rPr>
        <w:t>troglodytes</w:t>
      </w:r>
      <w:proofErr w:type="gramEnd"/>
      <w:r>
        <w:t xml:space="preserve"> and </w:t>
      </w:r>
      <w:r>
        <w:rPr>
          <w:i/>
        </w:rPr>
        <w:t>Pan paniscus</w:t>
      </w:r>
      <w:r>
        <w:t xml:space="preserve"> and </w:t>
      </w:r>
      <w:r w:rsidR="00C01DE8">
        <w:t>will</w:t>
      </w:r>
      <w:r>
        <w:t xml:space="preserve"> compare these aspects </w:t>
      </w:r>
      <w:r w:rsidR="00146E5E">
        <w:t>to</w:t>
      </w:r>
      <w:r>
        <w:t xml:space="preserve"> humans (</w:t>
      </w:r>
      <w:r>
        <w:rPr>
          <w:i/>
        </w:rPr>
        <w:t>Homo sapiens</w:t>
      </w:r>
      <w:r>
        <w:t>)</w:t>
      </w:r>
      <w:r w:rsidR="000C4640">
        <w:t>.  The applicability of theoretical models of growth will be assessed</w:t>
      </w:r>
      <w:r>
        <w:t>.</w:t>
      </w:r>
      <w:r w:rsidR="00D26160" w:rsidRPr="00D26160">
        <w:t xml:space="preserve"> </w:t>
      </w:r>
      <w:r w:rsidR="00D26160">
        <w:t>This will be achieved by documenting the pattern and relative timing of</w:t>
      </w:r>
      <w:r w:rsidR="007F2C1B">
        <w:t xml:space="preserve"> specific</w:t>
      </w:r>
      <w:r w:rsidR="00D26160">
        <w:t xml:space="preserve"> skeletal growth</w:t>
      </w:r>
      <w:r w:rsidR="00CD2F67">
        <w:t xml:space="preserve"> parameters.  Three aspects of skeletal growth will be considered; </w:t>
      </w:r>
      <w:r w:rsidR="00D26160">
        <w:t>epiphyseal fusion</w:t>
      </w:r>
      <w:r w:rsidR="00CD2F67">
        <w:t xml:space="preserve"> (the union of growth plates to the ends of the bone)</w:t>
      </w:r>
      <w:r w:rsidR="00D26160">
        <w:t xml:space="preserve">, </w:t>
      </w:r>
      <w:r w:rsidR="00CD2F67">
        <w:t>dental mineralization, and long-bone growth in length</w:t>
      </w:r>
      <w:r w:rsidR="00D26160">
        <w:t xml:space="preserve"> in a comparatively large sample of</w:t>
      </w:r>
      <w:r w:rsidR="002F05EB">
        <w:rPr>
          <w:i/>
        </w:rPr>
        <w:t xml:space="preserve"> </w:t>
      </w:r>
      <w:r w:rsidR="002F05EB" w:rsidRPr="002F05EB">
        <w:t xml:space="preserve">these </w:t>
      </w:r>
      <w:r w:rsidR="00BA3C8D">
        <w:t xml:space="preserve">two </w:t>
      </w:r>
      <w:r w:rsidR="00BA3C8D">
        <w:rPr>
          <w:i/>
        </w:rPr>
        <w:t xml:space="preserve">Pan </w:t>
      </w:r>
      <w:r w:rsidR="002F05EB" w:rsidRPr="002F05EB">
        <w:t>species</w:t>
      </w:r>
      <w:r w:rsidR="002F05EB">
        <w:t>.</w:t>
      </w:r>
      <w:r>
        <w:t xml:space="preserve">  Prior studies have focused more narrowly on regional developme</w:t>
      </w:r>
      <w:r>
        <w:rPr>
          <w:color w:val="000000"/>
        </w:rPr>
        <w:t xml:space="preserve">ntal patterns such as hand/wrist and foot bone </w:t>
      </w:r>
      <w:r w:rsidR="00F936BA">
        <w:rPr>
          <w:color w:val="000000"/>
        </w:rPr>
        <w:t xml:space="preserve">epiphyseal </w:t>
      </w:r>
      <w:r>
        <w:rPr>
          <w:color w:val="000000"/>
        </w:rPr>
        <w:t>fusion (e.g.</w:t>
      </w:r>
      <w:r w:rsidR="00B6096B">
        <w:rPr>
          <w:color w:val="000000"/>
        </w:rPr>
        <w:t>,</w:t>
      </w:r>
      <w:r>
        <w:rPr>
          <w:color w:val="000000"/>
        </w:rPr>
        <w:t xml:space="preserve"> Hamada and Chatani 2003, Watts 1971, 1985, Winkler 1996), dental development (e.g.</w:t>
      </w:r>
      <w:r w:rsidR="00B6096B">
        <w:rPr>
          <w:color w:val="000000"/>
        </w:rPr>
        <w:t>,</w:t>
      </w:r>
      <w:r>
        <w:rPr>
          <w:color w:val="000000"/>
        </w:rPr>
        <w:t xml:space="preserve"> </w:t>
      </w:r>
      <w:r w:rsidRPr="00443476">
        <w:rPr>
          <w:color w:val="000000"/>
        </w:rPr>
        <w:t xml:space="preserve">Anemone </w:t>
      </w:r>
      <w:r w:rsidRPr="00C5797C">
        <w:rPr>
          <w:i/>
          <w:color w:val="000000"/>
        </w:rPr>
        <w:t>et al</w:t>
      </w:r>
      <w:r w:rsidRPr="00443476">
        <w:rPr>
          <w:color w:val="000000"/>
        </w:rPr>
        <w:t>. 1991, Kuykendall 1996,</w:t>
      </w:r>
      <w:r>
        <w:rPr>
          <w:color w:val="000000"/>
        </w:rPr>
        <w:t xml:space="preserve"> Kuykendall </w:t>
      </w:r>
      <w:r>
        <w:rPr>
          <w:i/>
          <w:color w:val="000000"/>
        </w:rPr>
        <w:t>et al</w:t>
      </w:r>
      <w:r>
        <w:rPr>
          <w:color w:val="000000"/>
        </w:rPr>
        <w:t xml:space="preserve">. </w:t>
      </w:r>
      <w:r>
        <w:rPr>
          <w:color w:val="000000"/>
        </w:rPr>
        <w:lastRenderedPageBreak/>
        <w:t xml:space="preserve">1992, </w:t>
      </w:r>
      <w:r w:rsidR="00984774" w:rsidRPr="00443476">
        <w:rPr>
          <w:color w:val="000000"/>
        </w:rPr>
        <w:t xml:space="preserve">Smith </w:t>
      </w:r>
      <w:r w:rsidR="00984774" w:rsidRPr="00984774">
        <w:rPr>
          <w:i/>
          <w:color w:val="000000"/>
        </w:rPr>
        <w:t>et al</w:t>
      </w:r>
      <w:r w:rsidR="00984774" w:rsidRPr="00443476">
        <w:rPr>
          <w:color w:val="000000"/>
        </w:rPr>
        <w:t>. 2010</w:t>
      </w:r>
      <w:r w:rsidR="00984774">
        <w:rPr>
          <w:color w:val="000000"/>
        </w:rPr>
        <w:t xml:space="preserve">, </w:t>
      </w:r>
      <w:r>
        <w:rPr>
          <w:color w:val="000000"/>
        </w:rPr>
        <w:t>Zihlman 2004)</w:t>
      </w:r>
      <w:r w:rsidR="00103F70">
        <w:rPr>
          <w:color w:val="000000"/>
        </w:rPr>
        <w:t>, and immature morphology (e.g.</w:t>
      </w:r>
      <w:r w:rsidR="00B6096B">
        <w:rPr>
          <w:color w:val="000000"/>
        </w:rPr>
        <w:t>,</w:t>
      </w:r>
      <w:r>
        <w:rPr>
          <w:color w:val="000000"/>
        </w:rPr>
        <w:t xml:space="preserve"> Gavan 1971, Hamada </w:t>
      </w:r>
      <w:r>
        <w:rPr>
          <w:i/>
          <w:color w:val="000000"/>
        </w:rPr>
        <w:t xml:space="preserve">et al. </w:t>
      </w:r>
      <w:r>
        <w:rPr>
          <w:color w:val="000000"/>
        </w:rPr>
        <w:t xml:space="preserve">1996, Watts 1982).  Holistic studies incorporating both dental development and a broad spectrum of epiphyses are </w:t>
      </w:r>
      <w:r w:rsidR="001D3525">
        <w:rPr>
          <w:color w:val="000000"/>
        </w:rPr>
        <w:t xml:space="preserve">rare </w:t>
      </w:r>
      <w:r>
        <w:rPr>
          <w:color w:val="000000"/>
        </w:rPr>
        <w:t xml:space="preserve">with only a few </w:t>
      </w:r>
      <w:r w:rsidR="001D3525">
        <w:rPr>
          <w:color w:val="000000"/>
        </w:rPr>
        <w:t xml:space="preserve">researchers </w:t>
      </w:r>
      <w:r>
        <w:rPr>
          <w:color w:val="000000"/>
        </w:rPr>
        <w:t xml:space="preserve">attempting this approach using small sample sizes (Bolter and Zihlman 2012, King 2004, Zihlman </w:t>
      </w:r>
      <w:r>
        <w:rPr>
          <w:i/>
          <w:color w:val="000000"/>
        </w:rPr>
        <w:t>et al</w:t>
      </w:r>
      <w:r>
        <w:rPr>
          <w:color w:val="000000"/>
        </w:rPr>
        <w:t>. 2007).  King (2004) reinforced through discriminant function analysis that there are br</w:t>
      </w:r>
      <w:r w:rsidR="00D129FC">
        <w:rPr>
          <w:color w:val="000000"/>
        </w:rPr>
        <w:t>oadly related trends among apes</w:t>
      </w:r>
      <w:r>
        <w:rPr>
          <w:color w:val="000000"/>
        </w:rPr>
        <w:t xml:space="preserve"> and Bolter and Zihlman (2012) have provided approximate ranges fusion for both species using a sample of only 10 </w:t>
      </w:r>
      <w:r>
        <w:rPr>
          <w:i/>
          <w:color w:val="000000"/>
        </w:rPr>
        <w:t>Pan troglodytes</w:t>
      </w:r>
      <w:r>
        <w:rPr>
          <w:color w:val="000000"/>
        </w:rPr>
        <w:t xml:space="preserve"> and 8 </w:t>
      </w:r>
      <w:r>
        <w:rPr>
          <w:i/>
          <w:color w:val="000000"/>
        </w:rPr>
        <w:t>Pan paniscus</w:t>
      </w:r>
      <w:r>
        <w:rPr>
          <w:color w:val="000000"/>
        </w:rPr>
        <w:t xml:space="preserve"> individuals.  </w:t>
      </w:r>
      <w:r w:rsidR="001D3525">
        <w:rPr>
          <w:color w:val="000000"/>
        </w:rPr>
        <w:t>Even</w:t>
      </w:r>
      <w:r w:rsidR="004C7975">
        <w:rPr>
          <w:color w:val="000000"/>
        </w:rPr>
        <w:t xml:space="preserve"> though</w:t>
      </w:r>
      <w:r w:rsidR="001D3525">
        <w:rPr>
          <w:color w:val="000000"/>
        </w:rPr>
        <w:t xml:space="preserve"> </w:t>
      </w:r>
      <w:r>
        <w:rPr>
          <w:color w:val="000000"/>
        </w:rPr>
        <w:t xml:space="preserve">these studies have been useful for providing a general range of fusion events and an expectation of some broad similarities between all three species, </w:t>
      </w:r>
      <w:r w:rsidR="00D129FC">
        <w:rPr>
          <w:color w:val="000000"/>
        </w:rPr>
        <w:t>there is</w:t>
      </w:r>
      <w:r>
        <w:rPr>
          <w:color w:val="000000"/>
        </w:rPr>
        <w:t xml:space="preserve"> still not a clear </w:t>
      </w:r>
      <w:r w:rsidR="000108B4">
        <w:rPr>
          <w:color w:val="000000"/>
        </w:rPr>
        <w:t xml:space="preserve">understanding of </w:t>
      </w:r>
      <w:r w:rsidR="00CE195A">
        <w:rPr>
          <w:color w:val="000000"/>
        </w:rPr>
        <w:t xml:space="preserve">fusion sequence and concise timing for </w:t>
      </w:r>
      <w:r>
        <w:rPr>
          <w:color w:val="000000"/>
        </w:rPr>
        <w:t xml:space="preserve">fusion events.  This is due to the mitigating effect of the small sample sizes used in these studies.  </w:t>
      </w:r>
      <w:r w:rsidR="00CE195A">
        <w:rPr>
          <w:color w:val="000000"/>
        </w:rPr>
        <w:t>There is also a</w:t>
      </w:r>
      <w:r>
        <w:rPr>
          <w:color w:val="000000"/>
        </w:rPr>
        <w:t xml:space="preserve"> </w:t>
      </w:r>
      <w:r w:rsidR="007731F8">
        <w:rPr>
          <w:color w:val="000000"/>
        </w:rPr>
        <w:t>lack</w:t>
      </w:r>
      <w:r>
        <w:rPr>
          <w:color w:val="000000"/>
        </w:rPr>
        <w:t xml:space="preserve"> </w:t>
      </w:r>
      <w:r w:rsidR="00CE195A">
        <w:rPr>
          <w:color w:val="000000"/>
        </w:rPr>
        <w:t>of information relating</w:t>
      </w:r>
      <w:r>
        <w:rPr>
          <w:color w:val="000000"/>
        </w:rPr>
        <w:t xml:space="preserve"> growth rates </w:t>
      </w:r>
      <w:r w:rsidR="00CE195A">
        <w:rPr>
          <w:color w:val="000000"/>
        </w:rPr>
        <w:t xml:space="preserve">to </w:t>
      </w:r>
      <w:r w:rsidR="00DE1DD0">
        <w:rPr>
          <w:color w:val="000000"/>
        </w:rPr>
        <w:t>fusion sequence</w:t>
      </w:r>
      <w:r w:rsidR="001E2AD2">
        <w:rPr>
          <w:color w:val="000000"/>
        </w:rPr>
        <w:t>s and timing</w:t>
      </w:r>
      <w:r w:rsidR="00DE1DD0">
        <w:rPr>
          <w:color w:val="000000"/>
        </w:rPr>
        <w:t>.</w:t>
      </w:r>
    </w:p>
    <w:p w:rsidR="00757AD7" w:rsidRPr="00E40F82" w:rsidRDefault="00757AD7" w:rsidP="00BF7F89">
      <w:r>
        <w:t xml:space="preserve">The present study </w:t>
      </w:r>
      <w:r w:rsidR="0070675A">
        <w:t xml:space="preserve">attempts </w:t>
      </w:r>
      <w:r>
        <w:t xml:space="preserve">to improve this situation by </w:t>
      </w:r>
      <w:r w:rsidR="0070675A">
        <w:t xml:space="preserve">the analysis of </w:t>
      </w:r>
      <w:r>
        <w:t>a cross-sectional sample of 177</w:t>
      </w:r>
      <w:r w:rsidRPr="00EA51D1">
        <w:rPr>
          <w:color w:val="000000" w:themeColor="text1"/>
        </w:rPr>
        <w:t xml:space="preserve"> </w:t>
      </w:r>
      <w:r>
        <w:rPr>
          <w:i/>
        </w:rPr>
        <w:t xml:space="preserve">Pan </w:t>
      </w:r>
      <w:proofErr w:type="gramStart"/>
      <w:r>
        <w:rPr>
          <w:i/>
        </w:rPr>
        <w:t>troglodytes</w:t>
      </w:r>
      <w:proofErr w:type="gramEnd"/>
      <w:r>
        <w:t xml:space="preserve"> and 37 </w:t>
      </w:r>
      <w:r>
        <w:rPr>
          <w:i/>
        </w:rPr>
        <w:t>Pan paniscus</w:t>
      </w:r>
      <w:r>
        <w:t xml:space="preserve"> individuals found in skeletal collections at the Museum of Central Africa, The Powell Cotton Museum, and the University of Zurich.  </w:t>
      </w:r>
      <w:r w:rsidR="00F33E05">
        <w:t>Three main</w:t>
      </w:r>
      <w:r>
        <w:t xml:space="preserve"> categories</w:t>
      </w:r>
      <w:r w:rsidR="00F33E05">
        <w:t xml:space="preserve"> of data were evaluated</w:t>
      </w:r>
      <w:r>
        <w:t xml:space="preserve">: epiphyseal fusion, dental development, and length of long-bones.  </w:t>
      </w:r>
      <w:r w:rsidR="005C1797">
        <w:t xml:space="preserve">Dental mineralization was assessed </w:t>
      </w:r>
      <w:r w:rsidR="00B17AD1">
        <w:t xml:space="preserve">using the Demirjian (1973) method </w:t>
      </w:r>
      <w:r w:rsidR="005C1797">
        <w:t xml:space="preserve">and </w:t>
      </w:r>
      <w:r>
        <w:t>used as a scale for maturational development</w:t>
      </w:r>
      <w:r w:rsidR="005C1797">
        <w:t xml:space="preserve"> relative to epiphyseal fusion and long-bone growth.  Epiphyseal fusion</w:t>
      </w:r>
      <w:r w:rsidR="00B17AD1">
        <w:t xml:space="preserve"> was assessed using a system similar to </w:t>
      </w:r>
      <w:r w:rsidR="00CE054C">
        <w:t xml:space="preserve">that employed by Zihlman </w:t>
      </w:r>
      <w:r w:rsidR="00CE054C">
        <w:rPr>
          <w:i/>
        </w:rPr>
        <w:t>et al</w:t>
      </w:r>
      <w:r w:rsidR="00CE054C">
        <w:t>. (2007)</w:t>
      </w:r>
      <w:r w:rsidR="004D3B3D">
        <w:t>.  Fusion e</w:t>
      </w:r>
      <w:r w:rsidR="005C1797">
        <w:t xml:space="preserve">vents were seriated and sequences </w:t>
      </w:r>
      <w:r w:rsidR="00F52720">
        <w:t>within</w:t>
      </w:r>
      <w:r w:rsidR="005C1797">
        <w:t xml:space="preserve"> dental and skeletal development</w:t>
      </w:r>
      <w:r w:rsidR="00F52720">
        <w:t xml:space="preserve"> compared</w:t>
      </w:r>
      <w:r>
        <w:t xml:space="preserve">.  Long-bone length data </w:t>
      </w:r>
      <w:r w:rsidR="00715E4B">
        <w:t xml:space="preserve">were </w:t>
      </w:r>
      <w:r>
        <w:t xml:space="preserve">used in conjunction with dental score which permitted the generation of growth curves by </w:t>
      </w:r>
      <w:r w:rsidR="00D67F53">
        <w:t xml:space="preserve">linear </w:t>
      </w:r>
      <w:r>
        <w:t xml:space="preserve">regression analysis.  Having both length and epiphyseal fusion sequence data from the same sample facilitated the </w:t>
      </w:r>
      <w:r w:rsidR="008A4235">
        <w:t xml:space="preserve">simultaneous </w:t>
      </w:r>
      <w:r>
        <w:t>integration of dimensional change and maturation</w:t>
      </w:r>
      <w:r w:rsidR="00D15244">
        <w:t>al pattern</w:t>
      </w:r>
      <w:r>
        <w:t xml:space="preserve">.  Not only could </w:t>
      </w:r>
      <w:r w:rsidR="0098242B">
        <w:t>a</w:t>
      </w:r>
      <w:r>
        <w:t xml:space="preserve"> sequence of fusion </w:t>
      </w:r>
      <w:r w:rsidR="0098242B">
        <w:t xml:space="preserve">events </w:t>
      </w:r>
      <w:r>
        <w:t xml:space="preserve">be produced, but the relative timing of these events could be scaled to changes in </w:t>
      </w:r>
      <w:r w:rsidR="00F34B50">
        <w:t>long-bone</w:t>
      </w:r>
      <w:r>
        <w:t xml:space="preserve"> length.  These data were compared and contrasted between the two species of </w:t>
      </w:r>
      <w:r>
        <w:rPr>
          <w:i/>
        </w:rPr>
        <w:t xml:space="preserve">Pan </w:t>
      </w:r>
      <w:r>
        <w:t>and the extensive data already in existence for</w:t>
      </w:r>
      <w:r w:rsidR="00024EBA">
        <w:rPr>
          <w:i/>
        </w:rPr>
        <w:t xml:space="preserve"> Homo.</w:t>
      </w:r>
    </w:p>
    <w:p w:rsidR="00757AD7" w:rsidRPr="004D2056" w:rsidRDefault="00C93B09" w:rsidP="00D263E8">
      <w:pPr>
        <w:pStyle w:val="Heading2"/>
      </w:pPr>
      <w:bookmarkStart w:id="12" w:name="_Toc373477712"/>
      <w:bookmarkStart w:id="13" w:name="_Toc373480710"/>
      <w:r>
        <w:t>The contribution this study will make</w:t>
      </w:r>
      <w:r w:rsidR="009D0BB8">
        <w:t xml:space="preserve"> to mode</w:t>
      </w:r>
      <w:r w:rsidR="00595F3C">
        <w:t>l</w:t>
      </w:r>
      <w:r w:rsidR="009D0BB8">
        <w:t>ling of growth and development in hominins</w:t>
      </w:r>
      <w:bookmarkEnd w:id="12"/>
      <w:bookmarkEnd w:id="13"/>
    </w:p>
    <w:p w:rsidR="00D46838" w:rsidRDefault="00F319CD" w:rsidP="000C121F">
      <w:pPr>
        <w:rPr>
          <w:rFonts w:ascii="Times" w:hAnsi="Times"/>
          <w:noProof/>
          <w:color w:val="000000"/>
        </w:rPr>
      </w:pPr>
      <w:r>
        <w:rPr>
          <w:noProof/>
        </w:rPr>
        <w:t>H</w:t>
      </w:r>
      <w:r w:rsidR="00757AD7">
        <w:rPr>
          <w:noProof/>
        </w:rPr>
        <w:t>umans demonstrate an extended period of maturation relative to chimpanzees, bonobos, and other apes (</w:t>
      </w:r>
      <w:r w:rsidR="00757AD7" w:rsidRPr="00C81A5E">
        <w:rPr>
          <w:noProof/>
        </w:rPr>
        <w:t xml:space="preserve">Hill 1993) and have developed a longer lifespan (de </w:t>
      </w:r>
      <w:r w:rsidR="00757AD7" w:rsidRPr="00C81A5E">
        <w:rPr>
          <w:lang w:val="en-GB"/>
        </w:rPr>
        <w:t>Magalhães and Church 2007)</w:t>
      </w:r>
      <w:r w:rsidR="00757AD7" w:rsidRPr="00C81A5E">
        <w:rPr>
          <w:noProof/>
        </w:rPr>
        <w:t xml:space="preserve">.  </w:t>
      </w:r>
      <w:r w:rsidR="00102876">
        <w:rPr>
          <w:noProof/>
        </w:rPr>
        <w:t xml:space="preserve">Humans </w:t>
      </w:r>
      <w:r w:rsidR="003327DA">
        <w:rPr>
          <w:noProof/>
        </w:rPr>
        <w:t>experience an</w:t>
      </w:r>
      <w:r w:rsidR="00102876">
        <w:rPr>
          <w:noProof/>
        </w:rPr>
        <w:t xml:space="preserve"> extension of sub-adult stages including </w:t>
      </w:r>
      <w:r w:rsidR="000A17C2">
        <w:rPr>
          <w:noProof/>
        </w:rPr>
        <w:t xml:space="preserve"> the addition of </w:t>
      </w:r>
      <w:r w:rsidR="00102876">
        <w:rPr>
          <w:noProof/>
        </w:rPr>
        <w:t>childhood and adolescent</w:t>
      </w:r>
      <w:r w:rsidR="000A17C2">
        <w:rPr>
          <w:noProof/>
        </w:rPr>
        <w:t xml:space="preserve"> stages (Bogin and Smith 1996)</w:t>
      </w:r>
      <w:r w:rsidR="007477D6">
        <w:rPr>
          <w:noProof/>
        </w:rPr>
        <w:t>.  This has meant that there are differences in growth curves both in terms of duration and rates between the two species.  These differences have made direct comparisons of maturational sequences using chronological time as a reference problematic</w:t>
      </w:r>
      <w:r w:rsidR="000A17C2">
        <w:rPr>
          <w:noProof/>
        </w:rPr>
        <w:t xml:space="preserve">.  </w:t>
      </w:r>
      <w:r w:rsidR="0079404F">
        <w:rPr>
          <w:noProof/>
        </w:rPr>
        <w:t xml:space="preserve">It is </w:t>
      </w:r>
      <w:r w:rsidR="00757AD7">
        <w:rPr>
          <w:noProof/>
        </w:rPr>
        <w:t>know</w:t>
      </w:r>
      <w:r w:rsidR="0079404F">
        <w:rPr>
          <w:noProof/>
        </w:rPr>
        <w:t>n</w:t>
      </w:r>
      <w:r w:rsidR="00757AD7">
        <w:rPr>
          <w:noProof/>
        </w:rPr>
        <w:t xml:space="preserve"> that in chimpanzees </w:t>
      </w:r>
      <w:r w:rsidR="00757AD7" w:rsidRPr="00016710">
        <w:rPr>
          <w:noProof/>
        </w:rPr>
        <w:t xml:space="preserve">the third molar is complete and in occlusion only shortly after the second molar </w:t>
      </w:r>
      <w:r w:rsidR="00757AD7" w:rsidRPr="00016710">
        <w:rPr>
          <w:noProof/>
        </w:rPr>
        <w:lastRenderedPageBreak/>
        <w:t>(</w:t>
      </w:r>
      <w:r w:rsidR="00757AD7">
        <w:rPr>
          <w:noProof/>
        </w:rPr>
        <w:t>Kuykendall and Conroy 1996</w:t>
      </w:r>
      <w:r w:rsidR="00757AD7" w:rsidRPr="00016710">
        <w:rPr>
          <w:noProof/>
        </w:rPr>
        <w:t>).</w:t>
      </w:r>
      <w:r w:rsidR="00757AD7">
        <w:rPr>
          <w:noProof/>
        </w:rPr>
        <w:t xml:space="preserve">  Given </w:t>
      </w:r>
      <w:r w:rsidR="001129B1">
        <w:rPr>
          <w:noProof/>
        </w:rPr>
        <w:t xml:space="preserve">what </w:t>
      </w:r>
      <w:r w:rsidR="00757AD7">
        <w:rPr>
          <w:noProof/>
        </w:rPr>
        <w:t xml:space="preserve">is known about chimpanzee growth, this event is likely contemporaneous with or precedes </w:t>
      </w:r>
      <w:r w:rsidR="006106A4">
        <w:rPr>
          <w:noProof/>
        </w:rPr>
        <w:t>complete skeletal maturation.</w:t>
      </w:r>
      <w:r w:rsidR="00757AD7">
        <w:rPr>
          <w:noProof/>
        </w:rPr>
        <w:t xml:space="preserve">  Research on bonobo dentition and maturation has suggested similar results (Bolter and Zihlman 2012).  </w:t>
      </w:r>
      <w:r w:rsidR="000C3A31">
        <w:rPr>
          <w:noProof/>
        </w:rPr>
        <w:t>In humans the third molar</w:t>
      </w:r>
      <w:r w:rsidR="00757AD7" w:rsidRPr="00016710">
        <w:rPr>
          <w:noProof/>
        </w:rPr>
        <w:t xml:space="preserve"> emerges </w:t>
      </w:r>
      <w:r w:rsidR="00A16384">
        <w:rPr>
          <w:noProof/>
        </w:rPr>
        <w:t xml:space="preserve">either </w:t>
      </w:r>
      <w:r w:rsidR="00757AD7" w:rsidRPr="00016710">
        <w:rPr>
          <w:noProof/>
        </w:rPr>
        <w:t xml:space="preserve">later </w:t>
      </w:r>
      <w:r w:rsidR="004F74DE">
        <w:rPr>
          <w:noProof/>
        </w:rPr>
        <w:t xml:space="preserve">than </w:t>
      </w:r>
      <w:r w:rsidR="00A16384">
        <w:rPr>
          <w:noProof/>
        </w:rPr>
        <w:t xml:space="preserve">or near the end of </w:t>
      </w:r>
      <w:r w:rsidR="0079404F">
        <w:rPr>
          <w:noProof/>
        </w:rPr>
        <w:t xml:space="preserve">complete </w:t>
      </w:r>
      <w:r w:rsidR="00757AD7" w:rsidRPr="00016710">
        <w:rPr>
          <w:noProof/>
        </w:rPr>
        <w:t>skeletal matura</w:t>
      </w:r>
      <w:r w:rsidR="00757AD7">
        <w:rPr>
          <w:noProof/>
        </w:rPr>
        <w:t>tion (Scheuer and Black 2000</w:t>
      </w:r>
      <w:r w:rsidR="00BE7C2C">
        <w:rPr>
          <w:noProof/>
        </w:rPr>
        <w:t xml:space="preserve">, Schaefer </w:t>
      </w:r>
      <w:r w:rsidR="00BE7C2C">
        <w:rPr>
          <w:i/>
          <w:noProof/>
        </w:rPr>
        <w:t>et al</w:t>
      </w:r>
      <w:r w:rsidR="00BE7C2C" w:rsidRPr="00BE7C2C">
        <w:rPr>
          <w:noProof/>
        </w:rPr>
        <w:t>.</w:t>
      </w:r>
      <w:r w:rsidR="00BE7C2C">
        <w:rPr>
          <w:i/>
          <w:noProof/>
        </w:rPr>
        <w:t xml:space="preserve"> </w:t>
      </w:r>
      <w:r w:rsidR="00BE7C2C">
        <w:rPr>
          <w:noProof/>
        </w:rPr>
        <w:t>2009, Sciulli 2007</w:t>
      </w:r>
      <w:r w:rsidR="00757AD7">
        <w:rPr>
          <w:noProof/>
        </w:rPr>
        <w:t xml:space="preserve">). </w:t>
      </w:r>
      <w:r w:rsidR="00292D28">
        <w:rPr>
          <w:noProof/>
        </w:rPr>
        <w:t xml:space="preserve"> </w:t>
      </w:r>
      <w:r w:rsidR="009C4144">
        <w:rPr>
          <w:noProof/>
        </w:rPr>
        <w:t xml:space="preserve">The paucity of chimpanzee data has meant that it cannot be conclusively determined </w:t>
      </w:r>
      <w:r w:rsidR="004B09B9">
        <w:rPr>
          <w:noProof/>
        </w:rPr>
        <w:t xml:space="preserve">that </w:t>
      </w:r>
      <w:r w:rsidR="009C4144">
        <w:rPr>
          <w:noProof/>
        </w:rPr>
        <w:t>these species are different</w:t>
      </w:r>
      <w:r w:rsidR="00757AD7" w:rsidRPr="00016710">
        <w:rPr>
          <w:noProof/>
        </w:rPr>
        <w:t xml:space="preserve">.  </w:t>
      </w:r>
      <w:r w:rsidR="00292D28">
        <w:rPr>
          <w:rFonts w:ascii="Times" w:hAnsi="Times"/>
          <w:noProof/>
          <w:color w:val="000000"/>
        </w:rPr>
        <w:t>It</w:t>
      </w:r>
      <w:r w:rsidR="00D46838" w:rsidRPr="00016710">
        <w:rPr>
          <w:rFonts w:ascii="Times" w:hAnsi="Times"/>
          <w:noProof/>
          <w:color w:val="000000"/>
        </w:rPr>
        <w:t xml:space="preserve"> remains </w:t>
      </w:r>
      <w:r w:rsidR="00292D28">
        <w:rPr>
          <w:rFonts w:ascii="Times" w:hAnsi="Times"/>
          <w:noProof/>
          <w:color w:val="000000"/>
        </w:rPr>
        <w:t>to be determined if</w:t>
      </w:r>
      <w:r w:rsidR="00D46838" w:rsidRPr="00016710">
        <w:rPr>
          <w:rFonts w:ascii="Times" w:hAnsi="Times"/>
          <w:noProof/>
          <w:color w:val="000000"/>
        </w:rPr>
        <w:t xml:space="preserve"> </w:t>
      </w:r>
      <w:r w:rsidR="00292D28">
        <w:rPr>
          <w:rFonts w:ascii="Times" w:hAnsi="Times"/>
          <w:noProof/>
          <w:color w:val="000000"/>
        </w:rPr>
        <w:t>such</w:t>
      </w:r>
      <w:r w:rsidR="00D46838" w:rsidRPr="00016710">
        <w:rPr>
          <w:rFonts w:ascii="Times" w:hAnsi="Times"/>
          <w:noProof/>
          <w:color w:val="000000"/>
        </w:rPr>
        <w:t xml:space="preserve"> </w:t>
      </w:r>
      <w:r w:rsidR="00FF78CD">
        <w:rPr>
          <w:rFonts w:ascii="Times" w:hAnsi="Times"/>
          <w:noProof/>
          <w:color w:val="000000"/>
        </w:rPr>
        <w:t xml:space="preserve">differences </w:t>
      </w:r>
      <w:r w:rsidR="00292D28">
        <w:rPr>
          <w:rFonts w:ascii="Times" w:hAnsi="Times"/>
          <w:noProof/>
          <w:color w:val="000000"/>
        </w:rPr>
        <w:t>of development are</w:t>
      </w:r>
      <w:r w:rsidR="00D46838" w:rsidRPr="00016710">
        <w:rPr>
          <w:rFonts w:ascii="Times" w:hAnsi="Times"/>
          <w:noProof/>
          <w:color w:val="000000"/>
        </w:rPr>
        <w:t xml:space="preserve"> </w:t>
      </w:r>
      <w:r w:rsidR="00FF78CD">
        <w:rPr>
          <w:rFonts w:ascii="Times" w:hAnsi="Times"/>
          <w:noProof/>
          <w:color w:val="000000"/>
        </w:rPr>
        <w:t xml:space="preserve">also shared between </w:t>
      </w:r>
      <w:r w:rsidR="00D46838" w:rsidRPr="00016710">
        <w:rPr>
          <w:rFonts w:ascii="Times" w:hAnsi="Times"/>
          <w:noProof/>
          <w:color w:val="000000"/>
        </w:rPr>
        <w:t>chimpanzees and bonobos</w:t>
      </w:r>
      <w:r w:rsidR="00292D28">
        <w:rPr>
          <w:rFonts w:ascii="Times" w:hAnsi="Times"/>
          <w:noProof/>
          <w:color w:val="000000"/>
        </w:rPr>
        <w:t xml:space="preserve">.  It is such </w:t>
      </w:r>
      <w:r w:rsidR="00D46838">
        <w:rPr>
          <w:rFonts w:ascii="Times" w:hAnsi="Times"/>
          <w:noProof/>
          <w:color w:val="000000"/>
        </w:rPr>
        <w:t>question</w:t>
      </w:r>
      <w:r w:rsidR="00292D28">
        <w:rPr>
          <w:rFonts w:ascii="Times" w:hAnsi="Times"/>
          <w:noProof/>
          <w:color w:val="000000"/>
        </w:rPr>
        <w:t>s that</w:t>
      </w:r>
      <w:r w:rsidR="00D46838">
        <w:rPr>
          <w:rFonts w:ascii="Times" w:hAnsi="Times"/>
          <w:noProof/>
          <w:color w:val="000000"/>
        </w:rPr>
        <w:t xml:space="preserve"> this study</w:t>
      </w:r>
      <w:r w:rsidR="00D46838" w:rsidRPr="00016710">
        <w:rPr>
          <w:rFonts w:ascii="Times" w:hAnsi="Times"/>
          <w:noProof/>
          <w:color w:val="000000"/>
        </w:rPr>
        <w:t xml:space="preserve"> aim</w:t>
      </w:r>
      <w:r w:rsidR="00D46838">
        <w:rPr>
          <w:rFonts w:ascii="Times" w:hAnsi="Times"/>
          <w:noProof/>
          <w:color w:val="000000"/>
        </w:rPr>
        <w:t>s</w:t>
      </w:r>
      <w:r w:rsidR="00D46838" w:rsidRPr="00016710">
        <w:rPr>
          <w:rFonts w:ascii="Times" w:hAnsi="Times"/>
          <w:noProof/>
          <w:color w:val="000000"/>
        </w:rPr>
        <w:t xml:space="preserve"> to address.</w:t>
      </w:r>
    </w:p>
    <w:p w:rsidR="00757AD7" w:rsidRPr="00E26448" w:rsidRDefault="00757AD7" w:rsidP="00757AD7">
      <w:pPr>
        <w:tabs>
          <w:tab w:val="left" w:pos="0"/>
          <w:tab w:val="left" w:pos="360"/>
        </w:tabs>
        <w:spacing w:line="240" w:lineRule="auto"/>
        <w:rPr>
          <w:color w:val="000000"/>
          <w:u w:val="single"/>
        </w:rPr>
      </w:pPr>
      <w:r w:rsidRPr="00E26448">
        <w:rPr>
          <w:color w:val="000000"/>
          <w:u w:val="single"/>
        </w:rPr>
        <w:t>Pattern and rate of growth: Heterochrony</w:t>
      </w:r>
    </w:p>
    <w:p w:rsidR="00757AD7" w:rsidRDefault="00757AD7" w:rsidP="00742B70">
      <w:r>
        <w:t>Explaining</w:t>
      </w:r>
      <w:r w:rsidR="000B2C32">
        <w:t xml:space="preserve"> developmental</w:t>
      </w:r>
      <w:r w:rsidR="00393122">
        <w:t xml:space="preserve"> patterns</w:t>
      </w:r>
      <w:r w:rsidR="000B2C32">
        <w:t xml:space="preserve"> </w:t>
      </w:r>
      <w:r>
        <w:t>has been approached using different</w:t>
      </w:r>
      <w:r w:rsidR="00613861">
        <w:t xml:space="preserve"> </w:t>
      </w:r>
      <w:r>
        <w:t xml:space="preserve">models.  These models all fall under the area of developmental theory </w:t>
      </w:r>
      <w:r w:rsidR="00027323">
        <w:t xml:space="preserve">referred to </w:t>
      </w:r>
      <w:r>
        <w:t>as heterochrony, which is the study of changes in rates and patterns</w:t>
      </w:r>
      <w:r w:rsidR="0093742A">
        <w:t xml:space="preserve"> (sequences)</w:t>
      </w:r>
      <w:r>
        <w:t xml:space="preserve"> of growth</w:t>
      </w:r>
      <w:r w:rsidR="00F0429C">
        <w:t xml:space="preserve"> (Rice 1997)</w:t>
      </w:r>
      <w:r>
        <w:t xml:space="preserve">.  </w:t>
      </w:r>
      <w:r w:rsidR="002B0B1B">
        <w:t>This topic</w:t>
      </w:r>
      <w:r>
        <w:t xml:space="preserve"> will </w:t>
      </w:r>
      <w:r w:rsidR="002B0B1B">
        <w:t xml:space="preserve">be </w:t>
      </w:r>
      <w:r>
        <w:t>discuss</w:t>
      </w:r>
      <w:r w:rsidR="002B0B1B">
        <w:t>ed</w:t>
      </w:r>
      <w:r>
        <w:t xml:space="preserve"> in detail</w:t>
      </w:r>
      <w:r w:rsidR="002B0B1B">
        <w:t xml:space="preserve"> in </w:t>
      </w:r>
      <w:r w:rsidR="00400224">
        <w:t>C</w:t>
      </w:r>
      <w:r w:rsidR="002B0B1B">
        <w:t>hapter 2</w:t>
      </w:r>
      <w:r>
        <w:t xml:space="preserve">.  Here </w:t>
      </w:r>
      <w:r w:rsidR="00F417B0">
        <w:t>two key variables</w:t>
      </w:r>
      <w:r>
        <w:t xml:space="preserve"> shall </w:t>
      </w:r>
      <w:r w:rsidR="002B0B1B">
        <w:t xml:space="preserve">be </w:t>
      </w:r>
      <w:r w:rsidR="00F417B0">
        <w:t>briefly introduced</w:t>
      </w:r>
      <w:r>
        <w:t xml:space="preserve">: the pattern of development and the rate of development.  The </w:t>
      </w:r>
      <w:r w:rsidRPr="00A05635">
        <w:rPr>
          <w:i/>
        </w:rPr>
        <w:t>pattern</w:t>
      </w:r>
      <w:r>
        <w:t xml:space="preserve"> of development relates to developmental sequences such as dental eruption and epiphyseal </w:t>
      </w:r>
      <w:r w:rsidR="00B3007B">
        <w:t>fusion</w:t>
      </w:r>
      <w:r>
        <w:t>.  The</w:t>
      </w:r>
      <w:r w:rsidR="00A05635">
        <w:t xml:space="preserve"> </w:t>
      </w:r>
      <w:r w:rsidR="00A05635" w:rsidRPr="00A05635">
        <w:rPr>
          <w:i/>
        </w:rPr>
        <w:t>rate</w:t>
      </w:r>
      <w:r>
        <w:t xml:space="preserve"> of development refers to the functional relationship between time and growth.  These concepts are not independent but past research has tended to </w:t>
      </w:r>
      <w:r w:rsidR="00A92271">
        <w:t xml:space="preserve">analyse </w:t>
      </w:r>
      <w:r>
        <w:t xml:space="preserve">them independently.  Skeletal elements grow at different rates and their completion is determined by fusion of the epiphysis to the diaphysis.  </w:t>
      </w:r>
      <w:r w:rsidR="008B6DAD">
        <w:t xml:space="preserve">An </w:t>
      </w:r>
      <w:r>
        <w:t xml:space="preserve">organism </w:t>
      </w:r>
      <w:r w:rsidR="008B6DAD">
        <w:t xml:space="preserve">can be looked upon </w:t>
      </w:r>
      <w:r>
        <w:t xml:space="preserve">as a system in which the entire process of growth functions as a unit.  </w:t>
      </w:r>
      <w:r w:rsidR="00383718">
        <w:t>To illustrate this point, i</w:t>
      </w:r>
      <w:r w:rsidR="002B0B1B">
        <w:t>t is known</w:t>
      </w:r>
      <w:r w:rsidR="00383718">
        <w:t xml:space="preserve"> </w:t>
      </w:r>
      <w:r>
        <w:t xml:space="preserve">that chimpanzees and bonobos attain adult proportions earlier than humans with respect to </w:t>
      </w:r>
      <w:r w:rsidR="002A69DD">
        <w:t xml:space="preserve">chronological </w:t>
      </w:r>
      <w:r>
        <w:t xml:space="preserve">time (Hamada </w:t>
      </w:r>
      <w:r>
        <w:rPr>
          <w:i/>
        </w:rPr>
        <w:t>et al</w:t>
      </w:r>
      <w:r w:rsidR="002B0B1B">
        <w:rPr>
          <w:i/>
        </w:rPr>
        <w:t>.</w:t>
      </w:r>
      <w:r>
        <w:t xml:space="preserve"> 1996).  However, </w:t>
      </w:r>
      <w:r w:rsidR="002B0B1B">
        <w:t>it is</w:t>
      </w:r>
      <w:r>
        <w:t xml:space="preserve"> unclear if the means of having achieved this maturity represent</w:t>
      </w:r>
      <w:r w:rsidR="00BC714E">
        <w:t>s</w:t>
      </w:r>
      <w:r>
        <w:t xml:space="preserve"> an accelerated version of the same pattern or if the pattern is markedly different within this shorter timeframe.  Delineating between these concepts is difficult, especially with the amount of inherent individual variation that exists</w:t>
      </w:r>
      <w:r w:rsidR="00394BC5">
        <w:t>.  H</w:t>
      </w:r>
      <w:r>
        <w:t>aving the foundation of long-bone lengths, fusion sequences, and dental development will allow for the pursuit of greater clarity within this topic.</w:t>
      </w:r>
    </w:p>
    <w:p w:rsidR="00757AD7" w:rsidRPr="000C121F" w:rsidRDefault="00757AD7" w:rsidP="000C121F">
      <w:r>
        <w:t>The following are some specific topics of interest that this study will address having both dimensional change and sequence data concomitantly:</w:t>
      </w:r>
    </w:p>
    <w:p w:rsidR="00757AD7" w:rsidRPr="000C121F" w:rsidRDefault="00E26448" w:rsidP="006750DC">
      <w:pPr>
        <w:pStyle w:val="Heading5"/>
        <w:numPr>
          <w:ilvl w:val="0"/>
          <w:numId w:val="0"/>
        </w:numPr>
        <w:ind w:left="1008" w:hanging="288"/>
      </w:pPr>
      <w:r>
        <w:t xml:space="preserve">1. </w:t>
      </w:r>
      <w:r w:rsidR="00757AD7">
        <w:t>Mo</w:t>
      </w:r>
      <w:r w:rsidR="00C90A0D">
        <w:t>rphological change</w:t>
      </w:r>
    </w:p>
    <w:p w:rsidR="00757AD7" w:rsidRPr="000C121F" w:rsidRDefault="00757AD7" w:rsidP="000C121F">
      <w:r>
        <w:t xml:space="preserve">Here </w:t>
      </w:r>
      <w:r w:rsidR="00E210AE">
        <w:t>the</w:t>
      </w:r>
      <w:r>
        <w:t xml:space="preserve"> concern</w:t>
      </w:r>
      <w:r w:rsidR="00E210AE">
        <w:t xml:space="preserve"> is</w:t>
      </w:r>
      <w:r>
        <w:t xml:space="preserve"> with the dimensional changes, particularly the relative lengths of bones.  </w:t>
      </w:r>
      <w:r w:rsidR="00E210AE">
        <w:t xml:space="preserve">The aim is </w:t>
      </w:r>
      <w:r>
        <w:t>to know how the pattern of different relative lengths of bones is arrived at and how these patterns are represented in skeletal fusion and growth rate.</w:t>
      </w:r>
    </w:p>
    <w:p w:rsidR="00757AD7" w:rsidRPr="000C121F" w:rsidRDefault="00E26448" w:rsidP="006750DC">
      <w:pPr>
        <w:pStyle w:val="Heading5"/>
        <w:numPr>
          <w:ilvl w:val="0"/>
          <w:numId w:val="0"/>
        </w:numPr>
        <w:ind w:left="1008" w:hanging="288"/>
      </w:pPr>
      <w:r>
        <w:lastRenderedPageBreak/>
        <w:t xml:space="preserve">2. </w:t>
      </w:r>
      <w:r w:rsidR="00757AD7" w:rsidRPr="000C121F">
        <w:t>Behavio</w:t>
      </w:r>
      <w:r w:rsidR="00C90A0D">
        <w:t>ural and locomotory adaptations</w:t>
      </w:r>
    </w:p>
    <w:p w:rsidR="00757AD7" w:rsidRDefault="00757AD7" w:rsidP="000C121F">
      <w:r w:rsidRPr="009D712F">
        <w:t>This topic is not independent of morphological change.  It involves the additional effects that behavior has on skeletal maturation.  It remains to be seen if particular epiphyses that are more precocious than others f</w:t>
      </w:r>
      <w:r w:rsidR="00D84A6A">
        <w:t>use earlier in order to stabilis</w:t>
      </w:r>
      <w:r w:rsidRPr="009D712F">
        <w:t>e joints</w:t>
      </w:r>
      <w:r w:rsidR="00D84A6A">
        <w:t xml:space="preserve"> due to positional behavioural demands</w:t>
      </w:r>
      <w:r w:rsidRPr="009D712F">
        <w:t xml:space="preserve">.  </w:t>
      </w:r>
      <w:r w:rsidR="00103F70">
        <w:t>Differences in pattern and timing of</w:t>
      </w:r>
      <w:r w:rsidR="009D712F" w:rsidRPr="009D712F">
        <w:t xml:space="preserve"> </w:t>
      </w:r>
      <w:r w:rsidR="00103F70">
        <w:t>ossification centre appearance have</w:t>
      </w:r>
      <w:r w:rsidR="009D712F" w:rsidRPr="009D712F">
        <w:t xml:space="preserve"> been </w:t>
      </w:r>
      <w:r w:rsidR="00BD657B">
        <w:t xml:space="preserve">implicated as </w:t>
      </w:r>
      <w:r w:rsidR="00103F70">
        <w:t xml:space="preserve">support </w:t>
      </w:r>
      <w:r w:rsidR="00BD657B">
        <w:t xml:space="preserve">for </w:t>
      </w:r>
      <w:r w:rsidR="009D712F" w:rsidRPr="009D712F">
        <w:t xml:space="preserve">this </w:t>
      </w:r>
      <w:r w:rsidR="008531CF">
        <w:t xml:space="preserve">suggestion </w:t>
      </w:r>
      <w:r w:rsidR="009D712F" w:rsidRPr="009D712F">
        <w:rPr>
          <w:noProof/>
        </w:rPr>
        <w:t>(</w:t>
      </w:r>
      <w:r w:rsidR="00103F70">
        <w:rPr>
          <w:noProof/>
        </w:rPr>
        <w:t xml:space="preserve">Blomquist 2009, </w:t>
      </w:r>
      <w:r w:rsidR="009D712F" w:rsidRPr="009D712F">
        <w:rPr>
          <w:noProof/>
        </w:rPr>
        <w:t xml:space="preserve">Dainton and Macho 1999, </w:t>
      </w:r>
      <w:r w:rsidR="003B6202">
        <w:rPr>
          <w:noProof/>
        </w:rPr>
        <w:t xml:space="preserve">Hunt 1991, 1992).  </w:t>
      </w:r>
      <w:r>
        <w:t xml:space="preserve">It is not entirely clear if the growth rates of bones are related to such adaptations.  </w:t>
      </w:r>
      <w:r w:rsidRPr="00073759">
        <w:rPr>
          <w:noProof/>
        </w:rPr>
        <w:t>In humans, for example, more growth</w:t>
      </w:r>
      <w:r w:rsidR="007D7A1E">
        <w:rPr>
          <w:noProof/>
        </w:rPr>
        <w:t xml:space="preserve"> in length</w:t>
      </w:r>
      <w:r w:rsidRPr="00073759">
        <w:rPr>
          <w:noProof/>
        </w:rPr>
        <w:t xml:space="preserve"> occurs at the distal en</w:t>
      </w:r>
      <w:r>
        <w:rPr>
          <w:noProof/>
        </w:rPr>
        <w:t>d of a radius than the proximal</w:t>
      </w:r>
      <w:r w:rsidRPr="00073759">
        <w:rPr>
          <w:noProof/>
        </w:rPr>
        <w:t xml:space="preserve"> with the same pattern occuring for the ulna but the reverse being observed for the humerus</w:t>
      </w:r>
      <w:r>
        <w:rPr>
          <w:noProof/>
        </w:rPr>
        <w:t xml:space="preserve"> (</w:t>
      </w:r>
      <w:r w:rsidR="001B6BA7">
        <w:rPr>
          <w:noProof/>
        </w:rPr>
        <w:t xml:space="preserve">Schaefer </w:t>
      </w:r>
      <w:r w:rsidR="001B6BA7">
        <w:rPr>
          <w:i/>
          <w:noProof/>
        </w:rPr>
        <w:t>et al</w:t>
      </w:r>
      <w:r w:rsidR="001B6BA7" w:rsidRPr="001B6BA7">
        <w:rPr>
          <w:noProof/>
        </w:rPr>
        <w:t>.</w:t>
      </w:r>
      <w:r w:rsidR="001B6BA7">
        <w:rPr>
          <w:i/>
          <w:noProof/>
        </w:rPr>
        <w:t xml:space="preserve"> </w:t>
      </w:r>
      <w:r w:rsidR="001B6BA7">
        <w:rPr>
          <w:noProof/>
        </w:rPr>
        <w:t xml:space="preserve">2009, </w:t>
      </w:r>
      <w:r>
        <w:rPr>
          <w:noProof/>
        </w:rPr>
        <w:t>Scheuer and Black 2000)</w:t>
      </w:r>
      <w:r w:rsidRPr="00073759">
        <w:rPr>
          <w:noProof/>
        </w:rPr>
        <w:t>.</w:t>
      </w:r>
      <w:r w:rsidR="00700D8D">
        <w:rPr>
          <w:noProof/>
        </w:rPr>
        <w:t xml:space="preserve">  This pattern is generally observed for mammals as a group.  However, some studies have found small differences in pattern for individual elements in primates and this has been associated with behavioural patterns (Bolter 2011).</w:t>
      </w:r>
      <w:r w:rsidRPr="00073759">
        <w:rPr>
          <w:noProof/>
        </w:rPr>
        <w:t xml:space="preserve">  </w:t>
      </w:r>
      <w:r w:rsidR="00700D8D">
        <w:rPr>
          <w:noProof/>
        </w:rPr>
        <w:t xml:space="preserve">It may be </w:t>
      </w:r>
      <w:r w:rsidRPr="00073759">
        <w:rPr>
          <w:noProof/>
        </w:rPr>
        <w:t>speculate</w:t>
      </w:r>
      <w:r w:rsidR="00700D8D">
        <w:rPr>
          <w:noProof/>
        </w:rPr>
        <w:t>d</w:t>
      </w:r>
      <w:r w:rsidRPr="00073759">
        <w:rPr>
          <w:noProof/>
        </w:rPr>
        <w:t xml:space="preserve"> that the precocious fusion of epiphyses at the elbow might relate to the need for structural stability in that joint as</w:t>
      </w:r>
      <w:r w:rsidR="0088297B">
        <w:rPr>
          <w:noProof/>
        </w:rPr>
        <w:t xml:space="preserve"> a consequence of behavioural patterning as</w:t>
      </w:r>
      <w:r w:rsidRPr="00073759">
        <w:rPr>
          <w:noProof/>
        </w:rPr>
        <w:t xml:space="preserve"> early in development as possible. </w:t>
      </w:r>
      <w:r w:rsidR="009850F4">
        <w:rPr>
          <w:noProof/>
        </w:rPr>
        <w:t xml:space="preserve"> </w:t>
      </w:r>
      <w:r w:rsidR="001F20C0">
        <w:rPr>
          <w:noProof/>
        </w:rPr>
        <w:t xml:space="preserve">If this is the case then more suspensory primates may place higher priority for earlier fusion of this joint.  </w:t>
      </w:r>
      <w:r w:rsidR="007F68D6">
        <w:rPr>
          <w:noProof/>
        </w:rPr>
        <w:t>The provision of sequence and relative timing data from this</w:t>
      </w:r>
      <w:r w:rsidRPr="00073759">
        <w:rPr>
          <w:noProof/>
        </w:rPr>
        <w:t xml:space="preserve"> study will </w:t>
      </w:r>
      <w:r w:rsidR="002C300A">
        <w:rPr>
          <w:noProof/>
        </w:rPr>
        <w:t xml:space="preserve">permit </w:t>
      </w:r>
      <w:r w:rsidR="007F68D6">
        <w:rPr>
          <w:noProof/>
        </w:rPr>
        <w:t>inferences to be made in</w:t>
      </w:r>
      <w:r w:rsidRPr="00073759">
        <w:rPr>
          <w:noProof/>
        </w:rPr>
        <w:t xml:space="preserve"> relation to locomotory patterns and dimensional change</w:t>
      </w:r>
      <w:r w:rsidRPr="00461DD5">
        <w:rPr>
          <w:noProof/>
        </w:rPr>
        <w:t>.</w:t>
      </w:r>
    </w:p>
    <w:p w:rsidR="00E26448" w:rsidRDefault="0051474E" w:rsidP="00E26448">
      <w:r>
        <w:t>Determining t</w:t>
      </w:r>
      <w:r w:rsidR="00757AD7" w:rsidRPr="00073759">
        <w:t xml:space="preserve">he shared and derived nature of developmental patterns </w:t>
      </w:r>
      <w:r w:rsidR="00354818">
        <w:t xml:space="preserve">has </w:t>
      </w:r>
      <w:r w:rsidR="00270575">
        <w:t>consequences for what</w:t>
      </w:r>
      <w:r w:rsidR="00757AD7" w:rsidRPr="00073759">
        <w:t xml:space="preserve"> may </w:t>
      </w:r>
      <w:r w:rsidR="00270575">
        <w:t xml:space="preserve">be </w:t>
      </w:r>
      <w:r w:rsidR="00757AD7" w:rsidRPr="00073759">
        <w:t>infe</w:t>
      </w:r>
      <w:r w:rsidR="00270575">
        <w:t>r</w:t>
      </w:r>
      <w:r w:rsidR="00757AD7" w:rsidRPr="00073759">
        <w:t>r</w:t>
      </w:r>
      <w:r w:rsidR="00270575">
        <w:t>ed</w:t>
      </w:r>
      <w:r w:rsidR="00757AD7" w:rsidRPr="00073759">
        <w:t xml:space="preserve"> about locomotion in fossil ancestors.  </w:t>
      </w:r>
      <w:r w:rsidR="00757AD7">
        <w:t xml:space="preserve">In recent time this has become a topic of greater interest with current research suggesting that the human and chimpanzee </w:t>
      </w:r>
      <w:r>
        <w:t xml:space="preserve">last common ancestor </w:t>
      </w:r>
      <w:r w:rsidR="00757AD7">
        <w:t>may have been less of a direct analogue of modern extant apes than was once though</w:t>
      </w:r>
      <w:r w:rsidR="00BC1C22">
        <w:t xml:space="preserve"> </w:t>
      </w:r>
      <w:r w:rsidR="00AD6C21">
        <w:t xml:space="preserve">(Lovejoy </w:t>
      </w:r>
      <w:r w:rsidR="00AD6C21">
        <w:rPr>
          <w:i/>
        </w:rPr>
        <w:t>et al.</w:t>
      </w:r>
      <w:r w:rsidR="00AD6C21">
        <w:t xml:space="preserve"> 2009)</w:t>
      </w:r>
      <w:r w:rsidR="00757AD7">
        <w:t xml:space="preserve">.  </w:t>
      </w:r>
      <w:r w:rsidR="00757AD7" w:rsidRPr="00073759">
        <w:t xml:space="preserve">When large changes occur in relative timing and rate of maturation, and when these deviations are correlated with differences in behavioural patterning, </w:t>
      </w:r>
      <w:r w:rsidR="007C72B0">
        <w:t>models may be generated that describe</w:t>
      </w:r>
      <w:r w:rsidR="00AC789B">
        <w:t xml:space="preserve"> </w:t>
      </w:r>
      <w:r w:rsidR="00757AD7">
        <w:t>how this ancestor might have</w:t>
      </w:r>
      <w:r w:rsidR="00757AD7" w:rsidRPr="00073759">
        <w:t xml:space="preserve"> appear</w:t>
      </w:r>
      <w:r w:rsidR="00757AD7">
        <w:t>ed.</w:t>
      </w:r>
    </w:p>
    <w:p w:rsidR="00757AD7" w:rsidRPr="00F03325" w:rsidRDefault="00E26448" w:rsidP="00742B70">
      <w:pPr>
        <w:pStyle w:val="Heading5"/>
        <w:numPr>
          <w:ilvl w:val="0"/>
          <w:numId w:val="0"/>
        </w:numPr>
        <w:ind w:left="1008"/>
      </w:pPr>
      <w:r>
        <w:t xml:space="preserve">3. </w:t>
      </w:r>
      <w:r w:rsidR="00BC714E">
        <w:t xml:space="preserve">Comparisons of </w:t>
      </w:r>
      <w:r w:rsidR="00BD1972">
        <w:t xml:space="preserve">developmental </w:t>
      </w:r>
      <w:r w:rsidR="00BC714E">
        <w:t>sequences and rates</w:t>
      </w:r>
      <w:r w:rsidR="00BD1972">
        <w:t xml:space="preserve"> of growth.</w:t>
      </w:r>
    </w:p>
    <w:p w:rsidR="00757AD7" w:rsidRPr="00F03325" w:rsidRDefault="000077FD" w:rsidP="00F03325">
      <w:r>
        <w:t xml:space="preserve">As </w:t>
      </w:r>
      <w:r w:rsidR="0091480B">
        <w:t>mention</w:t>
      </w:r>
      <w:r>
        <w:t>ed above, h</w:t>
      </w:r>
      <w:r w:rsidR="003E59F8">
        <w:t>eter</w:t>
      </w:r>
      <w:r w:rsidR="00FC44FA">
        <w:t>o</w:t>
      </w:r>
      <w:r w:rsidR="003E59F8">
        <w:t xml:space="preserve">chrony </w:t>
      </w:r>
      <w:r w:rsidR="0073448E">
        <w:t xml:space="preserve">may be broken down into two </w:t>
      </w:r>
      <w:r w:rsidR="008535AA">
        <w:t xml:space="preserve">major </w:t>
      </w:r>
      <w:r w:rsidR="00B4645D">
        <w:t>areas of study</w:t>
      </w:r>
      <w:r w:rsidR="008535AA">
        <w:t>: rates of growth and sequences of developmental events</w:t>
      </w:r>
      <w:r w:rsidR="00D33BE9">
        <w:t>.</w:t>
      </w:r>
      <w:r w:rsidR="00B4645D">
        <w:t xml:space="preserve">  Linking developmental sequences to chronological time informs these theories about the state of development relative to the growth in size or shape.  Many of the terms of </w:t>
      </w:r>
      <w:r w:rsidR="00FC44FA">
        <w:t>this subject</w:t>
      </w:r>
      <w:r w:rsidR="00B4645D">
        <w:t xml:space="preserve"> rely on development relative to the age </w:t>
      </w:r>
      <w:r w:rsidR="00FC44FA">
        <w:t xml:space="preserve">at which </w:t>
      </w:r>
      <w:r w:rsidR="00B4645D">
        <w:t>sexual maturity</w:t>
      </w:r>
      <w:r w:rsidR="00FC44FA">
        <w:t xml:space="preserve"> is reached</w:t>
      </w:r>
      <w:r w:rsidR="00B4645D">
        <w:t xml:space="preserve">.  </w:t>
      </w:r>
      <w:r w:rsidR="00F8071E">
        <w:t xml:space="preserve">It has been established for some time that humans differ from chimpanzees in both rate and duration of </w:t>
      </w:r>
      <w:r w:rsidR="00D33BE9">
        <w:t xml:space="preserve">overall </w:t>
      </w:r>
      <w:r w:rsidR="00B24CAC">
        <w:t xml:space="preserve">somatic </w:t>
      </w:r>
      <w:r w:rsidR="00F8071E">
        <w:t>growth</w:t>
      </w:r>
      <w:r w:rsidR="00CF3781">
        <w:t xml:space="preserve"> (Bogin 1997)</w:t>
      </w:r>
      <w:r w:rsidR="00D33BE9">
        <w:t xml:space="preserve">.  </w:t>
      </w:r>
      <w:r w:rsidR="00B4645D">
        <w:t xml:space="preserve">Some sequences of developmental events have been determined such as dental development (Kuykendall 1996) but this linkage between rates and sequences is </w:t>
      </w:r>
      <w:r w:rsidR="00B4645D">
        <w:lastRenderedPageBreak/>
        <w:t xml:space="preserve">incomplete.  This study seeks to bridge many of these gaps by clarifying epiphyseal fusion sequences in the context of dental </w:t>
      </w:r>
      <w:r w:rsidR="00D730DD">
        <w:t>sequences and dimensional growth.</w:t>
      </w:r>
    </w:p>
    <w:p w:rsidR="00757AD7" w:rsidRPr="00CA6657" w:rsidRDefault="00757AD7" w:rsidP="00D263E8">
      <w:pPr>
        <w:pStyle w:val="Heading2"/>
      </w:pPr>
      <w:bookmarkStart w:id="14" w:name="_Toc373477713"/>
      <w:bookmarkStart w:id="15" w:name="_Toc373480711"/>
      <w:r>
        <w:t>Study approach</w:t>
      </w:r>
      <w:bookmarkEnd w:id="14"/>
      <w:bookmarkEnd w:id="15"/>
    </w:p>
    <w:p w:rsidR="00757AD7" w:rsidRPr="00CA6657" w:rsidRDefault="00757AD7" w:rsidP="00CA6657">
      <w:r>
        <w:t>As noted in section 1.2, this study will evaluate epiphyseal fusion, dental developm</w:t>
      </w:r>
      <w:r w:rsidR="008D540F">
        <w:t>ent, and long-bone growth in 177</w:t>
      </w:r>
      <w:r>
        <w:t xml:space="preserve"> </w:t>
      </w:r>
      <w:r>
        <w:rPr>
          <w:i/>
        </w:rPr>
        <w:t xml:space="preserve">Pan </w:t>
      </w:r>
      <w:proofErr w:type="gramStart"/>
      <w:r>
        <w:rPr>
          <w:i/>
        </w:rPr>
        <w:t>troglodytes</w:t>
      </w:r>
      <w:proofErr w:type="gramEnd"/>
      <w:r>
        <w:t xml:space="preserve"> and 37 </w:t>
      </w:r>
      <w:r>
        <w:rPr>
          <w:i/>
        </w:rPr>
        <w:t>Pan paniscus</w:t>
      </w:r>
      <w:r>
        <w:t xml:space="preserve"> individuals from osteological collections.  This study both builds and expands </w:t>
      </w:r>
      <w:r w:rsidR="000F3AF3">
        <w:t>upon past research, which wi</w:t>
      </w:r>
      <w:r>
        <w:t>ll be defined in Chapter 2: Background.  In the context of this past research, it was decided to evaluate dental development using the Demirjian method (Demirjian</w:t>
      </w:r>
      <w:r>
        <w:rPr>
          <w:i/>
        </w:rPr>
        <w:t xml:space="preserve"> et al</w:t>
      </w:r>
      <w:r w:rsidR="0031090E">
        <w:t>.</w:t>
      </w:r>
      <w:r>
        <w:t xml:space="preserve"> 1973) applied to radiographs of mandibular dentition.  This produced summary dental scores comparable with known age samples used by Kuykendall and Conroy (1996).  Epiphyseal fusion was recorded using a multi-stage scoring system similar to those that </w:t>
      </w:r>
      <w:r w:rsidR="00A96375">
        <w:t xml:space="preserve">has </w:t>
      </w:r>
      <w:r>
        <w:t xml:space="preserve">been used </w:t>
      </w:r>
      <w:r w:rsidR="00A96375">
        <w:t>for</w:t>
      </w:r>
      <w:r>
        <w:t xml:space="preserve"> human studies.  Long-bone length was evaluated using an osteometric board, with orientation normalized to set criteria.  These data were collected for both sides of the skeleton in order to maximize data entries when skeletal elements were missing from one side or the other, as is common with many osteological collections.</w:t>
      </w:r>
    </w:p>
    <w:p w:rsidR="00757AD7" w:rsidRPr="00F80B67" w:rsidRDefault="00757AD7" w:rsidP="00D263E8">
      <w:pPr>
        <w:pStyle w:val="Heading2"/>
      </w:pPr>
      <w:bookmarkStart w:id="16" w:name="_Toc373477714"/>
      <w:bookmarkStart w:id="17" w:name="_Toc373480712"/>
      <w:r>
        <w:t>C</w:t>
      </w:r>
      <w:r w:rsidRPr="00F80B67">
        <w:t>hapter overview</w:t>
      </w:r>
      <w:bookmarkEnd w:id="16"/>
      <w:bookmarkEnd w:id="17"/>
    </w:p>
    <w:p w:rsidR="00757AD7" w:rsidRDefault="007334E4" w:rsidP="00CA6657">
      <w:r>
        <w:t>C</w:t>
      </w:r>
      <w:r w:rsidR="00E83277">
        <w:t xml:space="preserve">hapter 2 (Background) </w:t>
      </w:r>
      <w:r>
        <w:t>provide</w:t>
      </w:r>
      <w:r w:rsidR="00EC4A2D">
        <w:t>s</w:t>
      </w:r>
      <w:r>
        <w:t xml:space="preserve"> </w:t>
      </w:r>
      <w:r w:rsidR="00EC4A2D">
        <w:t xml:space="preserve">the </w:t>
      </w:r>
      <w:r>
        <w:t xml:space="preserve">context in which </w:t>
      </w:r>
      <w:r w:rsidR="00E83277">
        <w:t xml:space="preserve">this research is situated.  </w:t>
      </w:r>
      <w:r>
        <w:t>Th</w:t>
      </w:r>
      <w:r w:rsidR="00365140">
        <w:t xml:space="preserve">is chapter </w:t>
      </w:r>
      <w:r w:rsidR="00EC4A2D">
        <w:t xml:space="preserve">is </w:t>
      </w:r>
      <w:r w:rsidR="00365140">
        <w:t>broken into two major section</w:t>
      </w:r>
      <w:r w:rsidR="003417D0">
        <w:t>s</w:t>
      </w:r>
      <w:r w:rsidR="00365140">
        <w:t xml:space="preserve">.  The first section </w:t>
      </w:r>
      <w:r w:rsidR="00EC4A2D">
        <w:t xml:space="preserve">is </w:t>
      </w:r>
      <w:r w:rsidR="00E83277">
        <w:t xml:space="preserve">an overview </w:t>
      </w:r>
      <w:r w:rsidR="003D5EC3">
        <w:t xml:space="preserve">of developmental theory and how it has been applied to chimpanzee, bonobo, and human growth.  </w:t>
      </w:r>
      <w:r w:rsidR="00365140">
        <w:t xml:space="preserve">There is a lack of consensus as to which developmental parameters define differences between the two genera and how these differences have affected adult form.  This </w:t>
      </w:r>
      <w:r w:rsidR="00EC4A2D">
        <w:t>is</w:t>
      </w:r>
      <w:r w:rsidR="00365140">
        <w:t xml:space="preserve"> discussed.  The second half of this chapter describe</w:t>
      </w:r>
      <w:r w:rsidR="00EC4A2D">
        <w:t>s</w:t>
      </w:r>
      <w:r w:rsidR="00E83277">
        <w:t xml:space="preserve"> what is known for humans, chimpanzees, and bonobos for each </w:t>
      </w:r>
      <w:r w:rsidR="00365140">
        <w:t xml:space="preserve">developmental variable evaluated in this study, these being dentition, epiphyseal fusion and long-bone growth.  For each of these variables the effects of </w:t>
      </w:r>
      <w:r w:rsidR="00E83277">
        <w:t>sex, population affinities, and nutritional stress</w:t>
      </w:r>
      <w:r w:rsidR="00365140">
        <w:t xml:space="preserve"> </w:t>
      </w:r>
      <w:r w:rsidR="00EC4A2D">
        <w:t xml:space="preserve">are </w:t>
      </w:r>
      <w:r w:rsidR="00365140">
        <w:t>evaluated</w:t>
      </w:r>
      <w:r w:rsidR="00E83277">
        <w:t xml:space="preserve">.  </w:t>
      </w:r>
      <w:r w:rsidR="00EF0BB1">
        <w:t>C</w:t>
      </w:r>
      <w:r w:rsidR="00E83277">
        <w:t>omparisons between these species</w:t>
      </w:r>
      <w:r w:rsidR="00EF0BB1">
        <w:t xml:space="preserve"> </w:t>
      </w:r>
      <w:r w:rsidR="00EC4A2D">
        <w:t xml:space="preserve">are </w:t>
      </w:r>
      <w:r w:rsidR="00EF0BB1">
        <w:t xml:space="preserve">then considered, </w:t>
      </w:r>
      <w:r w:rsidR="00E83277">
        <w:t>highlighting gaps in knowledge.</w:t>
      </w:r>
    </w:p>
    <w:p w:rsidR="00757AD7" w:rsidRDefault="00B54B65" w:rsidP="00CA6657">
      <w:pPr>
        <w:rPr>
          <w:noProof/>
        </w:rPr>
      </w:pPr>
      <w:r>
        <w:rPr>
          <w:noProof/>
        </w:rPr>
        <w:t xml:space="preserve">Chapter 3 </w:t>
      </w:r>
      <w:r w:rsidR="005152FB">
        <w:rPr>
          <w:noProof/>
        </w:rPr>
        <w:t>(</w:t>
      </w:r>
      <w:r w:rsidR="00930CCF" w:rsidRPr="00D2082C">
        <w:rPr>
          <w:noProof/>
        </w:rPr>
        <w:t>Materials and Methods</w:t>
      </w:r>
      <w:r w:rsidR="005152FB">
        <w:rPr>
          <w:noProof/>
        </w:rPr>
        <w:t>)</w:t>
      </w:r>
      <w:r w:rsidR="00930CCF" w:rsidRPr="00D2082C">
        <w:rPr>
          <w:noProof/>
        </w:rPr>
        <w:t xml:space="preserve"> </w:t>
      </w:r>
      <w:r w:rsidR="00EC4A2D">
        <w:rPr>
          <w:noProof/>
        </w:rPr>
        <w:t xml:space="preserve">is </w:t>
      </w:r>
      <w:r w:rsidR="00757AD7" w:rsidRPr="00D2082C">
        <w:rPr>
          <w:noProof/>
        </w:rPr>
        <w:t>divided into three section.  First</w:t>
      </w:r>
      <w:r w:rsidR="008C7C6B">
        <w:rPr>
          <w:noProof/>
        </w:rPr>
        <w:t>,</w:t>
      </w:r>
      <w:r w:rsidR="00757AD7" w:rsidRPr="00D2082C">
        <w:rPr>
          <w:noProof/>
        </w:rPr>
        <w:t xml:space="preserve"> a descriptive analysis of the m</w:t>
      </w:r>
      <w:r w:rsidR="00E6026E">
        <w:rPr>
          <w:noProof/>
        </w:rPr>
        <w:t xml:space="preserve">aterials used </w:t>
      </w:r>
      <w:r w:rsidR="00EC4A2D">
        <w:rPr>
          <w:noProof/>
        </w:rPr>
        <w:t>is</w:t>
      </w:r>
      <w:r w:rsidR="00E6026E">
        <w:rPr>
          <w:noProof/>
        </w:rPr>
        <w:t xml:space="preserve"> pursued (S</w:t>
      </w:r>
      <w:r w:rsidR="00757AD7" w:rsidRPr="00D2082C">
        <w:rPr>
          <w:noProof/>
        </w:rPr>
        <w:t xml:space="preserve">ection 3.1).  The geographic origins, state of preservation, completeness, and general demographic data </w:t>
      </w:r>
      <w:r w:rsidR="00EC4A2D">
        <w:rPr>
          <w:noProof/>
        </w:rPr>
        <w:t>are</w:t>
      </w:r>
      <w:r w:rsidR="00757AD7" w:rsidRPr="00D2082C">
        <w:rPr>
          <w:noProof/>
        </w:rPr>
        <w:t xml:space="preserve"> detailed.  </w:t>
      </w:r>
      <w:r w:rsidR="008C7C6B">
        <w:rPr>
          <w:noProof/>
        </w:rPr>
        <w:t xml:space="preserve">Second, </w:t>
      </w:r>
      <w:r w:rsidR="00757AD7" w:rsidRPr="00D2082C">
        <w:rPr>
          <w:noProof/>
        </w:rPr>
        <w:t xml:space="preserve">the methodology used to collect the data </w:t>
      </w:r>
      <w:r w:rsidR="00EC4A2D">
        <w:rPr>
          <w:noProof/>
        </w:rPr>
        <w:t xml:space="preserve">is </w:t>
      </w:r>
      <w:r w:rsidR="00757AD7" w:rsidRPr="00D2082C">
        <w:rPr>
          <w:noProof/>
        </w:rPr>
        <w:t xml:space="preserve">outlined with justification provided for each procedure (Section 3.2).  </w:t>
      </w:r>
      <w:r w:rsidR="00395546" w:rsidRPr="00D2082C">
        <w:rPr>
          <w:noProof/>
        </w:rPr>
        <w:t>Third, d</w:t>
      </w:r>
      <w:r w:rsidR="00757AD7" w:rsidRPr="00D2082C">
        <w:rPr>
          <w:noProof/>
        </w:rPr>
        <w:t xml:space="preserve">ue to the complex nature of these data, a series of procedures </w:t>
      </w:r>
      <w:r w:rsidR="00EC4A2D">
        <w:rPr>
          <w:noProof/>
        </w:rPr>
        <w:t>are</w:t>
      </w:r>
      <w:r w:rsidR="00757AD7" w:rsidRPr="00D2082C">
        <w:rPr>
          <w:noProof/>
        </w:rPr>
        <w:t xml:space="preserve"> carried out in order to begin the analysis and to ensure robusticity of the data.  These procedures </w:t>
      </w:r>
      <w:r w:rsidR="00EC4A2D">
        <w:rPr>
          <w:noProof/>
        </w:rPr>
        <w:t xml:space="preserve">are </w:t>
      </w:r>
      <w:r w:rsidR="00757AD7" w:rsidRPr="00D2082C">
        <w:rPr>
          <w:noProof/>
        </w:rPr>
        <w:t>described in sections 3.3.  Sections 3.4 to 3.6 demonstrate how these procedures were carried out in greater detail.</w:t>
      </w:r>
    </w:p>
    <w:p w:rsidR="00136537" w:rsidRPr="00B5712E" w:rsidRDefault="00C6378F" w:rsidP="00CA6657">
      <w:pPr>
        <w:rPr>
          <w:noProof/>
        </w:rPr>
      </w:pPr>
      <w:r>
        <w:rPr>
          <w:noProof/>
        </w:rPr>
        <w:lastRenderedPageBreak/>
        <w:t>C</w:t>
      </w:r>
      <w:r w:rsidR="00395546" w:rsidRPr="00D2082C">
        <w:rPr>
          <w:noProof/>
        </w:rPr>
        <w:t>hapter 4</w:t>
      </w:r>
      <w:r>
        <w:rPr>
          <w:noProof/>
        </w:rPr>
        <w:t xml:space="preserve"> </w:t>
      </w:r>
      <w:r w:rsidR="00205756">
        <w:rPr>
          <w:noProof/>
        </w:rPr>
        <w:t>(</w:t>
      </w:r>
      <w:r w:rsidR="002135E9">
        <w:rPr>
          <w:noProof/>
        </w:rPr>
        <w:t xml:space="preserve">General </w:t>
      </w:r>
      <w:r w:rsidR="00EC4A2D">
        <w:rPr>
          <w:noProof/>
        </w:rPr>
        <w:t>Results)</w:t>
      </w:r>
      <w:r>
        <w:rPr>
          <w:noProof/>
        </w:rPr>
        <w:t xml:space="preserve"> present</w:t>
      </w:r>
      <w:r w:rsidR="00EC4A2D">
        <w:rPr>
          <w:noProof/>
        </w:rPr>
        <w:t>s</w:t>
      </w:r>
      <w:r>
        <w:rPr>
          <w:noProof/>
        </w:rPr>
        <w:t xml:space="preserve"> the </w:t>
      </w:r>
      <w:r w:rsidR="00395546" w:rsidRPr="00D2082C">
        <w:rPr>
          <w:noProof/>
        </w:rPr>
        <w:t>t</w:t>
      </w:r>
      <w:r w:rsidR="00757AD7" w:rsidRPr="00D2082C">
        <w:rPr>
          <w:noProof/>
        </w:rPr>
        <w:t xml:space="preserve">he </w:t>
      </w:r>
      <w:r>
        <w:rPr>
          <w:noProof/>
        </w:rPr>
        <w:t xml:space="preserve">general </w:t>
      </w:r>
      <w:r w:rsidR="00757AD7" w:rsidRPr="00D2082C">
        <w:rPr>
          <w:noProof/>
        </w:rPr>
        <w:t xml:space="preserve">results </w:t>
      </w:r>
      <w:r>
        <w:rPr>
          <w:noProof/>
        </w:rPr>
        <w:t xml:space="preserve">for epiphyseal fusion sequences and long-bone growth in </w:t>
      </w:r>
      <w:r w:rsidR="003F328B">
        <w:rPr>
          <w:i/>
          <w:noProof/>
        </w:rPr>
        <w:t>Pan troglodytes</w:t>
      </w:r>
      <w:r>
        <w:rPr>
          <w:noProof/>
        </w:rPr>
        <w:t xml:space="preserve"> and </w:t>
      </w:r>
      <w:r>
        <w:rPr>
          <w:i/>
          <w:noProof/>
        </w:rPr>
        <w:t>Pan paniscus</w:t>
      </w:r>
      <w:r w:rsidR="00757AD7" w:rsidRPr="00D2082C">
        <w:rPr>
          <w:noProof/>
        </w:rPr>
        <w:t>.</w:t>
      </w:r>
      <w:r w:rsidR="003F328B">
        <w:rPr>
          <w:noProof/>
        </w:rPr>
        <w:t xml:space="preserve">  The two major sections of this chapter </w:t>
      </w:r>
      <w:r w:rsidR="00EC4A2D">
        <w:rPr>
          <w:noProof/>
        </w:rPr>
        <w:t xml:space="preserve">are </w:t>
      </w:r>
      <w:r w:rsidR="003F328B">
        <w:rPr>
          <w:noProof/>
        </w:rPr>
        <w:t xml:space="preserve">concerned with </w:t>
      </w:r>
      <w:r w:rsidR="00EC4A2D">
        <w:rPr>
          <w:noProof/>
        </w:rPr>
        <w:t xml:space="preserve">growth rates and sequences within </w:t>
      </w:r>
      <w:r w:rsidR="00EC4A2D">
        <w:rPr>
          <w:i/>
          <w:noProof/>
        </w:rPr>
        <w:t>Pan</w:t>
      </w:r>
      <w:r w:rsidR="003F328B">
        <w:rPr>
          <w:noProof/>
        </w:rPr>
        <w:t xml:space="preserve">.  Epiphyseal fusion as plotted against dental score </w:t>
      </w:r>
      <w:r w:rsidR="00EC4A2D">
        <w:rPr>
          <w:noProof/>
        </w:rPr>
        <w:t xml:space="preserve">is </w:t>
      </w:r>
      <w:r w:rsidR="003F328B">
        <w:rPr>
          <w:noProof/>
        </w:rPr>
        <w:t xml:space="preserve">explored and the limitations of this approach highlighted.  Fusion sequences </w:t>
      </w:r>
      <w:r w:rsidR="00EC4A2D">
        <w:rPr>
          <w:noProof/>
        </w:rPr>
        <w:t xml:space="preserve">are </w:t>
      </w:r>
      <w:r w:rsidR="003F328B">
        <w:rPr>
          <w:noProof/>
        </w:rPr>
        <w:t xml:space="preserve">also seriated without dental score for </w:t>
      </w:r>
      <w:r w:rsidR="003F328B">
        <w:rPr>
          <w:i/>
          <w:noProof/>
        </w:rPr>
        <w:t>Pan troglodytes</w:t>
      </w:r>
      <w:r w:rsidR="003F328B">
        <w:rPr>
          <w:noProof/>
        </w:rPr>
        <w:t xml:space="preserve">.  Allometric relationships </w:t>
      </w:r>
      <w:r w:rsidR="00EC4A2D">
        <w:rPr>
          <w:noProof/>
        </w:rPr>
        <w:t xml:space="preserve">are </w:t>
      </w:r>
      <w:r w:rsidR="003F328B">
        <w:rPr>
          <w:noProof/>
        </w:rPr>
        <w:t>explored for long-bone growth and growth curves for each long-bone plotted.</w:t>
      </w:r>
    </w:p>
    <w:p w:rsidR="00757AD7" w:rsidRDefault="00520A2B" w:rsidP="00CA6657">
      <w:pPr>
        <w:rPr>
          <w:noProof/>
        </w:rPr>
      </w:pPr>
      <w:r w:rsidRPr="00B5712E">
        <w:rPr>
          <w:noProof/>
        </w:rPr>
        <w:t xml:space="preserve">Chapter 5 </w:t>
      </w:r>
      <w:r w:rsidR="003C5433" w:rsidRPr="00B5712E">
        <w:rPr>
          <w:noProof/>
        </w:rPr>
        <w:t>(</w:t>
      </w:r>
      <w:r w:rsidR="008943E4" w:rsidRPr="00CA5FBB">
        <w:rPr>
          <w:rFonts w:eastAsia="Times New Roman"/>
          <w:noProof/>
          <w:color w:val="000000" w:themeColor="text1"/>
        </w:rPr>
        <w:t xml:space="preserve">Comparisons </w:t>
      </w:r>
      <w:r w:rsidR="00D95CC6">
        <w:rPr>
          <w:rFonts w:eastAsia="Times New Roman"/>
          <w:noProof/>
          <w:color w:val="000000" w:themeColor="text1"/>
        </w:rPr>
        <w:t xml:space="preserve">of growth standards between </w:t>
      </w:r>
      <w:r w:rsidR="00D95CC6">
        <w:rPr>
          <w:rFonts w:eastAsia="Times New Roman"/>
          <w:i/>
          <w:noProof/>
          <w:color w:val="000000" w:themeColor="text1"/>
        </w:rPr>
        <w:t>Pan</w:t>
      </w:r>
      <w:r w:rsidR="00D95CC6">
        <w:rPr>
          <w:rFonts w:eastAsia="Times New Roman"/>
          <w:noProof/>
          <w:color w:val="000000" w:themeColor="text1"/>
        </w:rPr>
        <w:t xml:space="preserve"> and </w:t>
      </w:r>
      <w:r w:rsidR="00D95CC6">
        <w:rPr>
          <w:rFonts w:eastAsia="Times New Roman"/>
          <w:i/>
          <w:noProof/>
          <w:color w:val="000000" w:themeColor="text1"/>
        </w:rPr>
        <w:t>Homo</w:t>
      </w:r>
      <w:r w:rsidR="00B5712E">
        <w:rPr>
          <w:noProof/>
        </w:rPr>
        <w:t xml:space="preserve">) </w:t>
      </w:r>
      <w:r w:rsidR="00EC47BB">
        <w:rPr>
          <w:noProof/>
        </w:rPr>
        <w:t>investigate</w:t>
      </w:r>
      <w:r w:rsidR="00EC4A2D">
        <w:rPr>
          <w:noProof/>
        </w:rPr>
        <w:t>s</w:t>
      </w:r>
      <w:r w:rsidR="00EE42AF">
        <w:rPr>
          <w:noProof/>
        </w:rPr>
        <w:t xml:space="preserve"> comparisons between chimpanzee, bonobos, and humans</w:t>
      </w:r>
      <w:r w:rsidR="00896E94">
        <w:rPr>
          <w:noProof/>
        </w:rPr>
        <w:t>, including comparisons with prior studies of all three species</w:t>
      </w:r>
      <w:r w:rsidR="00EE42AF">
        <w:rPr>
          <w:noProof/>
        </w:rPr>
        <w:t>.</w:t>
      </w:r>
      <w:r w:rsidR="00896E94">
        <w:rPr>
          <w:noProof/>
        </w:rPr>
        <w:t xml:space="preserve">  Such past studies often collected data in different ways and the effects of these differing methodologies must be analysed.  This chapter begin</w:t>
      </w:r>
      <w:r w:rsidR="00EC4A2D">
        <w:rPr>
          <w:noProof/>
        </w:rPr>
        <w:t>s</w:t>
      </w:r>
      <w:r w:rsidR="00896E94">
        <w:rPr>
          <w:noProof/>
        </w:rPr>
        <w:t xml:space="preserve"> by</w:t>
      </w:r>
      <w:r w:rsidR="00567981">
        <w:rPr>
          <w:noProof/>
        </w:rPr>
        <w:t xml:space="preserve"> producing </w:t>
      </w:r>
      <w:r w:rsidR="00896E94">
        <w:rPr>
          <w:noProof/>
        </w:rPr>
        <w:t>estimat</w:t>
      </w:r>
      <w:r w:rsidR="00567981">
        <w:rPr>
          <w:noProof/>
        </w:rPr>
        <w:t>ed</w:t>
      </w:r>
      <w:r w:rsidR="00896E94">
        <w:rPr>
          <w:noProof/>
        </w:rPr>
        <w:t xml:space="preserve"> chronological ages of fusion </w:t>
      </w:r>
      <w:r w:rsidR="00567981">
        <w:rPr>
          <w:noProof/>
        </w:rPr>
        <w:t xml:space="preserve">from dental scores and compares </w:t>
      </w:r>
      <w:r w:rsidR="00541B7E">
        <w:rPr>
          <w:noProof/>
        </w:rPr>
        <w:t xml:space="preserve">the </w:t>
      </w:r>
      <w:r w:rsidR="00567981">
        <w:rPr>
          <w:noProof/>
        </w:rPr>
        <w:t>results of this analysis to th</w:t>
      </w:r>
      <w:r w:rsidR="00991934">
        <w:rPr>
          <w:noProof/>
        </w:rPr>
        <w:t>e</w:t>
      </w:r>
      <w:r w:rsidR="00567981">
        <w:rPr>
          <w:noProof/>
        </w:rPr>
        <w:t xml:space="preserve"> data provided by </w:t>
      </w:r>
      <w:r w:rsidR="00896E94">
        <w:rPr>
          <w:noProof/>
        </w:rPr>
        <w:t>to Bolter and Zihlman (2012).  An expanded list of estimated chronological ages for th</w:t>
      </w:r>
      <w:r w:rsidR="00B5712E">
        <w:rPr>
          <w:noProof/>
        </w:rPr>
        <w:t xml:space="preserve">e epiphyses in this study </w:t>
      </w:r>
      <w:r w:rsidR="00EC4A2D">
        <w:rPr>
          <w:noProof/>
        </w:rPr>
        <w:t>are</w:t>
      </w:r>
      <w:r w:rsidR="00896E94">
        <w:rPr>
          <w:noProof/>
        </w:rPr>
        <w:t xml:space="preserve"> presented.  </w:t>
      </w:r>
      <w:r w:rsidR="000C5615">
        <w:rPr>
          <w:noProof/>
        </w:rPr>
        <w:t>Seriat</w:t>
      </w:r>
      <w:r w:rsidR="00B5712E">
        <w:rPr>
          <w:noProof/>
        </w:rPr>
        <w:t xml:space="preserve">ed sequences of fusion </w:t>
      </w:r>
      <w:r w:rsidR="00E15BE0">
        <w:rPr>
          <w:noProof/>
        </w:rPr>
        <w:t>are</w:t>
      </w:r>
      <w:r w:rsidR="00EC4A2D">
        <w:rPr>
          <w:noProof/>
        </w:rPr>
        <w:t xml:space="preserve"> </w:t>
      </w:r>
      <w:r w:rsidR="000C5615">
        <w:rPr>
          <w:noProof/>
        </w:rPr>
        <w:t xml:space="preserve">compared to Schaefer and Black’s (2007) modular sequence for human epiphyseal fusion.  </w:t>
      </w:r>
      <w:r w:rsidR="0034683C">
        <w:rPr>
          <w:noProof/>
        </w:rPr>
        <w:t xml:space="preserve">Following this, an analysis of the relative position of dental and epiphyseal fusion sequences </w:t>
      </w:r>
      <w:r w:rsidR="00EC4A2D">
        <w:rPr>
          <w:noProof/>
        </w:rPr>
        <w:t>is</w:t>
      </w:r>
      <w:r w:rsidR="0034683C">
        <w:rPr>
          <w:noProof/>
        </w:rPr>
        <w:t xml:space="preserve"> </w:t>
      </w:r>
      <w:r w:rsidR="00E15BE0">
        <w:rPr>
          <w:noProof/>
        </w:rPr>
        <w:t>considered</w:t>
      </w:r>
      <w:r w:rsidR="0034683C">
        <w:rPr>
          <w:noProof/>
        </w:rPr>
        <w:t xml:space="preserve">.  For the last part of this chapter, a comparison of long-bone lengths relative to epiphyseal fusion events </w:t>
      </w:r>
      <w:r w:rsidR="00EC4A2D">
        <w:rPr>
          <w:noProof/>
        </w:rPr>
        <w:t>is</w:t>
      </w:r>
      <w:r w:rsidR="0034683C">
        <w:rPr>
          <w:noProof/>
        </w:rPr>
        <w:t xml:space="preserve"> pursued by considering the timing of fusion events as a proportion of growth in length.</w:t>
      </w:r>
    </w:p>
    <w:p w:rsidR="00C37D81" w:rsidRDefault="00C02CE8" w:rsidP="00CA6657">
      <w:pPr>
        <w:rPr>
          <w:noProof/>
        </w:rPr>
      </w:pPr>
      <w:r>
        <w:rPr>
          <w:noProof/>
        </w:rPr>
        <w:t>Chapter 6</w:t>
      </w:r>
      <w:r w:rsidR="0012634B">
        <w:rPr>
          <w:noProof/>
        </w:rPr>
        <w:t xml:space="preserve"> (Discussion)</w:t>
      </w:r>
      <w:r>
        <w:rPr>
          <w:noProof/>
        </w:rPr>
        <w:t xml:space="preserve"> </w:t>
      </w:r>
      <w:r w:rsidR="0012634B">
        <w:rPr>
          <w:noProof/>
        </w:rPr>
        <w:t>consider</w:t>
      </w:r>
      <w:r w:rsidR="00EC4A2D">
        <w:rPr>
          <w:noProof/>
        </w:rPr>
        <w:t>s</w:t>
      </w:r>
      <w:r w:rsidR="0012634B">
        <w:rPr>
          <w:noProof/>
        </w:rPr>
        <w:t xml:space="preserve"> </w:t>
      </w:r>
      <w:r>
        <w:rPr>
          <w:noProof/>
        </w:rPr>
        <w:t xml:space="preserve">the implications of new information provided in the previous two chapters.  This chapter </w:t>
      </w:r>
      <w:r w:rsidR="00EC4A2D">
        <w:rPr>
          <w:noProof/>
        </w:rPr>
        <w:t>is</w:t>
      </w:r>
      <w:r>
        <w:rPr>
          <w:noProof/>
        </w:rPr>
        <w:t xml:space="preserve"> broken into two section.  The first section consider</w:t>
      </w:r>
      <w:r w:rsidR="00EC4A2D">
        <w:rPr>
          <w:noProof/>
        </w:rPr>
        <w:t>s</w:t>
      </w:r>
      <w:r>
        <w:rPr>
          <w:noProof/>
        </w:rPr>
        <w:t xml:space="preserve"> how the re</w:t>
      </w:r>
      <w:r w:rsidR="000E0FE1">
        <w:rPr>
          <w:noProof/>
        </w:rPr>
        <w:t>sults of this study</w:t>
      </w:r>
      <w:r>
        <w:rPr>
          <w:noProof/>
        </w:rPr>
        <w:t xml:space="preserve"> may be situated within the context of developmental theory.  How well these data inform debates </w:t>
      </w:r>
      <w:r w:rsidR="002A0DF5">
        <w:rPr>
          <w:noProof/>
        </w:rPr>
        <w:t>relating to growth rate and patter</w:t>
      </w:r>
      <w:r w:rsidR="00C37D81">
        <w:rPr>
          <w:noProof/>
        </w:rPr>
        <w:t>n</w:t>
      </w:r>
      <w:r w:rsidR="002A0DF5">
        <w:rPr>
          <w:noProof/>
        </w:rPr>
        <w:t xml:space="preserve"> </w:t>
      </w:r>
      <w:r w:rsidR="00EC4A2D">
        <w:rPr>
          <w:noProof/>
        </w:rPr>
        <w:t xml:space="preserve">is </w:t>
      </w:r>
      <w:r>
        <w:rPr>
          <w:noProof/>
        </w:rPr>
        <w:t>assessed.  The second section consider</w:t>
      </w:r>
      <w:r w:rsidR="00800F61">
        <w:rPr>
          <w:noProof/>
        </w:rPr>
        <w:t>s</w:t>
      </w:r>
      <w:r>
        <w:rPr>
          <w:noProof/>
        </w:rPr>
        <w:t xml:space="preserve"> what</w:t>
      </w:r>
      <w:r w:rsidR="00800F61">
        <w:rPr>
          <w:noProof/>
        </w:rPr>
        <w:t xml:space="preserve"> the</w:t>
      </w:r>
      <w:r>
        <w:rPr>
          <w:noProof/>
        </w:rPr>
        <w:t xml:space="preserve"> implication these results have for the study of fossil hominids.  The Nariokotome </w:t>
      </w:r>
      <w:r w:rsidR="00C37D81">
        <w:rPr>
          <w:i/>
          <w:noProof/>
        </w:rPr>
        <w:t>Homo ergaster</w:t>
      </w:r>
      <w:r w:rsidR="000E0FE1">
        <w:rPr>
          <w:noProof/>
        </w:rPr>
        <w:t xml:space="preserve"> specimens</w:t>
      </w:r>
      <w:r>
        <w:rPr>
          <w:noProof/>
        </w:rPr>
        <w:t xml:space="preserve"> is a pertinent example and an analysis of this individual </w:t>
      </w:r>
      <w:r w:rsidR="00800F61">
        <w:rPr>
          <w:noProof/>
        </w:rPr>
        <w:t xml:space="preserve">is </w:t>
      </w:r>
      <w:r>
        <w:rPr>
          <w:noProof/>
        </w:rPr>
        <w:t>discussed.</w:t>
      </w:r>
    </w:p>
    <w:p w:rsidR="00757AD7" w:rsidRDefault="00C37D81" w:rsidP="00CA6657">
      <w:pPr>
        <w:rPr>
          <w:noProof/>
        </w:rPr>
      </w:pPr>
      <w:r>
        <w:rPr>
          <w:noProof/>
        </w:rPr>
        <w:t xml:space="preserve">Chapter 7 (Concluding Remarks) provides an assessment of the </w:t>
      </w:r>
      <w:r w:rsidR="000B359F">
        <w:rPr>
          <w:noProof/>
        </w:rPr>
        <w:t xml:space="preserve">general </w:t>
      </w:r>
      <w:r>
        <w:rPr>
          <w:noProof/>
        </w:rPr>
        <w:t xml:space="preserve">findings of this study.  </w:t>
      </w:r>
      <w:r w:rsidR="0077583C">
        <w:rPr>
          <w:noProof/>
        </w:rPr>
        <w:t xml:space="preserve">The implications </w:t>
      </w:r>
      <w:r w:rsidR="00FF7020">
        <w:rPr>
          <w:noProof/>
        </w:rPr>
        <w:t xml:space="preserve">that </w:t>
      </w:r>
      <w:r w:rsidR="000B359F">
        <w:rPr>
          <w:noProof/>
        </w:rPr>
        <w:t xml:space="preserve">this new information has </w:t>
      </w:r>
      <w:r w:rsidR="0077583C">
        <w:rPr>
          <w:noProof/>
        </w:rPr>
        <w:t xml:space="preserve">for </w:t>
      </w:r>
      <w:r w:rsidR="00FF7020">
        <w:rPr>
          <w:noProof/>
        </w:rPr>
        <w:t xml:space="preserve">the study of developmental theory </w:t>
      </w:r>
      <w:r w:rsidR="000B359F">
        <w:rPr>
          <w:noProof/>
        </w:rPr>
        <w:t>is discussed</w:t>
      </w:r>
      <w:r w:rsidR="00EE5F53">
        <w:rPr>
          <w:noProof/>
        </w:rPr>
        <w:t>.  T</w:t>
      </w:r>
      <w:r w:rsidR="000B359F">
        <w:rPr>
          <w:noProof/>
        </w:rPr>
        <w:t>he consequences for the study of fossil hominids</w:t>
      </w:r>
      <w:r w:rsidR="00EE5F53">
        <w:rPr>
          <w:noProof/>
        </w:rPr>
        <w:t xml:space="preserve"> are also </w:t>
      </w:r>
      <w:r w:rsidR="006549CF">
        <w:rPr>
          <w:noProof/>
        </w:rPr>
        <w:t>reviewed</w:t>
      </w:r>
      <w:r w:rsidR="0077583C">
        <w:t xml:space="preserve">.  </w:t>
      </w:r>
      <w:r w:rsidR="001E5E36">
        <w:t>S</w:t>
      </w:r>
      <w:r>
        <w:rPr>
          <w:noProof/>
        </w:rPr>
        <w:t xml:space="preserve">uggestions for further </w:t>
      </w:r>
      <w:r w:rsidR="00D43D24">
        <w:rPr>
          <w:noProof/>
        </w:rPr>
        <w:t>research</w:t>
      </w:r>
      <w:r>
        <w:rPr>
          <w:noProof/>
        </w:rPr>
        <w:t xml:space="preserve"> </w:t>
      </w:r>
      <w:r w:rsidR="001E5E36">
        <w:rPr>
          <w:noProof/>
        </w:rPr>
        <w:t xml:space="preserve">are </w:t>
      </w:r>
      <w:r>
        <w:rPr>
          <w:noProof/>
        </w:rPr>
        <w:t>made.</w:t>
      </w:r>
    </w:p>
    <w:p w:rsidR="00CA6657" w:rsidRDefault="00CA6657" w:rsidP="00D114F9">
      <w:pPr>
        <w:spacing w:before="0" w:after="200" w:line="276" w:lineRule="auto"/>
        <w:ind w:firstLine="284"/>
        <w:jc w:val="left"/>
      </w:pPr>
      <w:r>
        <w:br w:type="page"/>
      </w:r>
    </w:p>
    <w:p w:rsidR="006110DE" w:rsidRPr="00CA6657" w:rsidRDefault="006110DE" w:rsidP="003F2CED">
      <w:pPr>
        <w:pStyle w:val="Heading1"/>
        <w:rPr>
          <w:noProof/>
        </w:rPr>
      </w:pPr>
      <w:bookmarkStart w:id="18" w:name="_Toc373477715"/>
      <w:bookmarkStart w:id="19" w:name="_Toc373480713"/>
      <w:r>
        <w:rPr>
          <w:noProof/>
        </w:rPr>
        <w:lastRenderedPageBreak/>
        <w:t>Background</w:t>
      </w:r>
      <w:bookmarkEnd w:id="18"/>
      <w:bookmarkEnd w:id="19"/>
    </w:p>
    <w:p w:rsidR="008124CA" w:rsidRPr="00C52454" w:rsidRDefault="006110DE" w:rsidP="00D263E8">
      <w:pPr>
        <w:pStyle w:val="Heading2"/>
        <w:rPr>
          <w:rStyle w:val="CommentReference"/>
          <w:sz w:val="22"/>
          <w:szCs w:val="36"/>
        </w:rPr>
      </w:pPr>
      <w:bookmarkStart w:id="20" w:name="_Toc373477716"/>
      <w:bookmarkStart w:id="21" w:name="_Toc373480714"/>
      <w:r>
        <w:t>Theoretical approaches to growth</w:t>
      </w:r>
      <w:bookmarkEnd w:id="20"/>
      <w:bookmarkEnd w:id="21"/>
    </w:p>
    <w:p w:rsidR="006110DE" w:rsidRPr="00C52454" w:rsidRDefault="008124CA" w:rsidP="00C52454">
      <w:pPr>
        <w:rPr>
          <w:noProof/>
        </w:rPr>
      </w:pPr>
      <w:r>
        <w:rPr>
          <w:noProof/>
        </w:rPr>
        <w:t>T</w:t>
      </w:r>
      <w:r w:rsidR="006110DE">
        <w:rPr>
          <w:noProof/>
        </w:rPr>
        <w:t>his study observes growth for three separate systems of development</w:t>
      </w:r>
      <w:r w:rsidR="00817033">
        <w:rPr>
          <w:noProof/>
        </w:rPr>
        <w:t>;</w:t>
      </w:r>
      <w:r w:rsidR="006110DE">
        <w:rPr>
          <w:noProof/>
        </w:rPr>
        <w:t xml:space="preserve"> epiphyseal fusion, dentition, and long-bone length.  These three </w:t>
      </w:r>
      <w:r w:rsidR="00486FD7">
        <w:rPr>
          <w:noProof/>
        </w:rPr>
        <w:t>systems</w:t>
      </w:r>
      <w:r w:rsidR="006110DE">
        <w:rPr>
          <w:noProof/>
        </w:rPr>
        <w:t xml:space="preserve"> have factored largely in developmental modelling alongside other variables not directly measured in this research.  </w:t>
      </w:r>
      <w:r w:rsidR="005128D6">
        <w:rPr>
          <w:noProof/>
        </w:rPr>
        <w:t>To</w:t>
      </w:r>
      <w:r w:rsidR="000C466C">
        <w:rPr>
          <w:noProof/>
        </w:rPr>
        <w:t xml:space="preserve"> begin</w:t>
      </w:r>
      <w:r w:rsidR="006C6AB6">
        <w:rPr>
          <w:noProof/>
        </w:rPr>
        <w:t xml:space="preserve"> this discussion</w:t>
      </w:r>
      <w:r w:rsidR="000C466C">
        <w:rPr>
          <w:noProof/>
        </w:rPr>
        <w:t xml:space="preserve"> </w:t>
      </w:r>
      <w:r w:rsidR="006110DE">
        <w:rPr>
          <w:noProof/>
        </w:rPr>
        <w:t xml:space="preserve">fundamental concepts </w:t>
      </w:r>
      <w:r w:rsidR="005128D6">
        <w:rPr>
          <w:noProof/>
        </w:rPr>
        <w:t xml:space="preserve">are defined followed by </w:t>
      </w:r>
      <w:r w:rsidR="006110DE">
        <w:rPr>
          <w:noProof/>
        </w:rPr>
        <w:t>an introduc</w:t>
      </w:r>
      <w:r w:rsidR="005128D6">
        <w:rPr>
          <w:noProof/>
        </w:rPr>
        <w:t>tion of</w:t>
      </w:r>
      <w:r w:rsidR="006110DE">
        <w:rPr>
          <w:noProof/>
        </w:rPr>
        <w:t xml:space="preserve"> the applications of heteroch</w:t>
      </w:r>
      <w:r w:rsidR="000C783B">
        <w:rPr>
          <w:noProof/>
        </w:rPr>
        <w:t>rony and developmental theory.</w:t>
      </w:r>
    </w:p>
    <w:p w:rsidR="006110DE" w:rsidRPr="003C4423" w:rsidRDefault="006110DE" w:rsidP="00D263E8">
      <w:pPr>
        <w:pStyle w:val="Heading3"/>
      </w:pPr>
      <w:bookmarkStart w:id="22" w:name="_Toc373477717"/>
      <w:bookmarkStart w:id="23" w:name="_Toc373480715"/>
      <w:r w:rsidRPr="003C4423">
        <w:t>Fundamental concepts</w:t>
      </w:r>
      <w:r>
        <w:t>: measuring skeletal growth</w:t>
      </w:r>
      <w:bookmarkEnd w:id="22"/>
      <w:bookmarkEnd w:id="23"/>
    </w:p>
    <w:p w:rsidR="00690759" w:rsidRDefault="007E2F4D" w:rsidP="00C52454">
      <w:pPr>
        <w:rPr>
          <w:noProof/>
          <w:color w:val="000000"/>
        </w:rPr>
      </w:pPr>
      <w:r w:rsidRPr="004526C0">
        <w:rPr>
          <w:noProof/>
        </w:rPr>
        <w:t xml:space="preserve">All living organisms, including mammals, grow and develop according to a set of instructions </w:t>
      </w:r>
      <w:r w:rsidR="009465FC" w:rsidRPr="004526C0">
        <w:rPr>
          <w:noProof/>
        </w:rPr>
        <w:t xml:space="preserve">given by </w:t>
      </w:r>
      <w:r w:rsidRPr="004526C0">
        <w:rPr>
          <w:noProof/>
        </w:rPr>
        <w:t xml:space="preserve">their genotype.  In recent years molecular biology has undergone a veritable revolution in decoding these instructions </w:t>
      </w:r>
      <w:r w:rsidR="009465FC" w:rsidRPr="004526C0">
        <w:rPr>
          <w:noProof/>
        </w:rPr>
        <w:t>and finding out how these</w:t>
      </w:r>
      <w:r w:rsidRPr="004526C0">
        <w:rPr>
          <w:noProof/>
        </w:rPr>
        <w:t xml:space="preserve"> system</w:t>
      </w:r>
      <w:r w:rsidR="009465FC" w:rsidRPr="004526C0">
        <w:rPr>
          <w:noProof/>
        </w:rPr>
        <w:t>s</w:t>
      </w:r>
      <w:r w:rsidRPr="004526C0">
        <w:rPr>
          <w:noProof/>
        </w:rPr>
        <w:t xml:space="preserve"> works.  Many regulators of growth such </w:t>
      </w:r>
      <w:r w:rsidR="009465FC" w:rsidRPr="004526C0">
        <w:rPr>
          <w:noProof/>
        </w:rPr>
        <w:t xml:space="preserve">as </w:t>
      </w:r>
      <w:r w:rsidR="004526C0" w:rsidRPr="004526C0">
        <w:rPr>
          <w:noProof/>
        </w:rPr>
        <w:t>IGF-I</w:t>
      </w:r>
      <w:r w:rsidR="009465FC" w:rsidRPr="004526C0">
        <w:rPr>
          <w:noProof/>
        </w:rPr>
        <w:t xml:space="preserve"> </w:t>
      </w:r>
      <w:r w:rsidR="00E5449E" w:rsidRPr="004526C0">
        <w:rPr>
          <w:noProof/>
        </w:rPr>
        <w:t>(e.g.</w:t>
      </w:r>
      <w:r w:rsidR="00B6096B">
        <w:rPr>
          <w:noProof/>
        </w:rPr>
        <w:t>,</w:t>
      </w:r>
      <w:r w:rsidR="00E5449E" w:rsidRPr="004526C0">
        <w:rPr>
          <w:noProof/>
        </w:rPr>
        <w:t xml:space="preserve"> </w:t>
      </w:r>
      <w:r w:rsidR="004526C0" w:rsidRPr="004526C0">
        <w:rPr>
          <w:noProof/>
        </w:rPr>
        <w:t>Chia</w:t>
      </w:r>
      <w:r w:rsidR="004526C0">
        <w:rPr>
          <w:noProof/>
        </w:rPr>
        <w:t xml:space="preserve"> </w:t>
      </w:r>
      <w:r w:rsidR="004526C0">
        <w:rPr>
          <w:i/>
          <w:noProof/>
        </w:rPr>
        <w:t>et al.</w:t>
      </w:r>
      <w:r w:rsidR="004526C0" w:rsidRPr="004526C0">
        <w:rPr>
          <w:noProof/>
        </w:rPr>
        <w:t xml:space="preserve"> 2006</w:t>
      </w:r>
      <w:r w:rsidR="00043A04" w:rsidRPr="004526C0">
        <w:rPr>
          <w:noProof/>
        </w:rPr>
        <w:t>)</w:t>
      </w:r>
      <w:r w:rsidRPr="004526C0">
        <w:rPr>
          <w:noProof/>
        </w:rPr>
        <w:t xml:space="preserve"> have been identified and</w:t>
      </w:r>
      <w:r w:rsidR="007912FA">
        <w:rPr>
          <w:noProof/>
        </w:rPr>
        <w:t xml:space="preserve"> research within</w:t>
      </w:r>
      <w:r w:rsidRPr="004526C0">
        <w:rPr>
          <w:noProof/>
        </w:rPr>
        <w:t xml:space="preserve"> the field will continue to improve th</w:t>
      </w:r>
      <w:r w:rsidR="007912FA">
        <w:rPr>
          <w:noProof/>
        </w:rPr>
        <w:t>e understanding of development at a molecular level</w:t>
      </w:r>
      <w:r w:rsidRPr="004526C0">
        <w:rPr>
          <w:noProof/>
        </w:rPr>
        <w:t xml:space="preserve">. </w:t>
      </w:r>
      <w:r>
        <w:rPr>
          <w:noProof/>
          <w:color w:val="000000"/>
        </w:rPr>
        <w:t xml:space="preserve"> However, the study of genetics is still </w:t>
      </w:r>
      <w:r w:rsidR="009D0C8E">
        <w:rPr>
          <w:noProof/>
          <w:color w:val="000000"/>
        </w:rPr>
        <w:t xml:space="preserve">far </w:t>
      </w:r>
      <w:r>
        <w:rPr>
          <w:noProof/>
          <w:color w:val="000000"/>
        </w:rPr>
        <w:t xml:space="preserve">from being able to describe growth in terms of morphology and the triggers for ossification and fusion events.  </w:t>
      </w:r>
      <w:r w:rsidR="00FE6459">
        <w:rPr>
          <w:noProof/>
          <w:color w:val="000000"/>
        </w:rPr>
        <w:t>Present understanding is able to identify the function of individual proteins and hormones, as well as the c</w:t>
      </w:r>
      <w:r w:rsidR="00E61AB5">
        <w:rPr>
          <w:noProof/>
          <w:color w:val="000000"/>
        </w:rPr>
        <w:t xml:space="preserve">onsequences of mutation in the </w:t>
      </w:r>
      <w:r w:rsidR="00FE6459">
        <w:rPr>
          <w:noProof/>
          <w:color w:val="000000"/>
        </w:rPr>
        <w:t>genes that code for them, but the complete picture required to establish exactly how these systems work at a molecular level</w:t>
      </w:r>
      <w:r w:rsidR="00B67D59">
        <w:rPr>
          <w:noProof/>
          <w:color w:val="000000"/>
        </w:rPr>
        <w:t xml:space="preserve"> is still missing</w:t>
      </w:r>
      <w:r w:rsidR="00FE6459">
        <w:rPr>
          <w:noProof/>
          <w:color w:val="000000"/>
        </w:rPr>
        <w:t xml:space="preserve">.  Thus, the understanding of growth is still dependent on looking for patterns in what is physically observable, which in this study is bones.  </w:t>
      </w:r>
      <w:r w:rsidR="006110DE">
        <w:rPr>
          <w:noProof/>
          <w:color w:val="000000"/>
        </w:rPr>
        <w:t xml:space="preserve">The mammalian world is replete </w:t>
      </w:r>
      <w:r w:rsidR="00E750F4">
        <w:rPr>
          <w:noProof/>
          <w:color w:val="000000"/>
        </w:rPr>
        <w:t xml:space="preserve">with </w:t>
      </w:r>
      <w:r w:rsidR="00FE6459">
        <w:rPr>
          <w:noProof/>
          <w:color w:val="000000"/>
        </w:rPr>
        <w:t xml:space="preserve">variation in skeletal </w:t>
      </w:r>
      <w:r w:rsidR="006110DE">
        <w:rPr>
          <w:noProof/>
          <w:color w:val="000000"/>
        </w:rPr>
        <w:t>morpholog</w:t>
      </w:r>
      <w:r w:rsidR="00FE6459">
        <w:rPr>
          <w:noProof/>
          <w:color w:val="000000"/>
        </w:rPr>
        <w:t xml:space="preserve">y </w:t>
      </w:r>
      <w:r w:rsidR="006110DE">
        <w:rPr>
          <w:noProof/>
          <w:color w:val="000000"/>
        </w:rPr>
        <w:t>and diversity but there remain the same intrinsic structures</w:t>
      </w:r>
      <w:r w:rsidR="00FE6459">
        <w:rPr>
          <w:noProof/>
          <w:color w:val="000000"/>
        </w:rPr>
        <w:t>.  All of the bones found in a human can be found in</w:t>
      </w:r>
      <w:r w:rsidR="00536F54">
        <w:rPr>
          <w:noProof/>
          <w:color w:val="000000"/>
        </w:rPr>
        <w:t xml:space="preserve"> for example</w:t>
      </w:r>
      <w:r w:rsidR="00804FE7">
        <w:rPr>
          <w:noProof/>
          <w:color w:val="000000"/>
        </w:rPr>
        <w:t xml:space="preserve"> a ba</w:t>
      </w:r>
      <w:r w:rsidR="00FE6459">
        <w:rPr>
          <w:noProof/>
          <w:color w:val="000000"/>
        </w:rPr>
        <w:t xml:space="preserve">boon, despite differences in shape and proportion.  </w:t>
      </w:r>
      <w:r w:rsidR="006110DE">
        <w:rPr>
          <w:noProof/>
          <w:color w:val="000000"/>
        </w:rPr>
        <w:t xml:space="preserve">The study of growth relies on assessing modifications of </w:t>
      </w:r>
      <w:r w:rsidR="00FE6459">
        <w:rPr>
          <w:noProof/>
          <w:color w:val="000000"/>
        </w:rPr>
        <w:t xml:space="preserve">these </w:t>
      </w:r>
      <w:r w:rsidR="006110DE">
        <w:rPr>
          <w:noProof/>
          <w:color w:val="000000"/>
        </w:rPr>
        <w:t xml:space="preserve">structures and explaining </w:t>
      </w:r>
      <w:r w:rsidR="003E3357">
        <w:rPr>
          <w:noProof/>
          <w:color w:val="000000"/>
        </w:rPr>
        <w:t>such changes by proposed adaptative mechanisms</w:t>
      </w:r>
      <w:r w:rsidR="006110DE">
        <w:rPr>
          <w:noProof/>
          <w:color w:val="000000"/>
        </w:rPr>
        <w:t>.</w:t>
      </w:r>
    </w:p>
    <w:p w:rsidR="00CF453D" w:rsidRDefault="006110DE" w:rsidP="00C52454">
      <w:pPr>
        <w:rPr>
          <w:noProof/>
        </w:rPr>
      </w:pPr>
      <w:r>
        <w:rPr>
          <w:noProof/>
        </w:rPr>
        <w:t>For skeletal growth there are two basic variables to consider: growth rate and event sequence patterns.</w:t>
      </w:r>
      <w:r w:rsidR="00CF453D">
        <w:rPr>
          <w:noProof/>
        </w:rPr>
        <w:t xml:space="preserve">  </w:t>
      </w:r>
      <w:r w:rsidR="00536F54">
        <w:rPr>
          <w:noProof/>
        </w:rPr>
        <w:t>Growth rate will be considered first</w:t>
      </w:r>
      <w:r w:rsidR="00CF453D">
        <w:rPr>
          <w:noProof/>
        </w:rPr>
        <w:t xml:space="preserve">.  This </w:t>
      </w:r>
      <w:r w:rsidR="006D15D5">
        <w:rPr>
          <w:noProof/>
        </w:rPr>
        <w:t xml:space="preserve">may refer to </w:t>
      </w:r>
      <w:r>
        <w:rPr>
          <w:noProof/>
        </w:rPr>
        <w:t>overall somatic growth of an organism as a proportion of final adult size</w:t>
      </w:r>
      <w:r w:rsidR="00CF453D">
        <w:rPr>
          <w:noProof/>
        </w:rPr>
        <w:t xml:space="preserve"> or the relative growth of specific elements</w:t>
      </w:r>
      <w:r w:rsidR="006D15D5">
        <w:rPr>
          <w:noProof/>
        </w:rPr>
        <w:t xml:space="preserve">.  </w:t>
      </w:r>
      <w:r w:rsidR="00CF453D">
        <w:rPr>
          <w:noProof/>
        </w:rPr>
        <w:t>Overall somatic growth is often measured as a function of mass vs. time or another general measure</w:t>
      </w:r>
      <w:r w:rsidR="00334F00">
        <w:rPr>
          <w:noProof/>
        </w:rPr>
        <w:t xml:space="preserve"> such</w:t>
      </w:r>
      <w:r w:rsidR="00CF453D">
        <w:rPr>
          <w:noProof/>
        </w:rPr>
        <w:t xml:space="preserve"> as anterior trunk length.  Examples of such studies for chimpanzees include Hamada </w:t>
      </w:r>
      <w:r w:rsidR="00CF453D">
        <w:rPr>
          <w:i/>
          <w:noProof/>
        </w:rPr>
        <w:t>et al.</w:t>
      </w:r>
      <w:r w:rsidR="005F0F2F">
        <w:rPr>
          <w:noProof/>
        </w:rPr>
        <w:t xml:space="preserve"> 1996,</w:t>
      </w:r>
      <w:r w:rsidR="00CF453D">
        <w:rPr>
          <w:noProof/>
        </w:rPr>
        <w:t xml:space="preserve"> Hamada </w:t>
      </w:r>
      <w:r w:rsidR="00CF453D">
        <w:rPr>
          <w:i/>
          <w:noProof/>
        </w:rPr>
        <w:t>et al.</w:t>
      </w:r>
      <w:r w:rsidR="00CF453D">
        <w:rPr>
          <w:noProof/>
        </w:rPr>
        <w:t xml:space="preserve"> 2003, Hamada and Ud</w:t>
      </w:r>
      <w:r w:rsidR="003517A3">
        <w:rPr>
          <w:noProof/>
        </w:rPr>
        <w:t>ono 2002</w:t>
      </w:r>
      <w:r w:rsidR="00741FFB">
        <w:rPr>
          <w:noProof/>
        </w:rPr>
        <w:t>,</w:t>
      </w:r>
      <w:r w:rsidR="003517A3">
        <w:rPr>
          <w:noProof/>
        </w:rPr>
        <w:t xml:space="preserve"> and</w:t>
      </w:r>
      <w:r w:rsidR="00CF453D">
        <w:rPr>
          <w:noProof/>
        </w:rPr>
        <w:t xml:space="preserve"> Schultz 1960.  These types of measures are informative in the sense that they take into account the effect of many different systems at once.  </w:t>
      </w:r>
      <w:r w:rsidR="00A82EF9">
        <w:rPr>
          <w:noProof/>
        </w:rPr>
        <w:t>It is known that c</w:t>
      </w:r>
      <w:r w:rsidR="00CF453D">
        <w:rPr>
          <w:noProof/>
        </w:rPr>
        <w:t>himpanzees and humans gain mass at different rates and for different durations of time.</w:t>
      </w:r>
      <w:r w:rsidR="001962F4">
        <w:rPr>
          <w:noProof/>
        </w:rPr>
        <w:t xml:space="preserve">  Humans have specific sub-adult stages, specifically childhood and adolescence, which are believed to have been specifically </w:t>
      </w:r>
      <w:r w:rsidR="001962F4">
        <w:rPr>
          <w:noProof/>
        </w:rPr>
        <w:lastRenderedPageBreak/>
        <w:t xml:space="preserve">selected for in the human lineage and are not shared with </w:t>
      </w:r>
      <w:r w:rsidR="001962F4">
        <w:rPr>
          <w:i/>
          <w:noProof/>
        </w:rPr>
        <w:t>Pan</w:t>
      </w:r>
      <w:r w:rsidR="001962F4" w:rsidRPr="0033085A">
        <w:rPr>
          <w:noProof/>
        </w:rPr>
        <w:t xml:space="preserve"> </w:t>
      </w:r>
      <w:r w:rsidR="001962F4">
        <w:rPr>
          <w:noProof/>
        </w:rPr>
        <w:t xml:space="preserve">(Bogin 1997).  </w:t>
      </w:r>
      <w:r w:rsidR="00CF453D">
        <w:rPr>
          <w:noProof/>
        </w:rPr>
        <w:t>Thus, the study of this key variable suggests that all of the more specific systems of skeletal development</w:t>
      </w:r>
      <w:r w:rsidR="00DF294A">
        <w:rPr>
          <w:noProof/>
        </w:rPr>
        <w:t xml:space="preserve"> </w:t>
      </w:r>
      <w:r w:rsidR="00CF453D">
        <w:rPr>
          <w:noProof/>
        </w:rPr>
        <w:t xml:space="preserve">must likewise be </w:t>
      </w:r>
      <w:r w:rsidR="007D6F1D">
        <w:rPr>
          <w:noProof/>
        </w:rPr>
        <w:t>developing at different rates.</w:t>
      </w:r>
    </w:p>
    <w:p w:rsidR="00E151E0" w:rsidRPr="001962F4" w:rsidRDefault="002710CE" w:rsidP="0080274E">
      <w:pPr>
        <w:rPr>
          <w:noProof/>
        </w:rPr>
      </w:pPr>
      <w:r>
        <w:rPr>
          <w:noProof/>
        </w:rPr>
        <w:t xml:space="preserve">The next step of an analysis of growth </w:t>
      </w:r>
      <w:r w:rsidR="001B0860">
        <w:rPr>
          <w:noProof/>
        </w:rPr>
        <w:t xml:space="preserve">rates </w:t>
      </w:r>
      <w:r w:rsidR="00602762">
        <w:rPr>
          <w:noProof/>
        </w:rPr>
        <w:t>is to consider how different growth rate is manifest in comparisons of specific elements</w:t>
      </w:r>
      <w:r>
        <w:rPr>
          <w:noProof/>
        </w:rPr>
        <w:t xml:space="preserve">.  </w:t>
      </w:r>
      <w:r w:rsidR="00602762">
        <w:rPr>
          <w:noProof/>
        </w:rPr>
        <w:t>This</w:t>
      </w:r>
      <w:r w:rsidR="006110DE">
        <w:rPr>
          <w:noProof/>
        </w:rPr>
        <w:t xml:space="preserve"> may be expressed as a functional relationship between two or more elements.  For example, human cranial growth is much in advance of post-cranial growth (Leigh 2004).  Growth rates may also differ even within single skeletal elements.  For example, </w:t>
      </w:r>
      <w:r w:rsidR="00131000">
        <w:rPr>
          <w:noProof/>
        </w:rPr>
        <w:t xml:space="preserve">in humans and mammals generally, </w:t>
      </w:r>
      <w:r w:rsidR="001B0860">
        <w:rPr>
          <w:noProof/>
        </w:rPr>
        <w:t>bone growth at</w:t>
      </w:r>
      <w:r w:rsidR="006110DE">
        <w:rPr>
          <w:noProof/>
        </w:rPr>
        <w:t xml:space="preserve"> the proximal humerus contributes to the majority of growth in length and matures years after cessation in growth of the distal portion (Scheuer and Black 2004).  Both ends of this bone contribute to growth in length but at different rates and for different periods of time.  </w:t>
      </w:r>
      <w:r w:rsidR="001B0860">
        <w:rPr>
          <w:noProof/>
        </w:rPr>
        <w:t>Changes in the relative length of bones during growth, if the</w:t>
      </w:r>
      <w:r w:rsidR="009C73E8">
        <w:rPr>
          <w:noProof/>
        </w:rPr>
        <w:t>y</w:t>
      </w:r>
      <w:r w:rsidR="001B0860">
        <w:rPr>
          <w:noProof/>
        </w:rPr>
        <w:t xml:space="preserve"> are present, may also relate to such differences in growth rat</w:t>
      </w:r>
      <w:r w:rsidR="007D6F1D">
        <w:rPr>
          <w:noProof/>
        </w:rPr>
        <w:t>es between differing elements.</w:t>
      </w:r>
    </w:p>
    <w:p w:rsidR="00D7688C" w:rsidRDefault="00BA3959" w:rsidP="0080274E">
      <w:pPr>
        <w:rPr>
          <w:noProof/>
        </w:rPr>
      </w:pPr>
      <w:r>
        <w:rPr>
          <w:noProof/>
        </w:rPr>
        <w:t>Sequences in development are</w:t>
      </w:r>
      <w:r w:rsidR="006110DE">
        <w:rPr>
          <w:noProof/>
        </w:rPr>
        <w:t xml:space="preserve"> marked by distinct maturational events such as </w:t>
      </w:r>
      <w:r>
        <w:rPr>
          <w:noProof/>
        </w:rPr>
        <w:t xml:space="preserve">the </w:t>
      </w:r>
      <w:r w:rsidR="006110DE">
        <w:rPr>
          <w:noProof/>
        </w:rPr>
        <w:t>formation of ossification centres, tooth emergence, and epiphyseal fusion</w:t>
      </w:r>
      <w:r w:rsidR="008B00E1">
        <w:rPr>
          <w:noProof/>
        </w:rPr>
        <w:t>.  Examples of such sequences are provided for humans in many reference texts</w:t>
      </w:r>
      <w:r w:rsidR="006110DE">
        <w:rPr>
          <w:noProof/>
        </w:rPr>
        <w:t xml:space="preserve"> (</w:t>
      </w:r>
      <w:r w:rsidR="00612123">
        <w:rPr>
          <w:noProof/>
        </w:rPr>
        <w:t>e.g.,</w:t>
      </w:r>
      <w:r w:rsidR="00FF6D7A">
        <w:rPr>
          <w:noProof/>
        </w:rPr>
        <w:t xml:space="preserve"> </w:t>
      </w:r>
      <w:r w:rsidR="00612123">
        <w:rPr>
          <w:noProof/>
        </w:rPr>
        <w:t xml:space="preserve">Schaefer </w:t>
      </w:r>
      <w:r w:rsidR="00612123">
        <w:rPr>
          <w:i/>
          <w:noProof/>
        </w:rPr>
        <w:t xml:space="preserve">et al. </w:t>
      </w:r>
      <w:r w:rsidR="00612123">
        <w:rPr>
          <w:noProof/>
        </w:rPr>
        <w:t>2009, Scheuer and Black 2004</w:t>
      </w:r>
      <w:r w:rsidR="006110DE">
        <w:rPr>
          <w:noProof/>
        </w:rPr>
        <w:t xml:space="preserve">).  These events do not </w:t>
      </w:r>
      <w:r w:rsidR="00CC0516">
        <w:rPr>
          <w:noProof/>
        </w:rPr>
        <w:t>occur simultaneously</w:t>
      </w:r>
      <w:r w:rsidR="008B00E1">
        <w:rPr>
          <w:noProof/>
        </w:rPr>
        <w:t xml:space="preserve"> </w:t>
      </w:r>
      <w:r w:rsidR="006110DE">
        <w:rPr>
          <w:noProof/>
        </w:rPr>
        <w:t xml:space="preserve">during growth and are found to follow </w:t>
      </w:r>
      <w:r w:rsidR="002A37A0">
        <w:rPr>
          <w:noProof/>
        </w:rPr>
        <w:t>a predictable order</w:t>
      </w:r>
      <w:r w:rsidR="006110DE">
        <w:rPr>
          <w:noProof/>
        </w:rPr>
        <w:t xml:space="preserve">.  </w:t>
      </w:r>
      <w:r w:rsidR="00D7688C">
        <w:rPr>
          <w:noProof/>
        </w:rPr>
        <w:t xml:space="preserve">Particular sub-systems appear to have </w:t>
      </w:r>
      <w:r w:rsidR="00DD44A9">
        <w:rPr>
          <w:noProof/>
        </w:rPr>
        <w:t xml:space="preserve">sequences that are </w:t>
      </w:r>
      <w:r w:rsidR="00D7688C">
        <w:rPr>
          <w:noProof/>
        </w:rPr>
        <w:t>independen</w:t>
      </w:r>
      <w:r w:rsidR="00DD44A9">
        <w:rPr>
          <w:noProof/>
        </w:rPr>
        <w:t>t</w:t>
      </w:r>
      <w:r w:rsidR="00D7688C">
        <w:rPr>
          <w:noProof/>
        </w:rPr>
        <w:t xml:space="preserve"> from each other such as dental development and skeletal fusion.  </w:t>
      </w:r>
      <w:r w:rsidR="007E2357">
        <w:rPr>
          <w:noProof/>
        </w:rPr>
        <w:t>This has notably been observed in stressed human populations where dental and skeletal development deviate from one another (</w:t>
      </w:r>
      <w:r w:rsidR="00F22DC0">
        <w:rPr>
          <w:noProof/>
        </w:rPr>
        <w:t xml:space="preserve">Demirjian </w:t>
      </w:r>
      <w:r w:rsidR="00F22DC0">
        <w:rPr>
          <w:i/>
          <w:noProof/>
        </w:rPr>
        <w:t>et al</w:t>
      </w:r>
      <w:r w:rsidR="00F43FE5">
        <w:rPr>
          <w:i/>
          <w:noProof/>
        </w:rPr>
        <w:t>.</w:t>
      </w:r>
      <w:r w:rsidR="00F22DC0">
        <w:rPr>
          <w:i/>
          <w:noProof/>
        </w:rPr>
        <w:t xml:space="preserve"> </w:t>
      </w:r>
      <w:r w:rsidR="00F22DC0">
        <w:rPr>
          <w:noProof/>
        </w:rPr>
        <w:t>1985, Lewis and Garn 1960,</w:t>
      </w:r>
      <w:r w:rsidR="00F22DC0" w:rsidRPr="00E12AF8">
        <w:rPr>
          <w:b/>
          <w:noProof/>
        </w:rPr>
        <w:t xml:space="preserve"> </w:t>
      </w:r>
      <w:r w:rsidR="00F22DC0">
        <w:rPr>
          <w:noProof/>
        </w:rPr>
        <w:t>Smith</w:t>
      </w:r>
      <w:r w:rsidR="00F22DC0" w:rsidRPr="00E12AF8">
        <w:rPr>
          <w:noProof/>
        </w:rPr>
        <w:t xml:space="preserve"> 1991</w:t>
      </w:r>
      <w:r w:rsidR="00F22DC0">
        <w:rPr>
          <w:noProof/>
        </w:rPr>
        <w:t>).</w:t>
      </w:r>
    </w:p>
    <w:p w:rsidR="00A21CD3" w:rsidRPr="00AC1F36" w:rsidRDefault="0072761B" w:rsidP="00AC1F36">
      <w:pPr>
        <w:rPr>
          <w:noProof/>
        </w:rPr>
      </w:pPr>
      <w:r>
        <w:rPr>
          <w:noProof/>
        </w:rPr>
        <w:t>The difference</w:t>
      </w:r>
      <w:r w:rsidR="00654609">
        <w:rPr>
          <w:noProof/>
        </w:rPr>
        <w:t>s</w:t>
      </w:r>
      <w:r>
        <w:rPr>
          <w:noProof/>
        </w:rPr>
        <w:t xml:space="preserve"> between developmental sequences and rates </w:t>
      </w:r>
      <w:r w:rsidR="006110DE">
        <w:rPr>
          <w:noProof/>
        </w:rPr>
        <w:t xml:space="preserve">of growth </w:t>
      </w:r>
      <w:r>
        <w:rPr>
          <w:noProof/>
        </w:rPr>
        <w:t xml:space="preserve">require some further </w:t>
      </w:r>
      <w:r w:rsidR="00D64467">
        <w:rPr>
          <w:noProof/>
        </w:rPr>
        <w:t>discussion</w:t>
      </w:r>
      <w:r w:rsidR="006110DE">
        <w:rPr>
          <w:noProof/>
        </w:rPr>
        <w:t xml:space="preserve">.  </w:t>
      </w:r>
      <w:r w:rsidR="00843A8D">
        <w:rPr>
          <w:noProof/>
        </w:rPr>
        <w:t xml:space="preserve">Consider a hypothetical example where </w:t>
      </w:r>
      <w:r w:rsidR="006110DE">
        <w:rPr>
          <w:noProof/>
        </w:rPr>
        <w:t>two species have exactly the same pattern of epiphy</w:t>
      </w:r>
      <w:r w:rsidR="00A423F4">
        <w:rPr>
          <w:noProof/>
        </w:rPr>
        <w:t xml:space="preserve">seal fusion but one species </w:t>
      </w:r>
      <w:r w:rsidR="006110DE">
        <w:rPr>
          <w:noProof/>
        </w:rPr>
        <w:t>mature</w:t>
      </w:r>
      <w:r w:rsidR="00A423F4">
        <w:rPr>
          <w:noProof/>
        </w:rPr>
        <w:t>s</w:t>
      </w:r>
      <w:r w:rsidR="006110DE">
        <w:rPr>
          <w:noProof/>
        </w:rPr>
        <w:t xml:space="preserve"> in half the time that the other does.  Figure 2.1 </w:t>
      </w:r>
      <w:r w:rsidR="00843A8D">
        <w:rPr>
          <w:noProof/>
        </w:rPr>
        <w:t xml:space="preserve">illustrates </w:t>
      </w:r>
      <w:r w:rsidR="006110DE">
        <w:rPr>
          <w:noProof/>
        </w:rPr>
        <w:t>how this may be represented</w:t>
      </w:r>
      <w:r w:rsidR="004048D4">
        <w:rPr>
          <w:noProof/>
        </w:rPr>
        <w:t xml:space="preserve"> in</w:t>
      </w:r>
      <w:r w:rsidR="006110DE">
        <w:rPr>
          <w:noProof/>
        </w:rPr>
        <w:t xml:space="preserve"> </w:t>
      </w:r>
      <w:r w:rsidR="00843A8D">
        <w:rPr>
          <w:noProof/>
        </w:rPr>
        <w:t xml:space="preserve">these </w:t>
      </w:r>
      <w:r w:rsidR="006110DE">
        <w:rPr>
          <w:noProof/>
        </w:rPr>
        <w:t>species.  Each species has a different rate of growth but exactly the same sequence</w:t>
      </w:r>
      <w:r w:rsidR="00032487">
        <w:rPr>
          <w:noProof/>
        </w:rPr>
        <w:t xml:space="preserve"> of maturational events</w:t>
      </w:r>
      <w:r w:rsidR="006110DE">
        <w:rPr>
          <w:noProof/>
        </w:rPr>
        <w:t>.</w:t>
      </w:r>
    </w:p>
    <w:p w:rsidR="006110DE" w:rsidRDefault="007C26FB" w:rsidP="000534D4">
      <w:pPr>
        <w:pStyle w:val="Caption"/>
        <w:spacing w:line="276" w:lineRule="auto"/>
      </w:pPr>
      <w:bookmarkStart w:id="24" w:name="_Toc373147445"/>
      <w:proofErr w:type="gramStart"/>
      <w:r w:rsidRPr="007C26FB">
        <w:rPr>
          <w:b/>
        </w:rPr>
        <w:lastRenderedPageBreak/>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2</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1</w:t>
      </w:r>
      <w:r w:rsidR="008943E4">
        <w:rPr>
          <w:b/>
        </w:rPr>
        <w:fldChar w:fldCharType="end"/>
      </w:r>
      <w:r w:rsidR="00793DE7" w:rsidRPr="007C26FB">
        <w:rPr>
          <w:b/>
          <w:noProof/>
          <w:lang w:val="en-GB" w:eastAsia="en-GB"/>
        </w:rPr>
        <w:drawing>
          <wp:anchor distT="0" distB="0" distL="114300" distR="114300" simplePos="0" relativeHeight="251658240" behindDoc="0" locked="1" layoutInCell="1" allowOverlap="0" wp14:anchorId="31F2077E" wp14:editId="2D1639E0">
            <wp:simplePos x="0" y="0"/>
            <wp:positionH relativeFrom="column">
              <wp:posOffset>63500</wp:posOffset>
            </wp:positionH>
            <wp:positionV relativeFrom="paragraph">
              <wp:posOffset>-65405</wp:posOffset>
            </wp:positionV>
            <wp:extent cx="5765800" cy="3547110"/>
            <wp:effectExtent l="0" t="0" r="635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0" cy="3547110"/>
                    </a:xfrm>
                    <a:prstGeom prst="rect">
                      <a:avLst/>
                    </a:prstGeom>
                    <a:noFill/>
                    <a:ln>
                      <a:noFill/>
                    </a:ln>
                  </pic:spPr>
                </pic:pic>
              </a:graphicData>
            </a:graphic>
          </wp:anchor>
        </w:drawing>
      </w:r>
      <w:r w:rsidR="00E6026E">
        <w:rPr>
          <w:b/>
        </w:rPr>
        <w:t xml:space="preserve"> </w:t>
      </w:r>
      <w:r w:rsidR="000534D4">
        <w:rPr>
          <w:noProof/>
          <w:color w:val="000000"/>
        </w:rPr>
        <w:t>Maturational events in two hypothetical species of differing growth rates where species 1 (red line) reaches specific maturational events more rapidly than species 2 (green</w:t>
      </w:r>
      <w:r w:rsidR="00F20A43">
        <w:rPr>
          <w:noProof/>
          <w:color w:val="000000"/>
        </w:rPr>
        <w:t xml:space="preserve"> line)</w:t>
      </w:r>
      <w:r w:rsidR="000534D4">
        <w:rPr>
          <w:noProof/>
          <w:color w:val="000000"/>
        </w:rPr>
        <w:t>.</w:t>
      </w:r>
      <w:bookmarkEnd w:id="24"/>
    </w:p>
    <w:p w:rsidR="002B29F8" w:rsidRDefault="004048D4" w:rsidP="007C26FB">
      <w:pPr>
        <w:rPr>
          <w:noProof/>
        </w:rPr>
      </w:pPr>
      <w:r>
        <w:rPr>
          <w:noProof/>
        </w:rPr>
        <w:t>B</w:t>
      </w:r>
      <w:r w:rsidR="006110DE">
        <w:rPr>
          <w:noProof/>
        </w:rPr>
        <w:t>oth events occurred in the same order and at the</w:t>
      </w:r>
      <w:r w:rsidR="003B21DF">
        <w:rPr>
          <w:noProof/>
        </w:rPr>
        <w:t xml:space="preserve"> </w:t>
      </w:r>
      <w:r w:rsidR="006110DE">
        <w:rPr>
          <w:noProof/>
        </w:rPr>
        <w:t>same relative time in growth</w:t>
      </w:r>
      <w:r>
        <w:rPr>
          <w:noProof/>
        </w:rPr>
        <w:t xml:space="preserve"> (Figure 2.1)</w:t>
      </w:r>
      <w:r w:rsidR="006110DE">
        <w:rPr>
          <w:noProof/>
        </w:rPr>
        <w:t xml:space="preserve">.  </w:t>
      </w:r>
      <w:r w:rsidR="00390835">
        <w:rPr>
          <w:noProof/>
        </w:rPr>
        <w:t>Event 1 occurred at 50% and event 2 at 80% of growth.  T</w:t>
      </w:r>
      <w:r w:rsidR="006110DE">
        <w:rPr>
          <w:noProof/>
        </w:rPr>
        <w:t>hus, in this case the only difference is the relative time it took for these events to occur.</w:t>
      </w:r>
      <w:r w:rsidR="002605DD">
        <w:rPr>
          <w:noProof/>
        </w:rPr>
        <w:t xml:space="preserve">  Growth rate relative to time differs, as does duration of growth but maturational sequences are identical.  In addition to this</w:t>
      </w:r>
      <w:r w:rsidR="00696A91">
        <w:rPr>
          <w:noProof/>
        </w:rPr>
        <w:t xml:space="preserve">, it can </w:t>
      </w:r>
      <w:r w:rsidR="002605DD">
        <w:rPr>
          <w:noProof/>
        </w:rPr>
        <w:t>be stated that these maturational events occur at the same time as a proportion of length.</w:t>
      </w:r>
      <w:r w:rsidR="006110DE">
        <w:rPr>
          <w:noProof/>
        </w:rPr>
        <w:t xml:space="preserve">  </w:t>
      </w:r>
      <w:r w:rsidR="00696A91">
        <w:rPr>
          <w:noProof/>
        </w:rPr>
        <w:t>Figure 2.2 illustrates inconsistent relative growth</w:t>
      </w:r>
      <w:r w:rsidR="006110DE">
        <w:rPr>
          <w:noProof/>
        </w:rPr>
        <w:t>.</w:t>
      </w:r>
    </w:p>
    <w:p w:rsidR="002B29F8" w:rsidRPr="00D114F9" w:rsidRDefault="002B29F8" w:rsidP="002B29F8">
      <w:pPr>
        <w:rPr>
          <w:noProof/>
        </w:rPr>
      </w:pPr>
      <w:r>
        <w:rPr>
          <w:noProof/>
        </w:rPr>
        <w:t>In Figure 2.2 the event sequence is again identical but the relative timing and rates of growth rates are different between the two species.  A third potential scenario would be when the two growth curves superimposed, indicating that growth rate and duration w</w:t>
      </w:r>
      <w:r w:rsidR="00C232DE">
        <w:rPr>
          <w:noProof/>
        </w:rPr>
        <w:t>ere</w:t>
      </w:r>
      <w:r>
        <w:rPr>
          <w:noProof/>
        </w:rPr>
        <w:t xml:space="preserve"> identical for both species but the sequences differed.  These figures illustrate that studying </w:t>
      </w:r>
      <w:r w:rsidR="006A64FC">
        <w:rPr>
          <w:noProof/>
        </w:rPr>
        <w:t>pattern independent of growth rate and time</w:t>
      </w:r>
      <w:r>
        <w:rPr>
          <w:noProof/>
        </w:rPr>
        <w:t xml:space="preserve"> can be misleading when comparing species, although this approach is frequently employed.  Both the rate of growth rate and sequence of events need to be considered in conjunction in order to gain a more complete understanding of development.</w:t>
      </w:r>
    </w:p>
    <w:p w:rsidR="002B29F8" w:rsidRDefault="002B29F8">
      <w:pPr>
        <w:spacing w:before="0" w:after="200" w:line="276" w:lineRule="auto"/>
        <w:jc w:val="left"/>
        <w:rPr>
          <w:noProof/>
        </w:rPr>
      </w:pPr>
      <w:r>
        <w:rPr>
          <w:noProof/>
        </w:rPr>
        <w:br w:type="page"/>
      </w:r>
    </w:p>
    <w:p w:rsidR="00E9517A" w:rsidRPr="00E9517A" w:rsidRDefault="00E9517A" w:rsidP="00E9517A">
      <w:pPr>
        <w:spacing w:line="240" w:lineRule="auto"/>
        <w:rPr>
          <w:b/>
          <w:sz w:val="20"/>
          <w:szCs w:val="20"/>
        </w:rPr>
      </w:pPr>
      <w:r>
        <w:rPr>
          <w:noProof/>
          <w:color w:val="000000"/>
          <w:sz w:val="20"/>
          <w:szCs w:val="20"/>
        </w:rPr>
        <w:lastRenderedPageBreak/>
        <w:t>*</w:t>
      </w:r>
      <w:r w:rsidRPr="00E9517A">
        <w:rPr>
          <w:noProof/>
          <w:color w:val="000000"/>
          <w:sz w:val="20"/>
          <w:szCs w:val="20"/>
        </w:rPr>
        <w:t>Species 1 (red line) reaches specific maturational events more rapidly than species 2 (green</w:t>
      </w:r>
      <w:r w:rsidR="00F20A43">
        <w:rPr>
          <w:noProof/>
          <w:color w:val="000000"/>
          <w:sz w:val="20"/>
          <w:szCs w:val="20"/>
        </w:rPr>
        <w:t xml:space="preserve"> line)</w:t>
      </w:r>
      <w:r w:rsidRPr="00E9517A">
        <w:rPr>
          <w:noProof/>
          <w:color w:val="000000"/>
          <w:sz w:val="20"/>
          <w:szCs w:val="20"/>
        </w:rPr>
        <w:t xml:space="preserve"> and experiences event 1 (E1S1) relatively earlier than species 2.</w:t>
      </w:r>
    </w:p>
    <w:p w:rsidR="001C36F3" w:rsidRPr="001C36F3" w:rsidRDefault="005D260E" w:rsidP="001C36F3">
      <w:pPr>
        <w:rPr>
          <w:noProof/>
        </w:rPr>
      </w:pPr>
      <w:bookmarkStart w:id="25" w:name="_Toc373147446"/>
      <w:r>
        <w:rPr>
          <w:noProof/>
          <w:color w:val="000000"/>
          <w:lang w:val="en-GB" w:eastAsia="en-GB"/>
        </w:rPr>
        <w:drawing>
          <wp:anchor distT="0" distB="0" distL="114300" distR="114300" simplePos="0" relativeHeight="251659264" behindDoc="0" locked="1" layoutInCell="1" allowOverlap="0" wp14:anchorId="48B71CB1" wp14:editId="33D495BB">
            <wp:simplePos x="0" y="0"/>
            <wp:positionH relativeFrom="column">
              <wp:posOffset>-193675</wp:posOffset>
            </wp:positionH>
            <wp:positionV relativeFrom="paragraph">
              <wp:posOffset>-290195</wp:posOffset>
            </wp:positionV>
            <wp:extent cx="5945505" cy="3561715"/>
            <wp:effectExtent l="0" t="0" r="0" b="63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5505" cy="3561715"/>
                    </a:xfrm>
                    <a:prstGeom prst="rect">
                      <a:avLst/>
                    </a:prstGeom>
                    <a:noFill/>
                    <a:ln>
                      <a:noFill/>
                    </a:ln>
                  </pic:spPr>
                </pic:pic>
              </a:graphicData>
            </a:graphic>
          </wp:anchor>
        </w:drawing>
      </w:r>
      <w:proofErr w:type="gramStart"/>
      <w:r w:rsidR="008C7B6D" w:rsidRPr="007C26FB">
        <w:rPr>
          <w:b/>
        </w:rPr>
        <w:t xml:space="preserve">Figure </w:t>
      </w:r>
      <w:r w:rsidR="008943E4">
        <w:rPr>
          <w:b/>
        </w:rPr>
        <w:fldChar w:fldCharType="begin"/>
      </w:r>
      <w:r w:rsidR="008C7B6D">
        <w:rPr>
          <w:b/>
        </w:rPr>
        <w:instrText xml:space="preserve"> STYLEREF 1 \s </w:instrText>
      </w:r>
      <w:r w:rsidR="008943E4">
        <w:rPr>
          <w:b/>
        </w:rPr>
        <w:fldChar w:fldCharType="separate"/>
      </w:r>
      <w:r w:rsidR="00795735">
        <w:rPr>
          <w:b/>
          <w:noProof/>
        </w:rPr>
        <w:t>2</w:t>
      </w:r>
      <w:r w:rsidR="008943E4">
        <w:rPr>
          <w:b/>
        </w:rPr>
        <w:fldChar w:fldCharType="end"/>
      </w:r>
      <w:r w:rsidR="008C7B6D">
        <w:rPr>
          <w:b/>
        </w:rPr>
        <w:t>.</w:t>
      </w:r>
      <w:proofErr w:type="gramEnd"/>
      <w:r w:rsidR="008943E4">
        <w:rPr>
          <w:b/>
        </w:rPr>
        <w:fldChar w:fldCharType="begin"/>
      </w:r>
      <w:r w:rsidR="008C7B6D">
        <w:rPr>
          <w:b/>
        </w:rPr>
        <w:instrText xml:space="preserve"> SEQ Figure \* ARABIC \s 1 </w:instrText>
      </w:r>
      <w:r w:rsidR="008943E4">
        <w:rPr>
          <w:b/>
        </w:rPr>
        <w:fldChar w:fldCharType="separate"/>
      </w:r>
      <w:proofErr w:type="gramStart"/>
      <w:r w:rsidR="00795735">
        <w:rPr>
          <w:b/>
          <w:noProof/>
        </w:rPr>
        <w:t>2</w:t>
      </w:r>
      <w:r w:rsidR="008943E4">
        <w:rPr>
          <w:b/>
        </w:rPr>
        <w:fldChar w:fldCharType="end"/>
      </w:r>
      <w:r w:rsidR="00AC1F36" w:rsidRPr="007C26FB">
        <w:rPr>
          <w:b/>
        </w:rPr>
        <w:t xml:space="preserve"> </w:t>
      </w:r>
      <w:r w:rsidR="001C36F3" w:rsidRPr="001C36F3">
        <w:rPr>
          <w:noProof/>
          <w:color w:val="000000"/>
        </w:rPr>
        <w:t>Maturational events in two hypothetical species of differing growth rates and differing relative timing of sequence events.</w:t>
      </w:r>
      <w:bookmarkEnd w:id="25"/>
      <w:proofErr w:type="gramEnd"/>
    </w:p>
    <w:p w:rsidR="006110DE" w:rsidRDefault="006110DE" w:rsidP="00D263E8">
      <w:pPr>
        <w:pStyle w:val="Heading3"/>
      </w:pPr>
      <w:bookmarkStart w:id="26" w:name="_Toc373477718"/>
      <w:bookmarkStart w:id="27" w:name="_Toc373480716"/>
      <w:r w:rsidRPr="00BE6EB7">
        <w:t>Developmental Theory</w:t>
      </w:r>
      <w:bookmarkEnd w:id="26"/>
      <w:bookmarkEnd w:id="27"/>
    </w:p>
    <w:p w:rsidR="00D114F9" w:rsidRDefault="000B7A78" w:rsidP="00D114F9">
      <w:pPr>
        <w:rPr>
          <w:noProof/>
        </w:rPr>
      </w:pPr>
      <w:r>
        <w:rPr>
          <w:noProof/>
        </w:rPr>
        <w:t>In this section</w:t>
      </w:r>
      <w:r w:rsidR="00242923">
        <w:rPr>
          <w:noProof/>
        </w:rPr>
        <w:t xml:space="preserve"> the </w:t>
      </w:r>
      <w:r w:rsidR="006110DE">
        <w:rPr>
          <w:noProof/>
        </w:rPr>
        <w:t>theoretical terminology used to study growth</w:t>
      </w:r>
      <w:r w:rsidR="00242923">
        <w:rPr>
          <w:noProof/>
        </w:rPr>
        <w:t xml:space="preserve"> will be presented.  How these</w:t>
      </w:r>
      <w:r w:rsidR="006110DE">
        <w:rPr>
          <w:noProof/>
        </w:rPr>
        <w:t xml:space="preserve"> </w:t>
      </w:r>
      <w:r w:rsidR="00242923">
        <w:rPr>
          <w:noProof/>
        </w:rPr>
        <w:t xml:space="preserve">terms </w:t>
      </w:r>
      <w:r w:rsidR="006110DE">
        <w:rPr>
          <w:noProof/>
        </w:rPr>
        <w:t>ha</w:t>
      </w:r>
      <w:r w:rsidR="00242923">
        <w:rPr>
          <w:noProof/>
        </w:rPr>
        <w:t>ve</w:t>
      </w:r>
      <w:r w:rsidR="006110DE">
        <w:rPr>
          <w:noProof/>
        </w:rPr>
        <w:t xml:space="preserve"> been applied to comparisons between chimpanzees, bonobos, and humans</w:t>
      </w:r>
      <w:r w:rsidR="00242923">
        <w:rPr>
          <w:noProof/>
        </w:rPr>
        <w:t xml:space="preserve"> will be discussed</w:t>
      </w:r>
      <w:r w:rsidR="006110DE">
        <w:rPr>
          <w:noProof/>
        </w:rPr>
        <w:t xml:space="preserve">.  </w:t>
      </w:r>
      <w:r w:rsidR="00202C96">
        <w:rPr>
          <w:noProof/>
        </w:rPr>
        <w:t xml:space="preserve">As noted in Chapter 1, the subject within </w:t>
      </w:r>
      <w:r w:rsidR="00823EE0">
        <w:rPr>
          <w:noProof/>
        </w:rPr>
        <w:t xml:space="preserve">developmental </w:t>
      </w:r>
      <w:r w:rsidR="006110DE">
        <w:rPr>
          <w:noProof/>
        </w:rPr>
        <w:t xml:space="preserve">biology that studies the effects of changes in event </w:t>
      </w:r>
      <w:r w:rsidR="00202C96">
        <w:rPr>
          <w:noProof/>
        </w:rPr>
        <w:t>timing and</w:t>
      </w:r>
      <w:r w:rsidR="006110DE">
        <w:rPr>
          <w:noProof/>
        </w:rPr>
        <w:t xml:space="preserve"> </w:t>
      </w:r>
      <w:r w:rsidR="00202C96">
        <w:rPr>
          <w:noProof/>
        </w:rPr>
        <w:t xml:space="preserve">rate of </w:t>
      </w:r>
      <w:r w:rsidR="006110DE">
        <w:rPr>
          <w:noProof/>
        </w:rPr>
        <w:t xml:space="preserve">growth is known as heterochrony.  </w:t>
      </w:r>
      <w:r w:rsidR="00823EE0">
        <w:rPr>
          <w:noProof/>
        </w:rPr>
        <w:t>H</w:t>
      </w:r>
      <w:r w:rsidR="006110DE">
        <w:rPr>
          <w:noProof/>
        </w:rPr>
        <w:t xml:space="preserve">eterochrony </w:t>
      </w:r>
      <w:r w:rsidR="00823EE0">
        <w:rPr>
          <w:noProof/>
        </w:rPr>
        <w:t>focu</w:t>
      </w:r>
      <w:r w:rsidR="00287A24">
        <w:rPr>
          <w:noProof/>
        </w:rPr>
        <w:t>s</w:t>
      </w:r>
      <w:r w:rsidR="00823EE0">
        <w:rPr>
          <w:noProof/>
        </w:rPr>
        <w:t>es</w:t>
      </w:r>
      <w:r w:rsidR="006110DE">
        <w:rPr>
          <w:noProof/>
        </w:rPr>
        <w:t xml:space="preserve"> changes in size and shape through developmental processes.  Rice (1997) defined different types of processes that ar</w:t>
      </w:r>
      <w:r w:rsidR="00D114F9">
        <w:rPr>
          <w:noProof/>
        </w:rPr>
        <w:t>e included within this subject:</w:t>
      </w:r>
    </w:p>
    <w:p w:rsidR="006110DE" w:rsidRPr="00D114F9" w:rsidRDefault="009E6012" w:rsidP="00E9517A">
      <w:pPr>
        <w:spacing w:line="276" w:lineRule="auto"/>
        <w:ind w:left="567" w:hanging="283"/>
        <w:rPr>
          <w:noProof/>
        </w:rPr>
      </w:pPr>
      <w:r>
        <w:rPr>
          <w:noProof/>
        </w:rPr>
        <w:t xml:space="preserve">1. </w:t>
      </w:r>
      <w:r w:rsidR="006110DE">
        <w:rPr>
          <w:noProof/>
        </w:rPr>
        <w:t>Progenesis: The achievement of sexual maturity before attaining the adult form.</w:t>
      </w:r>
    </w:p>
    <w:p w:rsidR="006110DE" w:rsidRDefault="009E6012" w:rsidP="00E9517A">
      <w:pPr>
        <w:spacing w:line="276" w:lineRule="auto"/>
        <w:ind w:left="567" w:hanging="283"/>
        <w:rPr>
          <w:noProof/>
        </w:rPr>
      </w:pPr>
      <w:r>
        <w:rPr>
          <w:noProof/>
        </w:rPr>
        <w:t xml:space="preserve">2. </w:t>
      </w:r>
      <w:r w:rsidR="006110DE">
        <w:rPr>
          <w:noProof/>
        </w:rPr>
        <w:t>Hypermorphosis: The achievement of adult</w:t>
      </w:r>
      <w:r w:rsidR="00D114F9">
        <w:rPr>
          <w:noProof/>
        </w:rPr>
        <w:t xml:space="preserve"> form prior to sexual maturity.</w:t>
      </w:r>
    </w:p>
    <w:p w:rsidR="006110DE" w:rsidRDefault="009E6012" w:rsidP="00E9517A">
      <w:pPr>
        <w:spacing w:line="276" w:lineRule="auto"/>
        <w:ind w:left="567" w:hanging="283"/>
        <w:rPr>
          <w:noProof/>
        </w:rPr>
      </w:pPr>
      <w:r>
        <w:rPr>
          <w:noProof/>
        </w:rPr>
        <w:t xml:space="preserve">3. </w:t>
      </w:r>
      <w:r w:rsidR="006110DE">
        <w:rPr>
          <w:noProof/>
        </w:rPr>
        <w:t>Neoteny</w:t>
      </w:r>
      <w:r w:rsidR="00D114F9">
        <w:rPr>
          <w:noProof/>
        </w:rPr>
        <w:t>: Retention of juvenile traits.</w:t>
      </w:r>
    </w:p>
    <w:p w:rsidR="006110DE" w:rsidRPr="00D114F9" w:rsidRDefault="009E6012" w:rsidP="00E9517A">
      <w:pPr>
        <w:spacing w:line="276" w:lineRule="auto"/>
        <w:ind w:left="567" w:hanging="283"/>
        <w:rPr>
          <w:noProof/>
        </w:rPr>
      </w:pPr>
      <w:r>
        <w:rPr>
          <w:noProof/>
        </w:rPr>
        <w:t xml:space="preserve">4. </w:t>
      </w:r>
      <w:r w:rsidR="006110DE">
        <w:rPr>
          <w:noProof/>
        </w:rPr>
        <w:t>Acceleration: Increased rates of development.</w:t>
      </w:r>
    </w:p>
    <w:p w:rsidR="006110DE" w:rsidRDefault="009E6012" w:rsidP="00E9517A">
      <w:pPr>
        <w:spacing w:line="276" w:lineRule="auto"/>
        <w:ind w:left="567" w:hanging="283"/>
        <w:rPr>
          <w:noProof/>
        </w:rPr>
      </w:pPr>
      <w:r>
        <w:rPr>
          <w:noProof/>
        </w:rPr>
        <w:t xml:space="preserve">5. </w:t>
      </w:r>
      <w:r w:rsidR="006110DE">
        <w:rPr>
          <w:noProof/>
        </w:rPr>
        <w:t>Sequence heterochrony: Changes in time of</w:t>
      </w:r>
      <w:r w:rsidR="001A746B">
        <w:rPr>
          <w:noProof/>
        </w:rPr>
        <w:t xml:space="preserve"> onset of events</w:t>
      </w:r>
    </w:p>
    <w:p w:rsidR="006110DE" w:rsidRPr="002E226B" w:rsidRDefault="006110DE" w:rsidP="002E226B">
      <w:pPr>
        <w:rPr>
          <w:noProof/>
        </w:rPr>
      </w:pPr>
      <w:r>
        <w:rPr>
          <w:noProof/>
        </w:rPr>
        <w:lastRenderedPageBreak/>
        <w:t xml:space="preserve">Some further clarification of these terms is warranted.  Progenesis implies that early sexual maturation is </w:t>
      </w:r>
      <w:r w:rsidR="00051A6C">
        <w:rPr>
          <w:noProof/>
        </w:rPr>
        <w:t xml:space="preserve">positively </w:t>
      </w:r>
      <w:r w:rsidR="00093ADA">
        <w:rPr>
          <w:noProof/>
        </w:rPr>
        <w:t>selected</w:t>
      </w:r>
      <w:r>
        <w:rPr>
          <w:noProof/>
        </w:rPr>
        <w:t xml:space="preserve"> and can lead to </w:t>
      </w:r>
      <w:r w:rsidR="00051A6C" w:rsidRPr="00051A6C">
        <w:rPr>
          <w:noProof/>
          <w:lang w:val="en-GB"/>
        </w:rPr>
        <w:t>precocious</w:t>
      </w:r>
      <w:r w:rsidR="00051A6C">
        <w:rPr>
          <w:noProof/>
        </w:rPr>
        <w:t xml:space="preserve"> </w:t>
      </w:r>
      <w:r>
        <w:rPr>
          <w:noProof/>
        </w:rPr>
        <w:t xml:space="preserve">reproduction </w:t>
      </w:r>
      <w:r w:rsidR="00522639">
        <w:rPr>
          <w:noProof/>
        </w:rPr>
        <w:t>at</w:t>
      </w:r>
      <w:r>
        <w:rPr>
          <w:noProof/>
        </w:rPr>
        <w:t xml:space="preserve"> an earlier phase of growth.  Neo</w:t>
      </w:r>
      <w:r w:rsidR="00C640C5">
        <w:rPr>
          <w:noProof/>
        </w:rPr>
        <w:t>teny suggests that traits from</w:t>
      </w:r>
      <w:r>
        <w:rPr>
          <w:noProof/>
        </w:rPr>
        <w:t xml:space="preserve"> sub-adults are maintained </w:t>
      </w:r>
      <w:r w:rsidR="00745A84">
        <w:rPr>
          <w:noProof/>
        </w:rPr>
        <w:t xml:space="preserve">through to </w:t>
      </w:r>
      <w:r w:rsidR="00C640C5">
        <w:rPr>
          <w:noProof/>
        </w:rPr>
        <w:t>a</w:t>
      </w:r>
      <w:r>
        <w:rPr>
          <w:noProof/>
        </w:rPr>
        <w:t xml:space="preserve">dult </w:t>
      </w:r>
      <w:r w:rsidR="00093ADA">
        <w:rPr>
          <w:noProof/>
        </w:rPr>
        <w:t>individual</w:t>
      </w:r>
      <w:r w:rsidR="00C640C5">
        <w:rPr>
          <w:noProof/>
        </w:rPr>
        <w:t>s</w:t>
      </w:r>
      <w:r>
        <w:rPr>
          <w:noProof/>
        </w:rPr>
        <w:t xml:space="preserve">.  Therefore the time of attainment of adulthood relative to sexual maturity </w:t>
      </w:r>
      <w:r w:rsidR="00E4389A">
        <w:rPr>
          <w:noProof/>
        </w:rPr>
        <w:t>may or may not change</w:t>
      </w:r>
      <w:r>
        <w:rPr>
          <w:noProof/>
        </w:rPr>
        <w:t xml:space="preserve">, but it is simply that certain traits remain sub-adult in appearance.  </w:t>
      </w:r>
      <w:r w:rsidR="00C640C5">
        <w:rPr>
          <w:noProof/>
        </w:rPr>
        <w:t xml:space="preserve">Hypermorphosis, conversely implies that an adult state is attained prior to sexual maturity.  </w:t>
      </w:r>
      <w:r w:rsidR="00386E29">
        <w:rPr>
          <w:noProof/>
        </w:rPr>
        <w:t xml:space="preserve">It may </w:t>
      </w:r>
      <w:r>
        <w:rPr>
          <w:noProof/>
        </w:rPr>
        <w:t>be applied to either the entire organism or individual anatomical features</w:t>
      </w:r>
      <w:r w:rsidR="00BE25E9">
        <w:rPr>
          <w:noProof/>
        </w:rPr>
        <w:t xml:space="preserve"> </w:t>
      </w:r>
      <w:r>
        <w:rPr>
          <w:noProof/>
        </w:rPr>
        <w:t>with the latter being a more common usage.  Bogin (1997) defines h</w:t>
      </w:r>
      <w:r w:rsidRPr="00042645">
        <w:rPr>
          <w:noProof/>
        </w:rPr>
        <w:t xml:space="preserve">ypermorphosis </w:t>
      </w:r>
      <w:r>
        <w:rPr>
          <w:noProof/>
        </w:rPr>
        <w:t xml:space="preserve">as the </w:t>
      </w:r>
      <w:r w:rsidRPr="00042645">
        <w:rPr>
          <w:noProof/>
        </w:rPr>
        <w:t>extention</w:t>
      </w:r>
      <w:r>
        <w:rPr>
          <w:noProof/>
        </w:rPr>
        <w:t xml:space="preserve"> </w:t>
      </w:r>
      <w:r w:rsidR="00BE25E9">
        <w:rPr>
          <w:noProof/>
        </w:rPr>
        <w:t xml:space="preserve">of </w:t>
      </w:r>
      <w:r>
        <w:rPr>
          <w:noProof/>
        </w:rPr>
        <w:t>earlier growth</w:t>
      </w:r>
      <w:r w:rsidRPr="00042645">
        <w:rPr>
          <w:noProof/>
        </w:rPr>
        <w:t xml:space="preserve"> stages while neoteny is</w:t>
      </w:r>
      <w:r w:rsidR="00FA0E4E">
        <w:rPr>
          <w:noProof/>
        </w:rPr>
        <w:t xml:space="preserve"> the</w:t>
      </w:r>
      <w:r w:rsidRPr="00042645">
        <w:rPr>
          <w:noProof/>
        </w:rPr>
        <w:t xml:space="preserve"> retention of</w:t>
      </w:r>
      <w:r w:rsidR="00F50F52">
        <w:rPr>
          <w:noProof/>
        </w:rPr>
        <w:t xml:space="preserve"> lower, or earlier</w:t>
      </w:r>
      <w:r w:rsidRPr="00042645">
        <w:rPr>
          <w:noProof/>
        </w:rPr>
        <w:t xml:space="preserve"> stages</w:t>
      </w:r>
      <w:r>
        <w:rPr>
          <w:noProof/>
        </w:rPr>
        <w:t xml:space="preserve"> into adulthood.  N</w:t>
      </w:r>
      <w:r w:rsidR="004864E5">
        <w:rPr>
          <w:noProof/>
        </w:rPr>
        <w:t>e</w:t>
      </w:r>
      <w:r>
        <w:rPr>
          <w:noProof/>
        </w:rPr>
        <w:t xml:space="preserve">ither progenesis </w:t>
      </w:r>
      <w:r w:rsidR="00726475">
        <w:rPr>
          <w:noProof/>
        </w:rPr>
        <w:t>n</w:t>
      </w:r>
      <w:r>
        <w:rPr>
          <w:noProof/>
        </w:rPr>
        <w:t xml:space="preserve">or acceleration tend to be discussed </w:t>
      </w:r>
      <w:r w:rsidR="008F6E83">
        <w:rPr>
          <w:noProof/>
        </w:rPr>
        <w:t xml:space="preserve">independently when describing </w:t>
      </w:r>
      <w:r>
        <w:rPr>
          <w:noProof/>
        </w:rPr>
        <w:t xml:space="preserve">humans.  The focus is instead on neoteny and hypermorphosis.  Humans are progenetic in the sense that they reach physical sexual maturity prior to complete skeletal maturity.  However, this is not unique to this species and is common in many mammalian taxa including primates (Kilborn </w:t>
      </w:r>
      <w:r w:rsidR="008F6E83">
        <w:rPr>
          <w:i/>
          <w:noProof/>
        </w:rPr>
        <w:t>et al.</w:t>
      </w:r>
      <w:r w:rsidR="008F6E83" w:rsidRPr="008F6E83">
        <w:rPr>
          <w:noProof/>
        </w:rPr>
        <w:t xml:space="preserve"> 2</w:t>
      </w:r>
      <w:r w:rsidR="00C65894">
        <w:rPr>
          <w:noProof/>
        </w:rPr>
        <w:t>002).</w:t>
      </w:r>
    </w:p>
    <w:p w:rsidR="006110DE" w:rsidRPr="002E226B" w:rsidRDefault="00615DFD" w:rsidP="002E226B">
      <w:pPr>
        <w:rPr>
          <w:noProof/>
        </w:rPr>
      </w:pPr>
      <w:r>
        <w:rPr>
          <w:noProof/>
        </w:rPr>
        <w:t>The analysis of s</w:t>
      </w:r>
      <w:r w:rsidR="006110DE">
        <w:rPr>
          <w:noProof/>
        </w:rPr>
        <w:t>equence heterochrony</w:t>
      </w:r>
      <w:r w:rsidR="00A37177">
        <w:rPr>
          <w:noProof/>
        </w:rPr>
        <w:t xml:space="preserve"> </w:t>
      </w:r>
      <w:r w:rsidR="006110DE">
        <w:rPr>
          <w:noProof/>
        </w:rPr>
        <w:t>relies on the study of pre- and post-displacement</w:t>
      </w:r>
      <w:r w:rsidR="00726475">
        <w:rPr>
          <w:noProof/>
        </w:rPr>
        <w:t>, or in other words</w:t>
      </w:r>
      <w:r w:rsidR="006110DE">
        <w:rPr>
          <w:noProof/>
        </w:rPr>
        <w:t xml:space="preserve"> the </w:t>
      </w:r>
      <w:r w:rsidR="005D1D02">
        <w:rPr>
          <w:noProof/>
        </w:rPr>
        <w:t>changing of order of events</w:t>
      </w:r>
      <w:r w:rsidR="006110DE">
        <w:rPr>
          <w:noProof/>
        </w:rPr>
        <w:t xml:space="preserve"> (</w:t>
      </w:r>
      <w:r w:rsidR="006110DE">
        <w:t xml:space="preserve">Bininda-Emonds </w:t>
      </w:r>
      <w:r w:rsidR="006110DE">
        <w:rPr>
          <w:i/>
        </w:rPr>
        <w:t>et al</w:t>
      </w:r>
      <w:r w:rsidR="006110DE">
        <w:t xml:space="preserve">. 2002, Jeffery </w:t>
      </w:r>
      <w:r w:rsidR="006110DE">
        <w:rPr>
          <w:i/>
        </w:rPr>
        <w:t>et al</w:t>
      </w:r>
      <w:r w:rsidR="006110DE">
        <w:t xml:space="preserve">. 2002, </w:t>
      </w:r>
      <w:r w:rsidR="006110DE">
        <w:rPr>
          <w:noProof/>
        </w:rPr>
        <w:t xml:space="preserve">King 2004, Nunn and </w:t>
      </w:r>
      <w:r w:rsidR="006110DE">
        <w:t xml:space="preserve">Smith 1998, Richardson </w:t>
      </w:r>
      <w:r w:rsidR="006110DE">
        <w:rPr>
          <w:i/>
        </w:rPr>
        <w:t>et al</w:t>
      </w:r>
      <w:r w:rsidR="006110DE">
        <w:t>. 2001, Smith 2001 2002, Velhagen 1997</w:t>
      </w:r>
      <w:r w:rsidR="006110DE">
        <w:rPr>
          <w:noProof/>
        </w:rPr>
        <w:t xml:space="preserve">).  </w:t>
      </w:r>
      <w:r w:rsidR="00E8381A">
        <w:rPr>
          <w:noProof/>
        </w:rPr>
        <w:t>Many e</w:t>
      </w:r>
      <w:r w:rsidR="006110DE">
        <w:rPr>
          <w:noProof/>
        </w:rPr>
        <w:t xml:space="preserve">xamples of sequence heterochrony </w:t>
      </w:r>
      <w:r w:rsidR="00E8381A">
        <w:rPr>
          <w:noProof/>
        </w:rPr>
        <w:t>studies may be found in the literature including</w:t>
      </w:r>
      <w:r w:rsidR="006110DE">
        <w:rPr>
          <w:noProof/>
        </w:rPr>
        <w:t xml:space="preserve"> Goswami (2007), King (2004), and Smirthwaite (2007).  </w:t>
      </w:r>
      <w:r w:rsidR="00D477E5">
        <w:rPr>
          <w:noProof/>
        </w:rPr>
        <w:t xml:space="preserve">In the context of skeletal development, this area of study makes particular use of epiphyseal fusion and dental sequences of development.  </w:t>
      </w:r>
      <w:r w:rsidR="006110DE">
        <w:rPr>
          <w:noProof/>
        </w:rPr>
        <w:t xml:space="preserve">As shall </w:t>
      </w:r>
      <w:r w:rsidR="0037772A">
        <w:rPr>
          <w:noProof/>
        </w:rPr>
        <w:t xml:space="preserve">be discussed in </w:t>
      </w:r>
      <w:r w:rsidR="006110DE">
        <w:rPr>
          <w:noProof/>
        </w:rPr>
        <w:t>section 2.4.6, King</w:t>
      </w:r>
      <w:r w:rsidR="00D477E5">
        <w:rPr>
          <w:noProof/>
        </w:rPr>
        <w:t>’s</w:t>
      </w:r>
      <w:r w:rsidR="006110DE">
        <w:rPr>
          <w:noProof/>
        </w:rPr>
        <w:t xml:space="preserve"> (2004) </w:t>
      </w:r>
      <w:r w:rsidR="00D477E5">
        <w:rPr>
          <w:noProof/>
        </w:rPr>
        <w:t xml:space="preserve">study incorporating both of these sequence variables </w:t>
      </w:r>
      <w:r w:rsidR="006110DE">
        <w:rPr>
          <w:noProof/>
        </w:rPr>
        <w:t>is of particular relevance for the study of seq</w:t>
      </w:r>
      <w:r w:rsidR="007D6F1D">
        <w:rPr>
          <w:noProof/>
        </w:rPr>
        <w:t>uence heterochrony in primates.</w:t>
      </w:r>
    </w:p>
    <w:p w:rsidR="00690A8D" w:rsidRPr="00CA5FBB" w:rsidRDefault="008943E4" w:rsidP="006110DE">
      <w:pPr>
        <w:tabs>
          <w:tab w:val="left" w:pos="360"/>
        </w:tabs>
        <w:spacing w:line="240" w:lineRule="auto"/>
        <w:rPr>
          <w:noProof/>
          <w:color w:val="000000"/>
          <w:u w:val="single"/>
        </w:rPr>
      </w:pPr>
      <w:r w:rsidRPr="00CA5FBB">
        <w:rPr>
          <w:noProof/>
          <w:color w:val="000000"/>
          <w:u w:val="single"/>
        </w:rPr>
        <w:t>Allometric scaling</w:t>
      </w:r>
    </w:p>
    <w:p w:rsidR="00DA5557" w:rsidRDefault="006110DE" w:rsidP="005128B4">
      <w:pPr>
        <w:rPr>
          <w:noProof/>
        </w:rPr>
      </w:pPr>
      <w:r>
        <w:rPr>
          <w:noProof/>
        </w:rPr>
        <w:t xml:space="preserve">Allometric scaling refers to changes in the proportionate size of elements relative to the size of the whole organism.  </w:t>
      </w:r>
      <w:r w:rsidR="00631117">
        <w:rPr>
          <w:noProof/>
        </w:rPr>
        <w:t xml:space="preserve">Differences between adults are generally much better studied than </w:t>
      </w:r>
      <w:r w:rsidR="00642C2E">
        <w:rPr>
          <w:noProof/>
        </w:rPr>
        <w:t xml:space="preserve">differences between </w:t>
      </w:r>
      <w:r w:rsidR="00567E79">
        <w:rPr>
          <w:noProof/>
        </w:rPr>
        <w:t>sub-adult individuals</w:t>
      </w:r>
      <w:r>
        <w:rPr>
          <w:noProof/>
        </w:rPr>
        <w:t xml:space="preserve">.  </w:t>
      </w:r>
      <w:r w:rsidR="00563692">
        <w:rPr>
          <w:noProof/>
        </w:rPr>
        <w:t xml:space="preserve">Changes in allometry </w:t>
      </w:r>
      <w:r>
        <w:rPr>
          <w:noProof/>
        </w:rPr>
        <w:t>are related to imposed biomechanical and</w:t>
      </w:r>
      <w:r w:rsidRPr="00E920DB">
        <w:rPr>
          <w:noProof/>
        </w:rPr>
        <w:t xml:space="preserve"> </w:t>
      </w:r>
      <w:r>
        <w:rPr>
          <w:noProof/>
        </w:rPr>
        <w:t xml:space="preserve">behavioural constraints (Schmidt-Nielsen 1984, Small 1996).  </w:t>
      </w:r>
      <w:r w:rsidR="00563692">
        <w:rPr>
          <w:noProof/>
        </w:rPr>
        <w:t xml:space="preserve">When </w:t>
      </w:r>
      <w:r w:rsidR="00631117">
        <w:rPr>
          <w:noProof/>
        </w:rPr>
        <w:t xml:space="preserve">two species </w:t>
      </w:r>
      <w:r w:rsidR="00C87F27">
        <w:rPr>
          <w:noProof/>
        </w:rPr>
        <w:t>with differing adult proportion</w:t>
      </w:r>
      <w:r w:rsidR="00631117">
        <w:rPr>
          <w:noProof/>
        </w:rPr>
        <w:t>s are compared</w:t>
      </w:r>
      <w:r w:rsidR="00C87F27">
        <w:rPr>
          <w:noProof/>
        </w:rPr>
        <w:t>, i</w:t>
      </w:r>
      <w:r w:rsidR="00631117">
        <w:rPr>
          <w:noProof/>
        </w:rPr>
        <w:t xml:space="preserve">t is necessary to consider whether the difference between them develops during growth from a sub-adult of the same dimensions or if these species are born with already differing proportions.  </w:t>
      </w:r>
      <w:r>
        <w:rPr>
          <w:noProof/>
        </w:rPr>
        <w:t xml:space="preserve">This is a phenomenon known as ontogenetic scaling. There has been much discussion </w:t>
      </w:r>
      <w:r w:rsidR="0073576E">
        <w:rPr>
          <w:noProof/>
        </w:rPr>
        <w:t xml:space="preserve">considering </w:t>
      </w:r>
      <w:r>
        <w:rPr>
          <w:noProof/>
        </w:rPr>
        <w:t xml:space="preserve">issues of scaling with respect to both size and shape (e.g., Gould 1977, Persson </w:t>
      </w:r>
      <w:r>
        <w:rPr>
          <w:i/>
          <w:noProof/>
        </w:rPr>
        <w:t>et al</w:t>
      </w:r>
      <w:r>
        <w:rPr>
          <w:noProof/>
        </w:rPr>
        <w:t>. 1998, Ravosa and Daniel 2010).</w:t>
      </w:r>
    </w:p>
    <w:p w:rsidR="00DA5557" w:rsidRDefault="00DA5557">
      <w:pPr>
        <w:spacing w:before="0" w:after="200" w:line="276" w:lineRule="auto"/>
        <w:jc w:val="left"/>
        <w:rPr>
          <w:noProof/>
        </w:rPr>
      </w:pPr>
      <w:r>
        <w:rPr>
          <w:noProof/>
        </w:rPr>
        <w:br w:type="page"/>
      </w:r>
    </w:p>
    <w:p w:rsidR="00A61439" w:rsidRPr="00CA5FBB" w:rsidRDefault="008943E4" w:rsidP="006110DE">
      <w:pPr>
        <w:tabs>
          <w:tab w:val="left" w:pos="360"/>
        </w:tabs>
        <w:spacing w:line="240" w:lineRule="auto"/>
        <w:rPr>
          <w:noProof/>
          <w:color w:val="000000"/>
          <w:u w:val="single"/>
        </w:rPr>
      </w:pPr>
      <w:r w:rsidRPr="00CA5FBB">
        <w:rPr>
          <w:noProof/>
          <w:color w:val="000000"/>
          <w:u w:val="single"/>
        </w:rPr>
        <w:lastRenderedPageBreak/>
        <w:t>Combining allometric scaling and maturational sequences</w:t>
      </w:r>
    </w:p>
    <w:p w:rsidR="006110DE" w:rsidRDefault="00D203EA" w:rsidP="005128B4">
      <w:pPr>
        <w:rPr>
          <w:noProof/>
        </w:rPr>
      </w:pPr>
      <w:r>
        <w:rPr>
          <w:noProof/>
        </w:rPr>
        <w:t xml:space="preserve">Determining the relationship between </w:t>
      </w:r>
      <w:r w:rsidR="006110DE" w:rsidRPr="00A61439">
        <w:rPr>
          <w:noProof/>
        </w:rPr>
        <w:t xml:space="preserve">maturational events </w:t>
      </w:r>
      <w:r>
        <w:rPr>
          <w:noProof/>
        </w:rPr>
        <w:t xml:space="preserve">and growth parameters is complex.  </w:t>
      </w:r>
      <w:r w:rsidR="006110DE" w:rsidRPr="00A61439">
        <w:rPr>
          <w:noProof/>
        </w:rPr>
        <w:t xml:space="preserve">Various </w:t>
      </w:r>
      <w:r w:rsidR="006110DE">
        <w:rPr>
          <w:noProof/>
        </w:rPr>
        <w:t>models have been used to try and calibrate maturational events relative to body proportions, and to compare these variables between ancestors and descendents (Klingenberg 1998).  It has been suggested that there is not a strong relationship between skeletal maturational pattern and significant changes in size for closely related species</w:t>
      </w:r>
      <w:r w:rsidR="00D97FB6">
        <w:rPr>
          <w:noProof/>
        </w:rPr>
        <w:t xml:space="preserve"> (Godfrey and Sutherland 1995),</w:t>
      </w:r>
      <w:r w:rsidR="006110DE">
        <w:rPr>
          <w:noProof/>
        </w:rPr>
        <w:t xml:space="preserve"> as shown by Roth (1984) who studied skeletal development in elephant species.  Roth showed that these</w:t>
      </w:r>
      <w:r w:rsidR="00EC3951">
        <w:rPr>
          <w:noProof/>
        </w:rPr>
        <w:t xml:space="preserve"> species</w:t>
      </w:r>
      <w:r w:rsidR="006110DE">
        <w:rPr>
          <w:noProof/>
        </w:rPr>
        <w:t xml:space="preserve"> varied dramatically in size but the size changes did not necessarily correlate to any specific changes in pattern of skeletal and dental development.  Dwarfed species especially did not exhibit paedomorphic patterns (retention of juvenile traits in adult forms, i.e. neoteny) but simply appeared to be scaled-down versions of larger species.  This study may seem like a convincing case in point, although it is only drawn from one dwarfed taxon</w:t>
      </w:r>
      <w:r w:rsidR="00F55BAA">
        <w:rPr>
          <w:noProof/>
        </w:rPr>
        <w:t xml:space="preserve"> from which there was sufficient data</w:t>
      </w:r>
      <w:r w:rsidR="00C606C5">
        <w:rPr>
          <w:noProof/>
        </w:rPr>
        <w:t>.  It i</w:t>
      </w:r>
      <w:r w:rsidR="006110DE">
        <w:rPr>
          <w:noProof/>
        </w:rPr>
        <w:t xml:space="preserve">s not evidence that </w:t>
      </w:r>
      <w:r w:rsidR="00F55BAA">
        <w:rPr>
          <w:noProof/>
        </w:rPr>
        <w:t>other</w:t>
      </w:r>
      <w:r w:rsidR="006110DE">
        <w:rPr>
          <w:noProof/>
        </w:rPr>
        <w:t xml:space="preserve"> dwarfed taxa </w:t>
      </w:r>
      <w:r w:rsidR="00F55BAA">
        <w:rPr>
          <w:noProof/>
        </w:rPr>
        <w:t xml:space="preserve">necessarily </w:t>
      </w:r>
      <w:r w:rsidR="006110DE">
        <w:rPr>
          <w:noProof/>
        </w:rPr>
        <w:t xml:space="preserve">behave in this manner.  However, a bigger challenge for this type of research is that it requires a diverse set of samples from multiple species for robust conclusions to be made.  This type of information across appropriately related taxa is </w:t>
      </w:r>
      <w:r w:rsidR="00B40BDE">
        <w:rPr>
          <w:noProof/>
        </w:rPr>
        <w:t>still</w:t>
      </w:r>
      <w:r w:rsidR="000836D9">
        <w:rPr>
          <w:noProof/>
        </w:rPr>
        <w:t xml:space="preserve"> </w:t>
      </w:r>
      <w:r w:rsidR="002D3007">
        <w:rPr>
          <w:noProof/>
        </w:rPr>
        <w:t>limited.</w:t>
      </w:r>
    </w:p>
    <w:p w:rsidR="00294077" w:rsidRPr="00CA5FBB" w:rsidRDefault="008943E4" w:rsidP="00294077">
      <w:pPr>
        <w:tabs>
          <w:tab w:val="left" w:pos="360"/>
        </w:tabs>
        <w:spacing w:line="240" w:lineRule="auto"/>
        <w:rPr>
          <w:noProof/>
          <w:color w:val="000000"/>
          <w:u w:val="single"/>
        </w:rPr>
      </w:pPr>
      <w:r w:rsidRPr="00CA5FBB">
        <w:rPr>
          <w:noProof/>
          <w:color w:val="000000"/>
          <w:u w:val="single"/>
        </w:rPr>
        <w:t>The application of ontogenetic theory to the study of human evolution</w:t>
      </w:r>
    </w:p>
    <w:p w:rsidR="00A112CE" w:rsidRPr="00A112CE" w:rsidRDefault="006110DE" w:rsidP="005E4A8F">
      <w:pPr>
        <w:rPr>
          <w:b/>
          <w:noProof/>
          <w:color w:val="FF0000"/>
        </w:rPr>
      </w:pPr>
      <w:r>
        <w:rPr>
          <w:noProof/>
        </w:rPr>
        <w:t xml:space="preserve">Ontogenetic theory as applied to humans has centred primarily on comparisons between chimpanzees and humans.  This is because chimpanzees are </w:t>
      </w:r>
      <w:r w:rsidR="00294077">
        <w:rPr>
          <w:noProof/>
        </w:rPr>
        <w:t>a closely related species t</w:t>
      </w:r>
      <w:r>
        <w:rPr>
          <w:noProof/>
        </w:rPr>
        <w:t xml:space="preserve">o humans but also remains morphologically and behaviourally distinct.  </w:t>
      </w:r>
      <w:r w:rsidR="00F206E6">
        <w:rPr>
          <w:noProof/>
        </w:rPr>
        <w:t>While b</w:t>
      </w:r>
      <w:r w:rsidR="00294077">
        <w:rPr>
          <w:noProof/>
        </w:rPr>
        <w:t xml:space="preserve">onobos are </w:t>
      </w:r>
      <w:r w:rsidR="00F206E6">
        <w:rPr>
          <w:noProof/>
        </w:rPr>
        <w:t xml:space="preserve">equally </w:t>
      </w:r>
      <w:r w:rsidR="00294077">
        <w:rPr>
          <w:noProof/>
        </w:rPr>
        <w:t xml:space="preserve">closely related </w:t>
      </w:r>
      <w:r w:rsidR="00F206E6">
        <w:rPr>
          <w:noProof/>
        </w:rPr>
        <w:t>to humans, c</w:t>
      </w:r>
      <w:r>
        <w:rPr>
          <w:noProof/>
        </w:rPr>
        <w:t xml:space="preserve">omparisons with </w:t>
      </w:r>
      <w:r w:rsidR="00294077">
        <w:rPr>
          <w:noProof/>
        </w:rPr>
        <w:t>this species</w:t>
      </w:r>
      <w:r>
        <w:rPr>
          <w:noProof/>
        </w:rPr>
        <w:t xml:space="preserve"> are </w:t>
      </w:r>
      <w:r w:rsidR="000B635A">
        <w:rPr>
          <w:noProof/>
        </w:rPr>
        <w:t xml:space="preserve">relatively </w:t>
      </w:r>
      <w:r>
        <w:rPr>
          <w:noProof/>
        </w:rPr>
        <w:t>rare but fall into a similar category of study due</w:t>
      </w:r>
      <w:r w:rsidR="00B35F12">
        <w:rPr>
          <w:noProof/>
        </w:rPr>
        <w:t xml:space="preserve"> to</w:t>
      </w:r>
      <w:r>
        <w:rPr>
          <w:noProof/>
        </w:rPr>
        <w:t xml:space="preserve"> bonobos branching away from chimpanzees after the</w:t>
      </w:r>
      <w:r w:rsidR="00913223">
        <w:rPr>
          <w:noProof/>
        </w:rPr>
        <w:t xml:space="preserve"> divergence of</w:t>
      </w:r>
      <w:r>
        <w:rPr>
          <w:noProof/>
        </w:rPr>
        <w:t xml:space="preserve"> </w:t>
      </w:r>
      <w:r w:rsidRPr="009F7588">
        <w:rPr>
          <w:i/>
          <w:noProof/>
        </w:rPr>
        <w:t>Homo</w:t>
      </w:r>
      <w:r w:rsidRPr="00494EDE">
        <w:rPr>
          <w:noProof/>
        </w:rPr>
        <w:t>-</w:t>
      </w:r>
      <w:r w:rsidRPr="009F7588">
        <w:rPr>
          <w:i/>
          <w:noProof/>
        </w:rPr>
        <w:t>Pan</w:t>
      </w:r>
      <w:r>
        <w:rPr>
          <w:noProof/>
        </w:rPr>
        <w:t xml:space="preserve">.  Adding to the differences between </w:t>
      </w:r>
      <w:r w:rsidR="00935346">
        <w:rPr>
          <w:noProof/>
        </w:rPr>
        <w:t xml:space="preserve">chimpanzees and humans, </w:t>
      </w:r>
      <w:r>
        <w:rPr>
          <w:noProof/>
        </w:rPr>
        <w:t xml:space="preserve">it has been observed that </w:t>
      </w:r>
      <w:r w:rsidR="00935346">
        <w:rPr>
          <w:noProof/>
        </w:rPr>
        <w:t xml:space="preserve">these species </w:t>
      </w:r>
      <w:r>
        <w:rPr>
          <w:noProof/>
        </w:rPr>
        <w:t xml:space="preserve">achieve adult form at different times and at different rates.  This particular point has been discussed at length with some level of disagreement persisting to </w:t>
      </w:r>
      <w:r w:rsidR="00E13595">
        <w:rPr>
          <w:noProof/>
        </w:rPr>
        <w:t>the current state of research.</w:t>
      </w:r>
    </w:p>
    <w:p w:rsidR="006110DE" w:rsidRPr="00CA5FBB" w:rsidRDefault="008943E4" w:rsidP="006110DE">
      <w:pPr>
        <w:tabs>
          <w:tab w:val="left" w:pos="360"/>
        </w:tabs>
        <w:spacing w:line="240" w:lineRule="auto"/>
        <w:rPr>
          <w:noProof/>
          <w:color w:val="000000"/>
          <w:u w:val="single"/>
        </w:rPr>
      </w:pPr>
      <w:r w:rsidRPr="00CA5FBB">
        <w:rPr>
          <w:noProof/>
          <w:color w:val="000000"/>
          <w:u w:val="single"/>
        </w:rPr>
        <w:t>Attempts at unified theories based on neoteny and hypermorphosis</w:t>
      </w:r>
    </w:p>
    <w:p w:rsidR="001420A9" w:rsidRDefault="00E51253" w:rsidP="005128B4">
      <w:pPr>
        <w:rPr>
          <w:noProof/>
        </w:rPr>
      </w:pPr>
      <w:r>
        <w:rPr>
          <w:noProof/>
        </w:rPr>
        <w:t>I</w:t>
      </w:r>
      <w:r w:rsidR="00340F3B">
        <w:rPr>
          <w:noProof/>
        </w:rPr>
        <w:t xml:space="preserve">n the 1990s </w:t>
      </w:r>
      <w:r w:rsidR="006110DE">
        <w:rPr>
          <w:noProof/>
        </w:rPr>
        <w:t xml:space="preserve">there was a thrust towards producing a unified theory of growth.  </w:t>
      </w:r>
      <w:r w:rsidR="005A171D">
        <w:rPr>
          <w:noProof/>
        </w:rPr>
        <w:t xml:space="preserve">The subject was </w:t>
      </w:r>
      <w:r w:rsidR="00C977C0">
        <w:rPr>
          <w:noProof/>
        </w:rPr>
        <w:t>extensively</w:t>
      </w:r>
      <w:r w:rsidR="005A171D">
        <w:rPr>
          <w:noProof/>
        </w:rPr>
        <w:t xml:space="preserve"> </w:t>
      </w:r>
      <w:r w:rsidR="001839B0">
        <w:rPr>
          <w:noProof/>
        </w:rPr>
        <w:t>deb</w:t>
      </w:r>
      <w:r w:rsidR="005A171D">
        <w:rPr>
          <w:noProof/>
        </w:rPr>
        <w:t xml:space="preserve">ated </w:t>
      </w:r>
      <w:r w:rsidR="000425E8">
        <w:rPr>
          <w:noProof/>
        </w:rPr>
        <w:t xml:space="preserve">but </w:t>
      </w:r>
      <w:r w:rsidR="006110DE">
        <w:rPr>
          <w:noProof/>
        </w:rPr>
        <w:t>disagreement and a lack of consensus</w:t>
      </w:r>
      <w:r w:rsidR="000425E8" w:rsidRPr="000425E8">
        <w:rPr>
          <w:noProof/>
        </w:rPr>
        <w:t xml:space="preserve"> </w:t>
      </w:r>
      <w:r w:rsidR="00766E5B">
        <w:rPr>
          <w:noProof/>
        </w:rPr>
        <w:t xml:space="preserve">remained and persists </w:t>
      </w:r>
      <w:r w:rsidR="000425E8">
        <w:rPr>
          <w:noProof/>
        </w:rPr>
        <w:t>to the present day</w:t>
      </w:r>
      <w:r w:rsidR="006110DE">
        <w:rPr>
          <w:noProof/>
        </w:rPr>
        <w:t>.</w:t>
      </w:r>
      <w:r w:rsidR="006110DE" w:rsidRPr="008E687C">
        <w:rPr>
          <w:noProof/>
        </w:rPr>
        <w:t xml:space="preserve">  </w:t>
      </w:r>
      <w:r w:rsidR="006110DE">
        <w:rPr>
          <w:noProof/>
        </w:rPr>
        <w:t xml:space="preserve">The concept that humans exhibit neoteny has been proposed multiple times and is the oldest proposed explanations for how </w:t>
      </w:r>
      <w:r w:rsidR="00685254">
        <w:rPr>
          <w:noProof/>
        </w:rPr>
        <w:t xml:space="preserve">the species </w:t>
      </w:r>
      <w:r w:rsidR="006110DE">
        <w:rPr>
          <w:noProof/>
        </w:rPr>
        <w:t>differ</w:t>
      </w:r>
      <w:r w:rsidR="00D831D3">
        <w:rPr>
          <w:noProof/>
        </w:rPr>
        <w:t>s</w:t>
      </w:r>
      <w:r w:rsidR="006110DE">
        <w:rPr>
          <w:noProof/>
        </w:rPr>
        <w:t xml:space="preserve"> from other apes.  As discussed by Bogin (1997), the most substantial proponent of this</w:t>
      </w:r>
      <w:r w:rsidR="0003121B">
        <w:rPr>
          <w:noProof/>
        </w:rPr>
        <w:t xml:space="preserve"> concept</w:t>
      </w:r>
      <w:r w:rsidR="006110DE">
        <w:rPr>
          <w:noProof/>
        </w:rPr>
        <w:t xml:space="preserve"> was Gould (1981) who provided a case based more on behavioural observations than anatomical ones.  </w:t>
      </w:r>
      <w:r w:rsidR="001420A9">
        <w:rPr>
          <w:noProof/>
        </w:rPr>
        <w:t xml:space="preserve">Essentially the curiosity and learning behaviours of young primates is brought forward to adulthood in humans.  </w:t>
      </w:r>
    </w:p>
    <w:p w:rsidR="006110DE" w:rsidRDefault="006110DE" w:rsidP="005128B4">
      <w:pPr>
        <w:rPr>
          <w:noProof/>
        </w:rPr>
      </w:pPr>
      <w:r>
        <w:rPr>
          <w:noProof/>
        </w:rPr>
        <w:lastRenderedPageBreak/>
        <w:t xml:space="preserve">The </w:t>
      </w:r>
      <w:r w:rsidR="009557C3">
        <w:rPr>
          <w:noProof/>
        </w:rPr>
        <w:t>popular</w:t>
      </w:r>
      <w:r w:rsidR="00AA4394">
        <w:rPr>
          <w:noProof/>
        </w:rPr>
        <w:t xml:space="preserve"> impression that young </w:t>
      </w:r>
      <w:r w:rsidR="009557C3">
        <w:rPr>
          <w:noProof/>
        </w:rPr>
        <w:t xml:space="preserve">chimpanzees </w:t>
      </w:r>
      <w:r w:rsidR="00AA4394">
        <w:rPr>
          <w:noProof/>
        </w:rPr>
        <w:t>appear more ‘human-like’ has led the expectation of sub-adult feature retention.  However,</w:t>
      </w:r>
      <w:r w:rsidR="00AD627F">
        <w:rPr>
          <w:noProof/>
        </w:rPr>
        <w:t xml:space="preserve"> the</w:t>
      </w:r>
      <w:r w:rsidR="00AA4394">
        <w:rPr>
          <w:noProof/>
        </w:rPr>
        <w:t xml:space="preserve"> </w:t>
      </w:r>
      <w:r w:rsidR="001420A9">
        <w:rPr>
          <w:noProof/>
        </w:rPr>
        <w:t xml:space="preserve">investigation of neoteny in terms of </w:t>
      </w:r>
      <w:r w:rsidR="00D66CC6">
        <w:rPr>
          <w:noProof/>
        </w:rPr>
        <w:t xml:space="preserve">general </w:t>
      </w:r>
      <w:r w:rsidR="001420A9">
        <w:rPr>
          <w:noProof/>
        </w:rPr>
        <w:t>anatom</w:t>
      </w:r>
      <w:r w:rsidR="00D66CC6">
        <w:rPr>
          <w:noProof/>
        </w:rPr>
        <w:t>y</w:t>
      </w:r>
      <w:r w:rsidR="001420A9">
        <w:rPr>
          <w:noProof/>
        </w:rPr>
        <w:t xml:space="preserve"> has </w:t>
      </w:r>
      <w:r w:rsidR="00436C38">
        <w:rPr>
          <w:noProof/>
        </w:rPr>
        <w:t>had limited application</w:t>
      </w:r>
      <w:r w:rsidR="001420A9">
        <w:rPr>
          <w:noProof/>
        </w:rPr>
        <w:t>.  There have bee</w:t>
      </w:r>
      <w:r w:rsidR="00BE5613">
        <w:rPr>
          <w:noProof/>
        </w:rPr>
        <w:t>n</w:t>
      </w:r>
      <w:r w:rsidR="00121C9D">
        <w:rPr>
          <w:noProof/>
        </w:rPr>
        <w:t xml:space="preserve"> some</w:t>
      </w:r>
      <w:r w:rsidR="001420A9">
        <w:rPr>
          <w:noProof/>
        </w:rPr>
        <w:t xml:space="preserve"> studies of</w:t>
      </w:r>
      <w:r>
        <w:rPr>
          <w:noProof/>
        </w:rPr>
        <w:t xml:space="preserve"> </w:t>
      </w:r>
      <w:r w:rsidR="000D7B80">
        <w:rPr>
          <w:noProof/>
        </w:rPr>
        <w:t xml:space="preserve">facial morphology </w:t>
      </w:r>
      <w:r w:rsidR="00121C9D">
        <w:rPr>
          <w:noProof/>
        </w:rPr>
        <w:t xml:space="preserve">that have </w:t>
      </w:r>
      <w:r w:rsidR="0056233D">
        <w:rPr>
          <w:noProof/>
        </w:rPr>
        <w:t xml:space="preserve">pointed towards </w:t>
      </w:r>
      <w:r w:rsidR="00121C9D">
        <w:rPr>
          <w:noProof/>
        </w:rPr>
        <w:t>humans retain</w:t>
      </w:r>
      <w:r w:rsidR="00DE4248">
        <w:rPr>
          <w:noProof/>
        </w:rPr>
        <w:t>ing</w:t>
      </w:r>
      <w:r w:rsidR="00121C9D">
        <w:rPr>
          <w:noProof/>
        </w:rPr>
        <w:t xml:space="preserve"> sub-adult </w:t>
      </w:r>
      <w:r w:rsidR="000A3442">
        <w:rPr>
          <w:noProof/>
        </w:rPr>
        <w:t xml:space="preserve">cranial </w:t>
      </w:r>
      <w:r w:rsidR="00121C9D">
        <w:rPr>
          <w:noProof/>
        </w:rPr>
        <w:t xml:space="preserve">features into adult form </w:t>
      </w:r>
      <w:r w:rsidR="000D7B80">
        <w:rPr>
          <w:noProof/>
        </w:rPr>
        <w:t>(</w:t>
      </w:r>
      <w:r w:rsidR="001420A9">
        <w:rPr>
          <w:noProof/>
        </w:rPr>
        <w:t xml:space="preserve">e.g., </w:t>
      </w:r>
      <w:r w:rsidR="000D7B80">
        <w:rPr>
          <w:noProof/>
        </w:rPr>
        <w:t xml:space="preserve">Bastir and Rosas 2004, </w:t>
      </w:r>
      <w:r>
        <w:rPr>
          <w:noProof/>
        </w:rPr>
        <w:t xml:space="preserve">Penin </w:t>
      </w:r>
      <w:r>
        <w:rPr>
          <w:i/>
          <w:noProof/>
        </w:rPr>
        <w:t>et al</w:t>
      </w:r>
      <w:r w:rsidR="004F273F">
        <w:rPr>
          <w:noProof/>
        </w:rPr>
        <w:t>.</w:t>
      </w:r>
      <w:r w:rsidR="000D7B80">
        <w:rPr>
          <w:noProof/>
        </w:rPr>
        <w:t xml:space="preserve"> </w:t>
      </w:r>
      <w:r>
        <w:rPr>
          <w:noProof/>
        </w:rPr>
        <w:t xml:space="preserve">2002).  Bufill </w:t>
      </w:r>
      <w:r>
        <w:rPr>
          <w:i/>
          <w:noProof/>
        </w:rPr>
        <w:t>et al</w:t>
      </w:r>
      <w:r w:rsidR="00B814FA">
        <w:rPr>
          <w:i/>
          <w:noProof/>
        </w:rPr>
        <w:t>.</w:t>
      </w:r>
      <w:r>
        <w:rPr>
          <w:noProof/>
        </w:rPr>
        <w:t xml:space="preserve"> (2011) have suggested that humans maintain neurologically immature state of synaptic connection formation.  </w:t>
      </w:r>
      <w:r w:rsidR="004F35A8">
        <w:rPr>
          <w:noProof/>
        </w:rPr>
        <w:t>Apart from the study of cranio-facial growth, the application of neoteny to humans relies on little other anatomical evidence</w:t>
      </w:r>
      <w:r>
        <w:rPr>
          <w:noProof/>
        </w:rPr>
        <w:t xml:space="preserve">.  </w:t>
      </w:r>
      <w:r w:rsidR="000D513D">
        <w:rPr>
          <w:noProof/>
        </w:rPr>
        <w:t xml:space="preserve">The simplicity of the concept may have limitations </w:t>
      </w:r>
      <w:r w:rsidR="00D94E25">
        <w:rPr>
          <w:noProof/>
        </w:rPr>
        <w:t>when applied</w:t>
      </w:r>
      <w:r w:rsidR="000D513D">
        <w:rPr>
          <w:noProof/>
        </w:rPr>
        <w:t xml:space="preserve"> to post-cranial growth.  The convention that defines complete maturation of a bone is fusion of its epiphyses.  In this sense, neoteny clearly doesn’t apply to humans or apes as they both always mature</w:t>
      </w:r>
      <w:r>
        <w:rPr>
          <w:noProof/>
        </w:rPr>
        <w:t>.</w:t>
      </w:r>
      <w:r w:rsidR="000D513D">
        <w:rPr>
          <w:noProof/>
        </w:rPr>
        <w:t xml:space="preserve">  However, whether individual elements demonstrate ‘temporary neoteny’</w:t>
      </w:r>
      <w:r w:rsidR="001F05B2">
        <w:rPr>
          <w:noProof/>
        </w:rPr>
        <w:t xml:space="preserve"> in</w:t>
      </w:r>
      <w:r w:rsidR="000D513D">
        <w:rPr>
          <w:noProof/>
        </w:rPr>
        <w:t xml:space="preserve"> that an element may grow longer or stay in an immature state for a greater period of time is entirely possible.  A pertinent example of this would be the temporally very late fusion of the medial clavicle in humans.  Additionally, </w:t>
      </w:r>
      <w:r w:rsidR="00E81B8F">
        <w:rPr>
          <w:noProof/>
        </w:rPr>
        <w:t xml:space="preserve">the argument that </w:t>
      </w:r>
      <w:r w:rsidR="000D513D">
        <w:rPr>
          <w:noProof/>
        </w:rPr>
        <w:t>dimensional differences</w:t>
      </w:r>
      <w:r w:rsidR="00E81B8F">
        <w:rPr>
          <w:noProof/>
        </w:rPr>
        <w:t xml:space="preserve"> during growth</w:t>
      </w:r>
      <w:r w:rsidR="000D513D">
        <w:rPr>
          <w:noProof/>
        </w:rPr>
        <w:t xml:space="preserve"> </w:t>
      </w:r>
      <w:r w:rsidR="00E81B8F">
        <w:rPr>
          <w:noProof/>
        </w:rPr>
        <w:t>indicat</w:t>
      </w:r>
      <w:r w:rsidR="000D513D">
        <w:rPr>
          <w:noProof/>
        </w:rPr>
        <w:t xml:space="preserve">e neoteny </w:t>
      </w:r>
      <w:r w:rsidR="00E81B8F">
        <w:rPr>
          <w:noProof/>
        </w:rPr>
        <w:t>is difficult to prove.  Evidence may be presented as a slowing of growth in an element, resulting in a difference for the adult</w:t>
      </w:r>
      <w:r w:rsidR="00530CB0">
        <w:rPr>
          <w:noProof/>
        </w:rPr>
        <w:t>.  W</w:t>
      </w:r>
      <w:r w:rsidR="0048457D">
        <w:rPr>
          <w:noProof/>
        </w:rPr>
        <w:t>hether this is simply a difference between species or a specific retention of sub-adult features is debatable</w:t>
      </w:r>
      <w:r w:rsidR="000D513D">
        <w:rPr>
          <w:noProof/>
        </w:rPr>
        <w:t>.</w:t>
      </w:r>
      <w:r w:rsidR="00F17B88">
        <w:rPr>
          <w:noProof/>
        </w:rPr>
        <w:t xml:space="preserve"> </w:t>
      </w:r>
    </w:p>
    <w:p w:rsidR="006110DE" w:rsidRPr="00E610D7" w:rsidRDefault="00530CB0" w:rsidP="002D3007">
      <w:pPr>
        <w:rPr>
          <w:b/>
          <w:noProof/>
        </w:rPr>
      </w:pPr>
      <w:r>
        <w:rPr>
          <w:noProof/>
        </w:rPr>
        <w:t>The application of n</w:t>
      </w:r>
      <w:r w:rsidR="006110DE">
        <w:rPr>
          <w:noProof/>
        </w:rPr>
        <w:t>eoteny</w:t>
      </w:r>
      <w:r>
        <w:rPr>
          <w:noProof/>
        </w:rPr>
        <w:t xml:space="preserve"> to humans</w:t>
      </w:r>
      <w:r w:rsidR="006110DE">
        <w:rPr>
          <w:noProof/>
        </w:rPr>
        <w:t xml:space="preserve"> has been challenged in the past</w:t>
      </w:r>
      <w:r w:rsidR="001E5109">
        <w:rPr>
          <w:noProof/>
        </w:rPr>
        <w:t xml:space="preserve"> for growth rate and for dimensional change</w:t>
      </w:r>
      <w:r w:rsidR="006110DE">
        <w:rPr>
          <w:noProof/>
        </w:rPr>
        <w:t>.  McKinney and McNamara (1991), Parker (1996), and Vrba (1996) argue</w:t>
      </w:r>
      <w:r w:rsidR="005543C5">
        <w:rPr>
          <w:noProof/>
        </w:rPr>
        <w:t xml:space="preserve">d that humans are </w:t>
      </w:r>
      <w:r w:rsidR="00953845">
        <w:rPr>
          <w:noProof/>
        </w:rPr>
        <w:t>instead</w:t>
      </w:r>
      <w:r w:rsidR="005543C5">
        <w:rPr>
          <w:noProof/>
        </w:rPr>
        <w:t xml:space="preserve"> hyper</w:t>
      </w:r>
      <w:r w:rsidR="006110DE">
        <w:rPr>
          <w:noProof/>
        </w:rPr>
        <w:t>morphic</w:t>
      </w:r>
      <w:r w:rsidR="00F070A7">
        <w:rPr>
          <w:noProof/>
        </w:rPr>
        <w:t>; t</w:t>
      </w:r>
      <w:r w:rsidR="006110DE">
        <w:rPr>
          <w:noProof/>
        </w:rPr>
        <w:t>hey are not persistent subadults but are actually developmentally delayed adults.  That is, there is not retention of subadult features into later stages but rather that the adult stages</w:t>
      </w:r>
      <w:r w:rsidR="00161FB2">
        <w:rPr>
          <w:noProof/>
        </w:rPr>
        <w:t xml:space="preserve"> are delayed</w:t>
      </w:r>
      <w:r w:rsidR="006110DE">
        <w:rPr>
          <w:noProof/>
        </w:rPr>
        <w:t xml:space="preserve">.  These studies again considered overall somatic growth rates as well as cognitive and social rationale for their conclusions.  Vrba (1996) went further and posited that this longer period of growth permitted the distortions in body shape between ancestor and descendant we see today.  </w:t>
      </w:r>
      <w:r w:rsidR="00437074">
        <w:rPr>
          <w:noProof/>
        </w:rPr>
        <w:t>However, t</w:t>
      </w:r>
      <w:r w:rsidR="006110DE">
        <w:rPr>
          <w:noProof/>
        </w:rPr>
        <w:t xml:space="preserve">he theory that humans are hypermorphic has also been challenged.  Shea (1989), Godfrey and Sutherland (1996) and </w:t>
      </w:r>
      <w:r w:rsidR="006110DE" w:rsidRPr="00D9710E">
        <w:rPr>
          <w:noProof/>
        </w:rPr>
        <w:t>Mitteroecker</w:t>
      </w:r>
      <w:r w:rsidR="006110DE">
        <w:rPr>
          <w:noProof/>
        </w:rPr>
        <w:t xml:space="preserve"> </w:t>
      </w:r>
      <w:r w:rsidR="006110DE">
        <w:rPr>
          <w:i/>
          <w:noProof/>
        </w:rPr>
        <w:t xml:space="preserve">et </w:t>
      </w:r>
      <w:r w:rsidR="006110DE" w:rsidRPr="00CB6B82">
        <w:rPr>
          <w:i/>
          <w:noProof/>
        </w:rPr>
        <w:t>al</w:t>
      </w:r>
      <w:r w:rsidR="00301E8D">
        <w:rPr>
          <w:i/>
          <w:noProof/>
        </w:rPr>
        <w:t>.</w:t>
      </w:r>
      <w:r w:rsidR="006110DE">
        <w:rPr>
          <w:noProof/>
        </w:rPr>
        <w:t xml:space="preserve"> (2004) </w:t>
      </w:r>
      <w:r w:rsidR="006110DE" w:rsidRPr="00CB6B82">
        <w:rPr>
          <w:noProof/>
        </w:rPr>
        <w:t>have</w:t>
      </w:r>
      <w:r w:rsidR="006110DE">
        <w:rPr>
          <w:noProof/>
        </w:rPr>
        <w:t xml:space="preserve"> reasoned that n</w:t>
      </w:r>
      <w:r w:rsidR="00437074">
        <w:rPr>
          <w:noProof/>
        </w:rPr>
        <w:t>e</w:t>
      </w:r>
      <w:r w:rsidR="006110DE">
        <w:rPr>
          <w:noProof/>
        </w:rPr>
        <w:t>ither theory sufficiently explains the patterns of growth and allometry in humans.  Shea (1989) allowed for neoteny to be</w:t>
      </w:r>
      <w:r w:rsidR="00E94F54">
        <w:rPr>
          <w:noProof/>
        </w:rPr>
        <w:t xml:space="preserve"> potentially present for cranio-facial</w:t>
      </w:r>
      <w:r w:rsidR="006110DE">
        <w:rPr>
          <w:noProof/>
        </w:rPr>
        <w:t xml:space="preserve"> dimensions.  Mitteroecker </w:t>
      </w:r>
      <w:r w:rsidR="006110DE">
        <w:rPr>
          <w:i/>
          <w:noProof/>
        </w:rPr>
        <w:t>et al</w:t>
      </w:r>
      <w:r w:rsidR="00B96BF6">
        <w:rPr>
          <w:i/>
          <w:noProof/>
        </w:rPr>
        <w:t>.</w:t>
      </w:r>
      <w:r w:rsidR="006110DE">
        <w:rPr>
          <w:i/>
          <w:noProof/>
        </w:rPr>
        <w:t xml:space="preserve"> </w:t>
      </w:r>
      <w:r w:rsidR="006110DE">
        <w:rPr>
          <w:noProof/>
        </w:rPr>
        <w:t>(2004) have taken the opposing view after comparing chimpanzee and human cranial dimensions and concluded that this is not the case. These studies refuting neoteny and hypermorphosis have cited allometric contradictions as evidence against both theories.</w:t>
      </w:r>
    </w:p>
    <w:p w:rsidR="006110DE" w:rsidRDefault="006110DE" w:rsidP="002D3007">
      <w:pPr>
        <w:rPr>
          <w:noProof/>
        </w:rPr>
      </w:pPr>
      <w:r>
        <w:rPr>
          <w:noProof/>
        </w:rPr>
        <w:t xml:space="preserve">In the last decade there has been a decline in attempts to describe human development by a unified theory with perhaps the exception of neoteny in cranio-facial growth, although this too is not without dispute.  It seems a reasonable conclusion to draw that differences in growth are inherently more </w:t>
      </w:r>
      <w:r>
        <w:rPr>
          <w:noProof/>
        </w:rPr>
        <w:lastRenderedPageBreak/>
        <w:t>complex than the definition</w:t>
      </w:r>
      <w:r w:rsidR="008363CB">
        <w:rPr>
          <w:noProof/>
        </w:rPr>
        <w:t>s</w:t>
      </w:r>
      <w:r>
        <w:rPr>
          <w:noProof/>
        </w:rPr>
        <w:t xml:space="preserve"> these terms permit.  Thus far </w:t>
      </w:r>
      <w:r w:rsidR="00E63F6F">
        <w:rPr>
          <w:noProof/>
        </w:rPr>
        <w:t xml:space="preserve">neither </w:t>
      </w:r>
      <w:r>
        <w:rPr>
          <w:noProof/>
        </w:rPr>
        <w:t xml:space="preserve">allometry </w:t>
      </w:r>
      <w:r w:rsidR="008363CB">
        <w:rPr>
          <w:noProof/>
        </w:rPr>
        <w:t>n</w:t>
      </w:r>
      <w:r>
        <w:rPr>
          <w:noProof/>
        </w:rPr>
        <w:t>or overall somatic growth rate appear to conform to generalised theories of heterochrony either analysed separately or combined.  It appears that the size and shape of humans are not strictly the consequence of augmented growth rate but undoubtedly the result of independent selection acting on different anatomical regions and processes.  This result points towards the requirement for a more detailed understanding of each developmental process.</w:t>
      </w:r>
    </w:p>
    <w:p w:rsidR="006110DE" w:rsidRPr="00CA5FBB" w:rsidRDefault="008943E4" w:rsidP="002D3007">
      <w:pPr>
        <w:rPr>
          <w:noProof/>
          <w:u w:val="single"/>
        </w:rPr>
      </w:pPr>
      <w:r w:rsidRPr="00CA5FBB">
        <w:rPr>
          <w:noProof/>
          <w:u w:val="single"/>
        </w:rPr>
        <w:t>Allometric scaling in chimpanzees, bonobos, and humans</w:t>
      </w:r>
    </w:p>
    <w:p w:rsidR="00053C21" w:rsidRDefault="006110DE" w:rsidP="002D3007">
      <w:pPr>
        <w:rPr>
          <w:noProof/>
        </w:rPr>
      </w:pPr>
      <w:r>
        <w:rPr>
          <w:noProof/>
        </w:rPr>
        <w:t>Theories of heterochrony may not work well when attemp</w:t>
      </w:r>
      <w:r w:rsidR="00D60E1F">
        <w:rPr>
          <w:noProof/>
        </w:rPr>
        <w:t>ting to integrate</w:t>
      </w:r>
      <w:r>
        <w:rPr>
          <w:noProof/>
        </w:rPr>
        <w:t xml:space="preserve"> data from allometric scaling but the results of such studies are in themselves very useful for understanding developmental change.  She</w:t>
      </w:r>
      <w:r w:rsidR="006759BC">
        <w:rPr>
          <w:noProof/>
        </w:rPr>
        <w:t>a</w:t>
      </w:r>
      <w:r>
        <w:rPr>
          <w:noProof/>
        </w:rPr>
        <w:t>’s (1989) argument against heterochrony was based on the list of papers that he produced over the previous decade (e.g.</w:t>
      </w:r>
      <w:r w:rsidR="006759BC">
        <w:rPr>
          <w:noProof/>
        </w:rPr>
        <w:t>,</w:t>
      </w:r>
      <w:r>
        <w:rPr>
          <w:noProof/>
        </w:rPr>
        <w:t xml:space="preserve"> Shea 1981, 1983, 1984, 1985, 1989).  The details of Shea’s research are discussed in sections 2.6.2 to 2.6.4 when studies of long-bone length</w:t>
      </w:r>
      <w:r w:rsidR="004353A0">
        <w:rPr>
          <w:noProof/>
        </w:rPr>
        <w:t xml:space="preserve"> are considered</w:t>
      </w:r>
      <w:r>
        <w:rPr>
          <w:noProof/>
        </w:rPr>
        <w:t xml:space="preserve">.  To summarise, Shea (1981) found that </w:t>
      </w:r>
      <w:r>
        <w:rPr>
          <w:i/>
          <w:noProof/>
        </w:rPr>
        <w:t>Pan troglodytes</w:t>
      </w:r>
      <w:r>
        <w:rPr>
          <w:noProof/>
        </w:rPr>
        <w:t xml:space="preserve">, </w:t>
      </w:r>
      <w:r>
        <w:rPr>
          <w:i/>
          <w:noProof/>
        </w:rPr>
        <w:t>Pan paniscus</w:t>
      </w:r>
      <w:r>
        <w:rPr>
          <w:noProof/>
        </w:rPr>
        <w:t xml:space="preserve">, and </w:t>
      </w:r>
      <w:r>
        <w:rPr>
          <w:i/>
          <w:noProof/>
        </w:rPr>
        <w:t>Gorilla gorilla</w:t>
      </w:r>
      <w:r>
        <w:rPr>
          <w:noProof/>
        </w:rPr>
        <w:t xml:space="preserve"> showed broad similarities in overall growth rates but differences in development of individuals bones </w:t>
      </w:r>
      <w:r w:rsidR="005543C5">
        <w:rPr>
          <w:noProof/>
        </w:rPr>
        <w:t xml:space="preserve">were </w:t>
      </w:r>
      <w:r>
        <w:rPr>
          <w:noProof/>
        </w:rPr>
        <w:t xml:space="preserve">both </w:t>
      </w:r>
      <w:r w:rsidR="005543C5">
        <w:rPr>
          <w:noProof/>
        </w:rPr>
        <w:t>interspecific and intraspecific</w:t>
      </w:r>
      <w:r>
        <w:rPr>
          <w:noProof/>
        </w:rPr>
        <w:t>.  These differences had effects on the eventual adult dimensions, which have been more commonly compared.  For examp</w:t>
      </w:r>
      <w:r w:rsidR="00255E44">
        <w:rPr>
          <w:noProof/>
        </w:rPr>
        <w:t>le, both chimpanzee and gorilla</w:t>
      </w:r>
      <w:r>
        <w:rPr>
          <w:noProof/>
        </w:rPr>
        <w:t xml:space="preserve"> adults h</w:t>
      </w:r>
      <w:r w:rsidR="00255E44">
        <w:rPr>
          <w:noProof/>
        </w:rPr>
        <w:t xml:space="preserve">ave longer upper as opposed to </w:t>
      </w:r>
      <w:r>
        <w:rPr>
          <w:noProof/>
        </w:rPr>
        <w:t>lower limbs.  However, during development chimpanzees achieve this difference by greater growth of the distal radius whereas gorillas attain this difference b</w:t>
      </w:r>
      <w:r w:rsidR="00255E44">
        <w:rPr>
          <w:noProof/>
        </w:rPr>
        <w:t>y growth of both the radius and</w:t>
      </w:r>
      <w:r>
        <w:rPr>
          <w:noProof/>
        </w:rPr>
        <w:t xml:space="preserve"> humerus, resulting in a difference of adult inter-membral index (ratio between limb segments).  With respect to humans, Shea </w:t>
      </w:r>
      <w:r w:rsidR="006759BC">
        <w:rPr>
          <w:noProof/>
        </w:rPr>
        <w:t xml:space="preserve">(1983) </w:t>
      </w:r>
      <w:r w:rsidR="00720EC2">
        <w:rPr>
          <w:noProof/>
        </w:rPr>
        <w:t>noted</w:t>
      </w:r>
      <w:r>
        <w:rPr>
          <w:noProof/>
        </w:rPr>
        <w:t xml:space="preserve"> that differences related to bipedalism certainly do not align with concepts of neoteny  and there are allometric reasons </w:t>
      </w:r>
      <w:r w:rsidR="006759BC">
        <w:rPr>
          <w:noProof/>
        </w:rPr>
        <w:t xml:space="preserve">in </w:t>
      </w:r>
      <w:r>
        <w:rPr>
          <w:noProof/>
        </w:rPr>
        <w:t>support</w:t>
      </w:r>
      <w:r w:rsidR="00255E44">
        <w:rPr>
          <w:noProof/>
        </w:rPr>
        <w:t xml:space="preserve"> of this</w:t>
      </w:r>
      <w:r>
        <w:rPr>
          <w:noProof/>
        </w:rPr>
        <w:t xml:space="preserve">.  </w:t>
      </w:r>
      <w:r w:rsidR="006759BC">
        <w:rPr>
          <w:noProof/>
        </w:rPr>
        <w:t>When examining</w:t>
      </w:r>
      <w:r>
        <w:rPr>
          <w:noProof/>
        </w:rPr>
        <w:t xml:space="preserve"> Shea’s (1981) data, it is clear that </w:t>
      </w:r>
      <w:r>
        <w:rPr>
          <w:i/>
          <w:noProof/>
        </w:rPr>
        <w:t>Pan</w:t>
      </w:r>
      <w:r>
        <w:rPr>
          <w:noProof/>
        </w:rPr>
        <w:t xml:space="preserve"> and </w:t>
      </w:r>
      <w:r>
        <w:rPr>
          <w:i/>
          <w:noProof/>
        </w:rPr>
        <w:t>Gorilla</w:t>
      </w:r>
      <w:r>
        <w:rPr>
          <w:noProof/>
        </w:rPr>
        <w:t xml:space="preserve"> have different limb proportions </w:t>
      </w:r>
      <w:r w:rsidR="00CC7C6A">
        <w:rPr>
          <w:noProof/>
        </w:rPr>
        <w:t xml:space="preserve">when compared to </w:t>
      </w:r>
      <w:r>
        <w:rPr>
          <w:noProof/>
        </w:rPr>
        <w:t xml:space="preserve">humans from birth.  </w:t>
      </w:r>
      <w:r w:rsidR="007531FE">
        <w:rPr>
          <w:noProof/>
        </w:rPr>
        <w:t xml:space="preserve">Even though </w:t>
      </w:r>
      <w:r>
        <w:rPr>
          <w:noProof/>
        </w:rPr>
        <w:t xml:space="preserve">Shea’s work </w:t>
      </w:r>
      <w:r w:rsidR="00B16369">
        <w:rPr>
          <w:noProof/>
        </w:rPr>
        <w:t>was published over 30 years ago and our understanding has improved sin</w:t>
      </w:r>
      <w:r w:rsidR="007531FE">
        <w:rPr>
          <w:noProof/>
        </w:rPr>
        <w:t>c</w:t>
      </w:r>
      <w:r w:rsidR="00B16369">
        <w:rPr>
          <w:noProof/>
        </w:rPr>
        <w:t xml:space="preserve">e then, </w:t>
      </w:r>
      <w:r>
        <w:rPr>
          <w:noProof/>
        </w:rPr>
        <w:t xml:space="preserve">these studies remain effectively the </w:t>
      </w:r>
      <w:r w:rsidR="00A264D8">
        <w:rPr>
          <w:noProof/>
        </w:rPr>
        <w:t xml:space="preserve">only </w:t>
      </w:r>
      <w:r>
        <w:rPr>
          <w:noProof/>
        </w:rPr>
        <w:t xml:space="preserve">source of information </w:t>
      </w:r>
      <w:r w:rsidR="000E198A">
        <w:rPr>
          <w:noProof/>
        </w:rPr>
        <w:t>a</w:t>
      </w:r>
      <w:r w:rsidR="00896C88">
        <w:rPr>
          <w:noProof/>
        </w:rPr>
        <w:t xml:space="preserve">vailable </w:t>
      </w:r>
      <w:r>
        <w:rPr>
          <w:noProof/>
        </w:rPr>
        <w:t>for allometry and growth of these species.  Critically, they provide evidence that growth in specific bones for chimpanzees, bonobos, and humans does not necessarily follow a universal pattern</w:t>
      </w:r>
      <w:r w:rsidR="008B317E">
        <w:rPr>
          <w:noProof/>
        </w:rPr>
        <w:t xml:space="preserve">, an </w:t>
      </w:r>
      <w:r w:rsidR="008B317E">
        <w:t>observation that has implications for reconstructing phylogenetic relationships from growth data</w:t>
      </w:r>
      <w:r>
        <w:rPr>
          <w:noProof/>
        </w:rPr>
        <w:t>.  This idea is quite important for the analysis of data from the current study and no studies since have provided furth</w:t>
      </w:r>
      <w:r w:rsidR="00E5590F">
        <w:rPr>
          <w:noProof/>
        </w:rPr>
        <w:t>er information in this regard.</w:t>
      </w:r>
    </w:p>
    <w:p w:rsidR="00053C21" w:rsidRDefault="00053C21">
      <w:pPr>
        <w:spacing w:before="0" w:after="200" w:line="276" w:lineRule="auto"/>
        <w:jc w:val="left"/>
        <w:rPr>
          <w:noProof/>
        </w:rPr>
      </w:pPr>
      <w:r>
        <w:rPr>
          <w:noProof/>
        </w:rPr>
        <w:br w:type="page"/>
      </w:r>
    </w:p>
    <w:p w:rsidR="006110DE" w:rsidRPr="00CA5FBB" w:rsidRDefault="008943E4" w:rsidP="002D3007">
      <w:pPr>
        <w:rPr>
          <w:noProof/>
          <w:u w:val="single"/>
        </w:rPr>
      </w:pPr>
      <w:r w:rsidRPr="00CA5FBB">
        <w:rPr>
          <w:noProof/>
          <w:u w:val="single"/>
        </w:rPr>
        <w:lastRenderedPageBreak/>
        <w:t>Sequence heterochrony: the incomplete picture for chimpanzees, bonobos and humans</w:t>
      </w:r>
    </w:p>
    <w:p w:rsidR="00483BB4" w:rsidRPr="00710341" w:rsidRDefault="00FE32EC" w:rsidP="002D3007">
      <w:pPr>
        <w:rPr>
          <w:lang w:val="en-GB"/>
        </w:rPr>
      </w:pPr>
      <w:r>
        <w:rPr>
          <w:noProof/>
        </w:rPr>
        <w:t>Ther</w:t>
      </w:r>
      <w:r w:rsidR="00A42654">
        <w:rPr>
          <w:noProof/>
        </w:rPr>
        <w:t>e has been limited discussion of</w:t>
      </w:r>
      <w:r>
        <w:rPr>
          <w:noProof/>
        </w:rPr>
        <w:t xml:space="preserve"> s</w:t>
      </w:r>
      <w:r w:rsidR="006110DE">
        <w:rPr>
          <w:noProof/>
        </w:rPr>
        <w:t>equence heterochrony for chimpanzee</w:t>
      </w:r>
      <w:r>
        <w:rPr>
          <w:noProof/>
        </w:rPr>
        <w:t>s</w:t>
      </w:r>
      <w:r w:rsidR="00A42654">
        <w:rPr>
          <w:noProof/>
        </w:rPr>
        <w:t xml:space="preserve"> in a focu</w:t>
      </w:r>
      <w:r w:rsidR="006110DE">
        <w:rPr>
          <w:noProof/>
        </w:rPr>
        <w:t xml:space="preserve">sed theoretical manner.  </w:t>
      </w:r>
      <w:r w:rsidR="003B59AB">
        <w:rPr>
          <w:noProof/>
        </w:rPr>
        <w:t>The only two studies which directly address th</w:t>
      </w:r>
      <w:r w:rsidR="00831A16">
        <w:rPr>
          <w:noProof/>
        </w:rPr>
        <w:t>e topic</w:t>
      </w:r>
      <w:r w:rsidR="003B59AB">
        <w:rPr>
          <w:noProof/>
        </w:rPr>
        <w:t xml:space="preserve"> are King (2004) and Blomquist (2009).  </w:t>
      </w:r>
      <w:r w:rsidR="004F6ABB">
        <w:rPr>
          <w:noProof/>
        </w:rPr>
        <w:t xml:space="preserve">Blomquist (2009) </w:t>
      </w:r>
      <w:r w:rsidR="004F6ABB" w:rsidRPr="004F6ABB">
        <w:rPr>
          <w:noProof/>
        </w:rPr>
        <w:t xml:space="preserve">used </w:t>
      </w:r>
      <w:r w:rsidR="004F6ABB">
        <w:rPr>
          <w:noProof/>
        </w:rPr>
        <w:t xml:space="preserve">radiographic </w:t>
      </w:r>
      <w:r w:rsidR="004F6ABB" w:rsidRPr="004F6ABB">
        <w:rPr>
          <w:noProof/>
        </w:rPr>
        <w:t xml:space="preserve">data from Pyle and Sontag (1943), Nissen and Riesen (1949), and Gavan (1953) to evaluate the appearance of ossification centres </w:t>
      </w:r>
      <w:r w:rsidR="004F6ABB">
        <w:rPr>
          <w:noProof/>
        </w:rPr>
        <w:t xml:space="preserve">in </w:t>
      </w:r>
      <w:r w:rsidR="004F6ABB" w:rsidRPr="004F6ABB">
        <w:rPr>
          <w:noProof/>
        </w:rPr>
        <w:t>hand and wrist bones relative to time using event-pair cracking methods.</w:t>
      </w:r>
      <w:r w:rsidR="00831A16">
        <w:rPr>
          <w:noProof/>
        </w:rPr>
        <w:t xml:space="preserve">  He suggested that shifts in timing of ossification centre appearance may be related to locomotory differences between chimpanzees and hu</w:t>
      </w:r>
      <w:r w:rsidR="00483BB4">
        <w:rPr>
          <w:noProof/>
        </w:rPr>
        <w:t xml:space="preserve">mans.  </w:t>
      </w:r>
      <w:r w:rsidR="008C0C22">
        <w:rPr>
          <w:noProof/>
        </w:rPr>
        <w:t xml:space="preserve">King (2004) used discriminant function analysis to cluster dental and epiphyseal fusion data for </w:t>
      </w:r>
      <w:r w:rsidR="00483BB4">
        <w:rPr>
          <w:noProof/>
        </w:rPr>
        <w:t xml:space="preserve">16 different </w:t>
      </w:r>
      <w:r w:rsidR="008C0C22">
        <w:rPr>
          <w:noProof/>
        </w:rPr>
        <w:t>primate species</w:t>
      </w:r>
      <w:r w:rsidR="00CA6E49">
        <w:rPr>
          <w:noProof/>
        </w:rPr>
        <w:t xml:space="preserve"> </w:t>
      </w:r>
      <w:r w:rsidR="00CD20A9">
        <w:rPr>
          <w:noProof/>
        </w:rPr>
        <w:t>(</w:t>
      </w:r>
      <w:r w:rsidR="007A2113">
        <w:rPr>
          <w:noProof/>
        </w:rPr>
        <w:t xml:space="preserve">species and sample size </w:t>
      </w:r>
      <w:r w:rsidR="00CD20A9">
        <w:rPr>
          <w:noProof/>
        </w:rPr>
        <w:t>listed</w:t>
      </w:r>
      <w:r w:rsidR="00483BB4">
        <w:rPr>
          <w:noProof/>
        </w:rPr>
        <w:t xml:space="preserve"> in </w:t>
      </w:r>
      <w:r w:rsidR="00902CB2">
        <w:rPr>
          <w:noProof/>
        </w:rPr>
        <w:t>T</w:t>
      </w:r>
      <w:r w:rsidR="00483BB4">
        <w:rPr>
          <w:noProof/>
        </w:rPr>
        <w:t>able 2.1</w:t>
      </w:r>
      <w:r w:rsidR="00CD20A9">
        <w:rPr>
          <w:noProof/>
        </w:rPr>
        <w:t>)</w:t>
      </w:r>
      <w:r w:rsidR="00483BB4">
        <w:rPr>
          <w:noProof/>
        </w:rPr>
        <w:t>.</w:t>
      </w:r>
      <w:r w:rsidR="008C0C22">
        <w:rPr>
          <w:noProof/>
        </w:rPr>
        <w:t xml:space="preserve">  King’s (2004) methodology did not provide a seriation of fusion events relative to dental development.  </w:t>
      </w:r>
      <w:r w:rsidR="00710341">
        <w:rPr>
          <w:noProof/>
        </w:rPr>
        <w:t xml:space="preserve">However, the results of his discriminant </w:t>
      </w:r>
      <w:r w:rsidR="00710341" w:rsidRPr="00710341">
        <w:rPr>
          <w:noProof/>
        </w:rPr>
        <w:t xml:space="preserve">function analysis provided useful insights.  Distances were determined between groups, </w:t>
      </w:r>
      <w:r w:rsidR="00CD20A9">
        <w:rPr>
          <w:noProof/>
        </w:rPr>
        <w:t>with the</w:t>
      </w:r>
      <w:r w:rsidR="00710341" w:rsidRPr="00710341">
        <w:rPr>
          <w:noProof/>
        </w:rPr>
        <w:t xml:space="preserve"> </w:t>
      </w:r>
      <w:r w:rsidR="00710341" w:rsidRPr="00710341">
        <w:rPr>
          <w:lang w:val="en-GB"/>
        </w:rPr>
        <w:t xml:space="preserve">Hominidae, Hylobatidae, and Cercopithecidae </w:t>
      </w:r>
      <w:r w:rsidR="00CD20A9">
        <w:rPr>
          <w:lang w:val="en-GB"/>
        </w:rPr>
        <w:t xml:space="preserve">families </w:t>
      </w:r>
      <w:r w:rsidR="00710341" w:rsidRPr="00710341">
        <w:rPr>
          <w:lang w:val="en-GB"/>
        </w:rPr>
        <w:t>being distinguishable</w:t>
      </w:r>
      <w:r w:rsidR="00710341" w:rsidRPr="00710341">
        <w:rPr>
          <w:noProof/>
        </w:rPr>
        <w:t>.  Apes tended to cluster together and chimpanzees wer</w:t>
      </w:r>
      <w:r w:rsidR="0026534C">
        <w:rPr>
          <w:noProof/>
        </w:rPr>
        <w:t>e distinguished from gorillas.</w:t>
      </w:r>
    </w:p>
    <w:p w:rsidR="00483BB4" w:rsidRPr="00710341" w:rsidRDefault="00D303F9" w:rsidP="00D303F9">
      <w:pPr>
        <w:pStyle w:val="Caption"/>
      </w:pPr>
      <w:bookmarkStart w:id="28" w:name="_Toc373180102"/>
      <w:proofErr w:type="gramStart"/>
      <w:r w:rsidRPr="00D303F9">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w:t>
      </w:r>
      <w:r w:rsidR="008943E4">
        <w:rPr>
          <w:b/>
        </w:rPr>
        <w:fldChar w:fldCharType="end"/>
      </w:r>
      <w:r>
        <w:t xml:space="preserve"> </w:t>
      </w:r>
      <w:r w:rsidR="00483BB4" w:rsidRPr="00710341">
        <w:t xml:space="preserve"> Species and s</w:t>
      </w:r>
      <w:r w:rsidR="00344BD2">
        <w:t>ample sizes used by King (2004)</w:t>
      </w:r>
      <w:r w:rsidR="003B21DF">
        <w:t>.</w:t>
      </w:r>
      <w:bookmarkEnd w:id="28"/>
    </w:p>
    <w:tbl>
      <w:tblPr>
        <w:tblW w:w="6111" w:type="dxa"/>
        <w:jc w:val="center"/>
        <w:tblBorders>
          <w:top w:val="single" w:sz="4" w:space="0" w:color="auto"/>
          <w:bottom w:val="single" w:sz="4" w:space="0" w:color="auto"/>
        </w:tblBorders>
        <w:tblLook w:val="04A0" w:firstRow="1" w:lastRow="0" w:firstColumn="1" w:lastColumn="0" w:noHBand="0" w:noVBand="1"/>
      </w:tblPr>
      <w:tblGrid>
        <w:gridCol w:w="3134"/>
        <w:gridCol w:w="2977"/>
      </w:tblGrid>
      <w:tr w:rsidR="00483BB4" w:rsidRPr="00710341" w:rsidTr="00CA5FBB">
        <w:trPr>
          <w:trHeight w:val="340"/>
          <w:jc w:val="center"/>
        </w:trPr>
        <w:tc>
          <w:tcPr>
            <w:tcW w:w="3134" w:type="dxa"/>
            <w:tcBorders>
              <w:top w:val="single" w:sz="4" w:space="0" w:color="auto"/>
              <w:bottom w:val="single" w:sz="4" w:space="0" w:color="auto"/>
            </w:tcBorders>
            <w:noWrap/>
            <w:vAlign w:val="center"/>
          </w:tcPr>
          <w:p w:rsidR="00483BB4" w:rsidRPr="00E8060A" w:rsidRDefault="008E127F" w:rsidP="00857501">
            <w:pPr>
              <w:spacing w:before="0" w:line="240" w:lineRule="auto"/>
              <w:jc w:val="center"/>
              <w:rPr>
                <w:rFonts w:eastAsia="Times New Roman"/>
                <w:b/>
                <w:color w:val="000000"/>
                <w:lang w:val="en-GB" w:eastAsia="en-GB"/>
              </w:rPr>
            </w:pPr>
            <w:r>
              <w:rPr>
                <w:rFonts w:eastAsia="Times New Roman"/>
                <w:b/>
                <w:color w:val="000000"/>
                <w:lang w:val="en-GB" w:eastAsia="en-GB"/>
              </w:rPr>
              <w:t>s</w:t>
            </w:r>
            <w:r w:rsidR="00344BD2" w:rsidRPr="00E8060A">
              <w:rPr>
                <w:rFonts w:eastAsia="Times New Roman"/>
                <w:b/>
                <w:color w:val="000000"/>
                <w:lang w:val="en-GB" w:eastAsia="en-GB"/>
              </w:rPr>
              <w:t>pecies</w:t>
            </w:r>
          </w:p>
        </w:tc>
        <w:tc>
          <w:tcPr>
            <w:tcW w:w="2977" w:type="dxa"/>
            <w:tcBorders>
              <w:top w:val="single" w:sz="4" w:space="0" w:color="auto"/>
              <w:bottom w:val="single" w:sz="4" w:space="0" w:color="auto"/>
            </w:tcBorders>
            <w:noWrap/>
            <w:vAlign w:val="center"/>
          </w:tcPr>
          <w:p w:rsidR="00483BB4" w:rsidRPr="00E8060A" w:rsidRDefault="008E127F" w:rsidP="00857501">
            <w:pPr>
              <w:spacing w:before="0" w:line="240" w:lineRule="auto"/>
              <w:jc w:val="center"/>
              <w:rPr>
                <w:rFonts w:eastAsia="Times New Roman"/>
                <w:b/>
                <w:color w:val="000000"/>
                <w:lang w:val="en-GB" w:eastAsia="en-GB"/>
              </w:rPr>
            </w:pPr>
            <w:r>
              <w:rPr>
                <w:rFonts w:eastAsia="Times New Roman"/>
                <w:b/>
                <w:color w:val="000000"/>
                <w:lang w:val="en-GB" w:eastAsia="en-GB"/>
              </w:rPr>
              <w:t>s</w:t>
            </w:r>
            <w:r w:rsidR="00483BB4" w:rsidRPr="00E8060A">
              <w:rPr>
                <w:rFonts w:eastAsia="Times New Roman"/>
                <w:b/>
                <w:color w:val="000000"/>
                <w:lang w:val="en-GB" w:eastAsia="en-GB"/>
              </w:rPr>
              <w:t>ample size</w:t>
            </w:r>
          </w:p>
        </w:tc>
      </w:tr>
      <w:tr w:rsidR="00483BB4" w:rsidRPr="00710341" w:rsidTr="00CA5FBB">
        <w:trPr>
          <w:trHeight w:val="340"/>
          <w:jc w:val="center"/>
        </w:trPr>
        <w:tc>
          <w:tcPr>
            <w:tcW w:w="3134" w:type="dxa"/>
            <w:tcBorders>
              <w:top w:val="single" w:sz="4" w:space="0" w:color="auto"/>
            </w:tcBorders>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Euoticus elegantulus</w:t>
            </w:r>
          </w:p>
        </w:tc>
        <w:tc>
          <w:tcPr>
            <w:tcW w:w="2977" w:type="dxa"/>
            <w:tcBorders>
              <w:top w:val="single" w:sz="4" w:space="0" w:color="auto"/>
            </w:tcBorders>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47</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Lepilemur edwardsi</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19</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Perodicticus potto</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44</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Propithecus verreauxi</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20</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Aotus trivirgatus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47</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Saguinus nigricollis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30</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Saimiri sciureus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55</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Cercopithecus ascanius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66</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Chlorocebus aethiops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36</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Lophocebus albigena</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80</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Macaca fascicularis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80</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Nasalis larvatus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42</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Trachypithecus cristatus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101</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Gorilla gorilla</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78</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Hylobates lar</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98</w:t>
            </w:r>
          </w:p>
        </w:tc>
      </w:tr>
      <w:tr w:rsidR="00483BB4" w:rsidRPr="00710341" w:rsidTr="00CA5FBB">
        <w:trPr>
          <w:trHeight w:val="340"/>
          <w:jc w:val="center"/>
        </w:trPr>
        <w:tc>
          <w:tcPr>
            <w:tcW w:w="3134" w:type="dxa"/>
            <w:noWrap/>
            <w:vAlign w:val="center"/>
          </w:tcPr>
          <w:p w:rsidR="00483BB4" w:rsidRPr="00710341" w:rsidRDefault="00483BB4" w:rsidP="00857501">
            <w:pPr>
              <w:spacing w:before="0" w:line="240" w:lineRule="auto"/>
              <w:jc w:val="center"/>
              <w:rPr>
                <w:rFonts w:eastAsia="Times New Roman"/>
                <w:i/>
                <w:color w:val="000000"/>
                <w:lang w:val="en-GB" w:eastAsia="en-GB"/>
              </w:rPr>
            </w:pPr>
            <w:r w:rsidRPr="00710341">
              <w:rPr>
                <w:rFonts w:eastAsia="Times New Roman"/>
                <w:i/>
                <w:color w:val="000000"/>
                <w:lang w:val="en-GB" w:eastAsia="en-GB"/>
              </w:rPr>
              <w:t>Pan troglodytes</w:t>
            </w:r>
          </w:p>
        </w:tc>
        <w:tc>
          <w:tcPr>
            <w:tcW w:w="2977" w:type="dxa"/>
            <w:noWrap/>
            <w:vAlign w:val="center"/>
          </w:tcPr>
          <w:p w:rsidR="00483BB4" w:rsidRPr="00710341" w:rsidRDefault="00483BB4" w:rsidP="00857501">
            <w:pPr>
              <w:spacing w:before="0" w:line="240" w:lineRule="auto"/>
              <w:jc w:val="center"/>
              <w:rPr>
                <w:rFonts w:eastAsia="Times New Roman"/>
                <w:color w:val="000000"/>
                <w:lang w:val="en-GB" w:eastAsia="en-GB"/>
              </w:rPr>
            </w:pPr>
            <w:r w:rsidRPr="00710341">
              <w:rPr>
                <w:rFonts w:eastAsia="Times New Roman"/>
                <w:color w:val="000000"/>
                <w:lang w:val="en-GB" w:eastAsia="en-GB"/>
              </w:rPr>
              <w:t>86</w:t>
            </w:r>
          </w:p>
        </w:tc>
      </w:tr>
    </w:tbl>
    <w:p w:rsidR="00483BB4" w:rsidRPr="00121040" w:rsidRDefault="005854BE" w:rsidP="00121040">
      <w:pPr>
        <w:rPr>
          <w:noProof/>
        </w:rPr>
      </w:pPr>
      <w:r>
        <w:rPr>
          <w:noProof/>
        </w:rPr>
        <w:t>The lack of theoretical application of sequence heterochrony aside from these studies is u</w:t>
      </w:r>
      <w:r w:rsidR="006110DE">
        <w:rPr>
          <w:noProof/>
        </w:rPr>
        <w:t xml:space="preserve">ndoubtedly </w:t>
      </w:r>
      <w:r>
        <w:rPr>
          <w:noProof/>
        </w:rPr>
        <w:t xml:space="preserve">due to the scarcity of data.  As shall be explored in detail in section </w:t>
      </w:r>
      <w:r w:rsidR="002E1B11">
        <w:rPr>
          <w:noProof/>
        </w:rPr>
        <w:t>2.4.6</w:t>
      </w:r>
      <w:r>
        <w:rPr>
          <w:noProof/>
        </w:rPr>
        <w:t xml:space="preserve"> for epiphyseal fusion in chimpanzees, the present data </w:t>
      </w:r>
      <w:r w:rsidR="00AE47C1">
        <w:rPr>
          <w:noProof/>
        </w:rPr>
        <w:t xml:space="preserve">are </w:t>
      </w:r>
      <w:r>
        <w:rPr>
          <w:noProof/>
        </w:rPr>
        <w:t xml:space="preserve">too limited to be able to assess epiphyseal fusion relative to dental </w:t>
      </w:r>
      <w:r>
        <w:rPr>
          <w:noProof/>
        </w:rPr>
        <w:lastRenderedPageBreak/>
        <w:t>developmental sequences</w:t>
      </w:r>
      <w:r w:rsidR="00AE47C1">
        <w:rPr>
          <w:noProof/>
        </w:rPr>
        <w:t xml:space="preserve"> and b</w:t>
      </w:r>
      <w:r w:rsidR="00240856">
        <w:rPr>
          <w:noProof/>
        </w:rPr>
        <w:t xml:space="preserve">onobos have been even less studied.  </w:t>
      </w:r>
      <w:r>
        <w:rPr>
          <w:noProof/>
        </w:rPr>
        <w:t>Not only is epiphyseal fusion data lacking, but also further sequence data such as ossification and other</w:t>
      </w:r>
      <w:r w:rsidR="006110DE">
        <w:rPr>
          <w:noProof/>
        </w:rPr>
        <w:t xml:space="preserve"> embryological patterns.  </w:t>
      </w:r>
      <w:r>
        <w:rPr>
          <w:noProof/>
        </w:rPr>
        <w:t>As noted previously, d</w:t>
      </w:r>
      <w:r w:rsidR="006110DE">
        <w:rPr>
          <w:noProof/>
        </w:rPr>
        <w:t>ental developmental schedules</w:t>
      </w:r>
      <w:r>
        <w:rPr>
          <w:noProof/>
        </w:rPr>
        <w:t xml:space="preserve"> for</w:t>
      </w:r>
      <w:r w:rsidR="006110DE">
        <w:rPr>
          <w:noProof/>
        </w:rPr>
        <w:t xml:space="preserve"> both for emergence and mineralization </w:t>
      </w:r>
      <w:r>
        <w:rPr>
          <w:noProof/>
        </w:rPr>
        <w:t>are known</w:t>
      </w:r>
      <w:r w:rsidR="006110DE">
        <w:rPr>
          <w:noProof/>
        </w:rPr>
        <w:t xml:space="preserve"> </w:t>
      </w:r>
      <w:r>
        <w:rPr>
          <w:noProof/>
        </w:rPr>
        <w:t>for</w:t>
      </w:r>
      <w:r w:rsidR="006110DE">
        <w:rPr>
          <w:noProof/>
        </w:rPr>
        <w:t xml:space="preserve"> chimpanzees</w:t>
      </w:r>
      <w:r>
        <w:rPr>
          <w:noProof/>
        </w:rPr>
        <w:t xml:space="preserve"> and</w:t>
      </w:r>
      <w:r w:rsidR="006110DE">
        <w:rPr>
          <w:noProof/>
        </w:rPr>
        <w:t xml:space="preserve"> bonobos</w:t>
      </w:r>
      <w:r>
        <w:rPr>
          <w:noProof/>
        </w:rPr>
        <w:t xml:space="preserve"> </w:t>
      </w:r>
      <w:r w:rsidR="000B3D28">
        <w:rPr>
          <w:noProof/>
        </w:rPr>
        <w:t xml:space="preserve">(e.g., Boughner and Dean 2012, Conroy 1991, Kuykendall </w:t>
      </w:r>
      <w:r w:rsidR="000B3D28">
        <w:rPr>
          <w:i/>
          <w:noProof/>
        </w:rPr>
        <w:t>et al</w:t>
      </w:r>
      <w:r w:rsidR="009211E9">
        <w:rPr>
          <w:noProof/>
        </w:rPr>
        <w:t>.</w:t>
      </w:r>
      <w:r w:rsidR="000B3D28">
        <w:rPr>
          <w:noProof/>
        </w:rPr>
        <w:t xml:space="preserve"> 1992)</w:t>
      </w:r>
      <w:r w:rsidR="006110DE">
        <w:rPr>
          <w:noProof/>
        </w:rPr>
        <w:t>.</w:t>
      </w:r>
      <w:r w:rsidR="000B3D28">
        <w:rPr>
          <w:noProof/>
        </w:rPr>
        <w:t xml:space="preserve">  </w:t>
      </w:r>
      <w:r w:rsidR="004865FB">
        <w:rPr>
          <w:noProof/>
        </w:rPr>
        <w:t>Keene (1991) provided s</w:t>
      </w:r>
      <w:r w:rsidR="006110DE">
        <w:rPr>
          <w:noProof/>
        </w:rPr>
        <w:t xml:space="preserve">ome theoretical discussion based on tooth emergence but this did not necessarily </w:t>
      </w:r>
      <w:r w:rsidR="004865FB">
        <w:rPr>
          <w:noProof/>
        </w:rPr>
        <w:t xml:space="preserve">contribute to a </w:t>
      </w:r>
      <w:r w:rsidR="006110DE">
        <w:rPr>
          <w:noProof/>
        </w:rPr>
        <w:t>change</w:t>
      </w:r>
      <w:r w:rsidR="004865FB">
        <w:rPr>
          <w:noProof/>
        </w:rPr>
        <w:t>d</w:t>
      </w:r>
      <w:r w:rsidR="006110DE">
        <w:rPr>
          <w:noProof/>
        </w:rPr>
        <w:t xml:space="preserve"> perspective </w:t>
      </w:r>
      <w:r w:rsidR="004865FB">
        <w:rPr>
          <w:noProof/>
        </w:rPr>
        <w:t xml:space="preserve">when </w:t>
      </w:r>
      <w:r w:rsidR="006110DE">
        <w:rPr>
          <w:noProof/>
        </w:rPr>
        <w:t xml:space="preserve">comparing dental scheduling for the studies that followed.  </w:t>
      </w:r>
      <w:r w:rsidR="000B3D28">
        <w:rPr>
          <w:noProof/>
        </w:rPr>
        <w:t>Dental sequences are very useful in their own right but differences observed are limited.  How dental and skeletal systems relate to each other is necessary for a complete analysis and the data presently available for skeletal sequences is too unrefined to provide exact sequences.</w:t>
      </w:r>
    </w:p>
    <w:p w:rsidR="006110DE" w:rsidRPr="0060198C" w:rsidRDefault="004936AF" w:rsidP="00D263E8">
      <w:pPr>
        <w:pStyle w:val="Heading3"/>
      </w:pPr>
      <w:bookmarkStart w:id="29" w:name="_Toc373477719"/>
      <w:bookmarkStart w:id="30" w:name="_Toc373480717"/>
      <w:r>
        <w:t>How</w:t>
      </w:r>
      <w:r w:rsidR="006110DE" w:rsidRPr="0060198C">
        <w:t xml:space="preserve"> this study </w:t>
      </w:r>
      <w:r>
        <w:t xml:space="preserve">can </w:t>
      </w:r>
      <w:r w:rsidR="006110DE" w:rsidRPr="0060198C">
        <w:t>contribute to the theory of growth</w:t>
      </w:r>
      <w:bookmarkEnd w:id="29"/>
      <w:bookmarkEnd w:id="30"/>
    </w:p>
    <w:p w:rsidR="00473AC8" w:rsidRPr="00473AC8" w:rsidRDefault="006110DE" w:rsidP="00C32683">
      <w:pPr>
        <w:rPr>
          <w:noProof/>
        </w:rPr>
      </w:pPr>
      <w:r w:rsidRPr="0060198C">
        <w:rPr>
          <w:noProof/>
        </w:rPr>
        <w:t>The obj</w:t>
      </w:r>
      <w:r>
        <w:rPr>
          <w:noProof/>
        </w:rPr>
        <w:t>ective</w:t>
      </w:r>
      <w:r w:rsidR="002678C1">
        <w:rPr>
          <w:noProof/>
        </w:rPr>
        <w:t xml:space="preserve"> of this study</w:t>
      </w:r>
      <w:r>
        <w:rPr>
          <w:noProof/>
        </w:rPr>
        <w:t xml:space="preserve">, as outlined in </w:t>
      </w:r>
      <w:r w:rsidR="007E16DC">
        <w:rPr>
          <w:noProof/>
        </w:rPr>
        <w:t>C</w:t>
      </w:r>
      <w:r>
        <w:rPr>
          <w:noProof/>
        </w:rPr>
        <w:t xml:space="preserve">hapter 1, is to acquire new data such that developmental patterns in chimpanzees and bonobos </w:t>
      </w:r>
      <w:r w:rsidR="00BC1D35">
        <w:rPr>
          <w:noProof/>
        </w:rPr>
        <w:t xml:space="preserve">can be better understood </w:t>
      </w:r>
      <w:r>
        <w:rPr>
          <w:noProof/>
        </w:rPr>
        <w:t xml:space="preserve">for the purposes of assessing fossil hominids.  </w:t>
      </w:r>
      <w:r w:rsidR="00143703">
        <w:rPr>
          <w:noProof/>
        </w:rPr>
        <w:t>T</w:t>
      </w:r>
      <w:r w:rsidR="004936AF">
        <w:rPr>
          <w:noProof/>
        </w:rPr>
        <w:t>he intention is not</w:t>
      </w:r>
      <w:r>
        <w:rPr>
          <w:noProof/>
        </w:rPr>
        <w:t xml:space="preserve"> to explicitly define these species within the</w:t>
      </w:r>
      <w:r w:rsidR="002678C1">
        <w:rPr>
          <w:noProof/>
        </w:rPr>
        <w:t xml:space="preserve"> concepts of heterochrony</w:t>
      </w:r>
      <w:r>
        <w:rPr>
          <w:noProof/>
        </w:rPr>
        <w:t xml:space="preserve"> but the analysis of these data implicitly ties in these theories of growth.  As </w:t>
      </w:r>
      <w:r w:rsidR="002678C1">
        <w:rPr>
          <w:noProof/>
        </w:rPr>
        <w:t xml:space="preserve">discussed </w:t>
      </w:r>
      <w:r w:rsidR="004936AF">
        <w:rPr>
          <w:noProof/>
        </w:rPr>
        <w:t>above</w:t>
      </w:r>
      <w:r>
        <w:rPr>
          <w:noProof/>
        </w:rPr>
        <w:t xml:space="preserve">, </w:t>
      </w:r>
      <w:r w:rsidR="002678C1">
        <w:rPr>
          <w:noProof/>
        </w:rPr>
        <w:t xml:space="preserve">models of human and chimpanzees growth have been proffered within the context of developmental theory but </w:t>
      </w:r>
      <w:r w:rsidR="00EB5C24">
        <w:rPr>
          <w:noProof/>
        </w:rPr>
        <w:t>there</w:t>
      </w:r>
      <w:r>
        <w:rPr>
          <w:noProof/>
        </w:rPr>
        <w:t xml:space="preserve"> remains some level of disagreement.  In this study data on dentition, epiphyseal fusion, and long-bone growth</w:t>
      </w:r>
      <w:r w:rsidR="00473AC8">
        <w:rPr>
          <w:noProof/>
        </w:rPr>
        <w:t xml:space="preserve"> are collected.  Dental and skeletal fusion data when combined will provide further evidence for comparing sequences of growth in chimpanzees, bonobos and humans.  The addition of long-bone length will help define these by providing dimensional data that can be associated with fusion events.  Such data </w:t>
      </w:r>
      <w:r w:rsidR="00B3057F">
        <w:rPr>
          <w:noProof/>
        </w:rPr>
        <w:t>are</w:t>
      </w:r>
      <w:r w:rsidR="00473AC8">
        <w:rPr>
          <w:noProof/>
        </w:rPr>
        <w:t xml:space="preserve"> unique to this study and may inform questions that consider fusion sequences relative to dimensional change.  Specifically, sequences may be considered with respect to proportionate growth in length.  Being able to dissociate these variables (fusion sequence and leng</w:t>
      </w:r>
      <w:r w:rsidR="003420B6">
        <w:rPr>
          <w:noProof/>
        </w:rPr>
        <w:t>th) from time allows for observation of</w:t>
      </w:r>
      <w:r w:rsidR="00473AC8">
        <w:rPr>
          <w:noProof/>
        </w:rPr>
        <w:t xml:space="preserve"> these elements as a function purely of maturational development.</w:t>
      </w:r>
    </w:p>
    <w:p w:rsidR="006110DE" w:rsidRPr="00C11486" w:rsidRDefault="006110DE" w:rsidP="00D263E8">
      <w:pPr>
        <w:pStyle w:val="Heading2"/>
      </w:pPr>
      <w:bookmarkStart w:id="31" w:name="_Toc373477720"/>
      <w:bookmarkStart w:id="32" w:name="_Toc373480718"/>
      <w:r w:rsidRPr="00C11486">
        <w:t>Organisati</w:t>
      </w:r>
      <w:r>
        <w:t>on of sections for each species</w:t>
      </w:r>
      <w:bookmarkEnd w:id="31"/>
      <w:bookmarkEnd w:id="32"/>
    </w:p>
    <w:p w:rsidR="006110DE" w:rsidRDefault="006110DE" w:rsidP="00C32683">
      <w:pPr>
        <w:rPr>
          <w:noProof/>
        </w:rPr>
      </w:pPr>
      <w:r>
        <w:rPr>
          <w:noProof/>
        </w:rPr>
        <w:t>For each of the main aspects of growth addressed in this study (epiphyseal fusion, dental development, and long bone growth) the following topics will be addressed:</w:t>
      </w:r>
    </w:p>
    <w:p w:rsidR="006110DE" w:rsidRPr="00AF4231" w:rsidRDefault="006110DE" w:rsidP="003B21DF">
      <w:pPr>
        <w:numPr>
          <w:ilvl w:val="0"/>
          <w:numId w:val="2"/>
        </w:numPr>
        <w:spacing w:line="240" w:lineRule="auto"/>
        <w:ind w:left="567" w:hanging="283"/>
        <w:rPr>
          <w:noProof/>
        </w:rPr>
      </w:pPr>
      <w:r>
        <w:rPr>
          <w:noProof/>
        </w:rPr>
        <w:t>The underlying physiology of epiphyseal fusion, dental development, and long-bone growth</w:t>
      </w:r>
      <w:r w:rsidR="003B21DF">
        <w:rPr>
          <w:noProof/>
        </w:rPr>
        <w:t>;</w:t>
      </w:r>
    </w:p>
    <w:p w:rsidR="006110DE" w:rsidRDefault="006110DE" w:rsidP="003B21DF">
      <w:pPr>
        <w:numPr>
          <w:ilvl w:val="0"/>
          <w:numId w:val="2"/>
        </w:numPr>
        <w:spacing w:line="240" w:lineRule="auto"/>
        <w:ind w:left="567" w:hanging="283"/>
        <w:rPr>
          <w:noProof/>
        </w:rPr>
      </w:pPr>
      <w:r>
        <w:rPr>
          <w:noProof/>
        </w:rPr>
        <w:t xml:space="preserve">A review of all prior studies for each of chimpanzees, bonobos, and humans, outlining what is </w:t>
      </w:r>
      <w:r w:rsidR="00AD3068">
        <w:rPr>
          <w:noProof/>
        </w:rPr>
        <w:t>known versus unknown</w:t>
      </w:r>
      <w:r w:rsidR="003B21DF">
        <w:rPr>
          <w:noProof/>
        </w:rPr>
        <w:t>;</w:t>
      </w:r>
    </w:p>
    <w:p w:rsidR="006110DE" w:rsidRDefault="006110DE" w:rsidP="003B21DF">
      <w:pPr>
        <w:numPr>
          <w:ilvl w:val="0"/>
          <w:numId w:val="2"/>
        </w:numPr>
        <w:spacing w:line="240" w:lineRule="auto"/>
        <w:ind w:left="567" w:hanging="283"/>
        <w:rPr>
          <w:noProof/>
        </w:rPr>
      </w:pPr>
      <w:r>
        <w:rPr>
          <w:noProof/>
        </w:rPr>
        <w:t xml:space="preserve">Comparison of captive </w:t>
      </w:r>
      <w:r w:rsidR="00AD3068">
        <w:rPr>
          <w:noProof/>
        </w:rPr>
        <w:t>versus</w:t>
      </w:r>
      <w:r>
        <w:rPr>
          <w:noProof/>
        </w:rPr>
        <w:t xml:space="preserve"> wild</w:t>
      </w:r>
      <w:r w:rsidR="00AD3068">
        <w:rPr>
          <w:noProof/>
        </w:rPr>
        <w:t xml:space="preserve"> populations</w:t>
      </w:r>
      <w:r w:rsidR="003B21DF">
        <w:rPr>
          <w:noProof/>
        </w:rPr>
        <w:t>;</w:t>
      </w:r>
    </w:p>
    <w:p w:rsidR="00AA5A18" w:rsidRPr="00E7609D" w:rsidRDefault="006110DE" w:rsidP="003B21DF">
      <w:pPr>
        <w:numPr>
          <w:ilvl w:val="0"/>
          <w:numId w:val="2"/>
        </w:numPr>
        <w:spacing w:line="240" w:lineRule="auto"/>
        <w:ind w:left="567" w:hanging="283"/>
        <w:rPr>
          <w:noProof/>
        </w:rPr>
      </w:pPr>
      <w:r>
        <w:rPr>
          <w:noProof/>
        </w:rPr>
        <w:t xml:space="preserve">A review of the known effects of pathological conditions on skeletal </w:t>
      </w:r>
      <w:r w:rsidR="00AA5A18">
        <w:rPr>
          <w:noProof/>
        </w:rPr>
        <w:t>systems</w:t>
      </w:r>
      <w:r w:rsidR="003B21DF">
        <w:rPr>
          <w:noProof/>
        </w:rPr>
        <w:t>.</w:t>
      </w:r>
    </w:p>
    <w:p w:rsidR="00803A19" w:rsidRDefault="006110DE" w:rsidP="00274693">
      <w:pPr>
        <w:rPr>
          <w:noProof/>
        </w:rPr>
      </w:pPr>
      <w:r>
        <w:rPr>
          <w:noProof/>
        </w:rPr>
        <w:lastRenderedPageBreak/>
        <w:t>It should be noted that for h</w:t>
      </w:r>
      <w:r w:rsidR="00867A88">
        <w:rPr>
          <w:noProof/>
        </w:rPr>
        <w:t>umans, captive and wild are not</w:t>
      </w:r>
      <w:r>
        <w:rPr>
          <w:noProof/>
        </w:rPr>
        <w:t xml:space="preserve"> </w:t>
      </w:r>
      <w:r w:rsidR="00867A88">
        <w:rPr>
          <w:noProof/>
        </w:rPr>
        <w:t xml:space="preserve">an </w:t>
      </w:r>
      <w:r>
        <w:rPr>
          <w:noProof/>
        </w:rPr>
        <w:t>applicable set of categories.  Here, the same types of physiological effects are discussed under the topics of stressed vs. healthy populations.</w:t>
      </w:r>
    </w:p>
    <w:p w:rsidR="006110DE" w:rsidRDefault="006110DE" w:rsidP="00D263E8">
      <w:pPr>
        <w:pStyle w:val="Heading2"/>
      </w:pPr>
      <w:bookmarkStart w:id="33" w:name="_Toc373477721"/>
      <w:bookmarkStart w:id="34" w:name="_Toc373480719"/>
      <w:r>
        <w:t>Epiphyseal fusion</w:t>
      </w:r>
      <w:bookmarkEnd w:id="33"/>
      <w:bookmarkEnd w:id="34"/>
    </w:p>
    <w:p w:rsidR="00E6348D" w:rsidRPr="00274693" w:rsidRDefault="006110DE" w:rsidP="00274693">
      <w:pPr>
        <w:rPr>
          <w:noProof/>
        </w:rPr>
      </w:pPr>
      <w:r>
        <w:rPr>
          <w:noProof/>
        </w:rPr>
        <w:t>In this section what is known about epiphyseal fusion plates and their function in growth</w:t>
      </w:r>
      <w:r w:rsidR="00AD3068">
        <w:rPr>
          <w:noProof/>
        </w:rPr>
        <w:t xml:space="preserve"> will be introduced</w:t>
      </w:r>
      <w:r>
        <w:rPr>
          <w:noProof/>
        </w:rPr>
        <w:t xml:space="preserve">.  </w:t>
      </w:r>
      <w:r w:rsidR="00DC3593">
        <w:rPr>
          <w:noProof/>
        </w:rPr>
        <w:t>This will start</w:t>
      </w:r>
      <w:r>
        <w:rPr>
          <w:noProof/>
        </w:rPr>
        <w:t xml:space="preserve"> with a brief overview of the evolved functional aspects of epiphyses (</w:t>
      </w:r>
      <w:r w:rsidR="00E6026E">
        <w:rPr>
          <w:noProof/>
        </w:rPr>
        <w:t xml:space="preserve">section </w:t>
      </w:r>
      <w:r w:rsidR="004E165D">
        <w:rPr>
          <w:noProof/>
        </w:rPr>
        <w:t>2.3</w:t>
      </w:r>
      <w:r>
        <w:rPr>
          <w:noProof/>
        </w:rPr>
        <w:t xml:space="preserve">.1) </w:t>
      </w:r>
      <w:r w:rsidR="00AD3068">
        <w:rPr>
          <w:noProof/>
        </w:rPr>
        <w:t>followed by a</w:t>
      </w:r>
      <w:r>
        <w:rPr>
          <w:noProof/>
        </w:rPr>
        <w:t xml:space="preserve"> consider</w:t>
      </w:r>
      <w:r w:rsidR="00AD3068">
        <w:rPr>
          <w:noProof/>
        </w:rPr>
        <w:t>ation of</w:t>
      </w:r>
      <w:r>
        <w:rPr>
          <w:noProof/>
        </w:rPr>
        <w:t xml:space="preserve"> epiphyseal fusion plate physiology (</w:t>
      </w:r>
      <w:r w:rsidR="00E6026E">
        <w:rPr>
          <w:noProof/>
        </w:rPr>
        <w:t xml:space="preserve">section </w:t>
      </w:r>
      <w:r w:rsidR="004E165D">
        <w:rPr>
          <w:noProof/>
        </w:rPr>
        <w:t>2.3</w:t>
      </w:r>
      <w:r>
        <w:rPr>
          <w:noProof/>
        </w:rPr>
        <w:t xml:space="preserve">.2).  Developing from this </w:t>
      </w:r>
      <w:r w:rsidR="0038714A">
        <w:rPr>
          <w:noProof/>
        </w:rPr>
        <w:t xml:space="preserve">basis, </w:t>
      </w:r>
      <w:r>
        <w:rPr>
          <w:noProof/>
        </w:rPr>
        <w:t xml:space="preserve">epiphyseal fusion sequences in mammals (section </w:t>
      </w:r>
      <w:r w:rsidR="004E165D">
        <w:rPr>
          <w:noProof/>
        </w:rPr>
        <w:t>2.4.3), primates in general (2.3</w:t>
      </w:r>
      <w:r>
        <w:rPr>
          <w:noProof/>
        </w:rPr>
        <w:t xml:space="preserve">.4) and lastly epiphyseal fusion sequences in </w:t>
      </w:r>
      <w:r>
        <w:rPr>
          <w:i/>
          <w:noProof/>
        </w:rPr>
        <w:t>Homo</w:t>
      </w:r>
      <w:r>
        <w:rPr>
          <w:noProof/>
        </w:rPr>
        <w:t xml:space="preserve"> and </w:t>
      </w:r>
      <w:r>
        <w:rPr>
          <w:i/>
          <w:noProof/>
        </w:rPr>
        <w:t>Pan</w:t>
      </w:r>
      <w:r w:rsidR="004E165D">
        <w:rPr>
          <w:noProof/>
        </w:rPr>
        <w:t xml:space="preserve"> (sections 2.3.5-2.3</w:t>
      </w:r>
      <w:r>
        <w:rPr>
          <w:noProof/>
        </w:rPr>
        <w:t>.9)</w:t>
      </w:r>
      <w:r w:rsidR="00AD3068">
        <w:rPr>
          <w:noProof/>
        </w:rPr>
        <w:t xml:space="preserve"> will be presented</w:t>
      </w:r>
      <w:r>
        <w:rPr>
          <w:noProof/>
        </w:rPr>
        <w:t>.</w:t>
      </w:r>
    </w:p>
    <w:p w:rsidR="006110DE" w:rsidRPr="000B5B24" w:rsidRDefault="006110DE" w:rsidP="00D263E8">
      <w:pPr>
        <w:pStyle w:val="Heading3"/>
      </w:pPr>
      <w:bookmarkStart w:id="35" w:name="_Toc373477722"/>
      <w:bookmarkStart w:id="36" w:name="_Toc373480720"/>
      <w:r>
        <w:t>The physiology of growth and fusion</w:t>
      </w:r>
      <w:bookmarkEnd w:id="35"/>
      <w:bookmarkEnd w:id="36"/>
    </w:p>
    <w:p w:rsidR="006110DE" w:rsidRDefault="006110DE" w:rsidP="000B5B24">
      <w:r>
        <w:rPr>
          <w:noProof/>
        </w:rPr>
        <w:t>Calcified bone forms on one of two types of pre-osseous templates</w:t>
      </w:r>
      <w:r w:rsidR="0059179A">
        <w:rPr>
          <w:noProof/>
        </w:rPr>
        <w:t>:</w:t>
      </w:r>
      <w:r>
        <w:rPr>
          <w:noProof/>
        </w:rPr>
        <w:t xml:space="preserve"> fibrous membranes</w:t>
      </w:r>
      <w:r w:rsidR="0059179A">
        <w:rPr>
          <w:noProof/>
        </w:rPr>
        <w:t>,</w:t>
      </w:r>
      <w:r>
        <w:rPr>
          <w:noProof/>
        </w:rPr>
        <w:t xml:space="preserve"> from which we derive the term intramembranous ossification and hyaline cartilage</w:t>
      </w:r>
      <w:r w:rsidR="0059179A">
        <w:rPr>
          <w:noProof/>
        </w:rPr>
        <w:t>,</w:t>
      </w:r>
      <w:r>
        <w:rPr>
          <w:noProof/>
        </w:rPr>
        <w:t xml:space="preserve"> from which we achieve endochondral ossification.  The reason for two distinct types of pre-osseous template is not entirely clear. </w:t>
      </w:r>
      <w:r w:rsidR="00AA741B">
        <w:rPr>
          <w:noProof/>
        </w:rPr>
        <w:t xml:space="preserve"> </w:t>
      </w:r>
      <w:r>
        <w:rPr>
          <w:noProof/>
        </w:rPr>
        <w:t>It has been speculated that fibrous membranes may be present for more rapid ossification in long bones (</w:t>
      </w:r>
      <w:r>
        <w:t>Holden 1882, Last 1973), although more recently it has been suggested that intramembranous ossification may be a more ancestral type of ossification derived from dermal bone, and as such endochondral ossification may have been derived from this original method of bon</w:t>
      </w:r>
      <w:r w:rsidR="00750657">
        <w:t>e formation (Morriss-Kay 2001).</w:t>
      </w:r>
    </w:p>
    <w:p w:rsidR="006110DE" w:rsidRDefault="006110DE" w:rsidP="000B5B24">
      <w:r>
        <w:t>Intramembranous ossification is mainly described in embryonic development, although it does actually continue throughout life (Scheuer and Black 2000).  For the purposes of studying epiphyseal fusion sequence and timing, it is endochondral ossification at the end of the diaphysis (the shaft or mid-section of the bone) that is observed</w:t>
      </w:r>
      <w:r w:rsidR="00213996">
        <w:t xml:space="preserve">. </w:t>
      </w:r>
      <w:r w:rsidR="00011BC0">
        <w:t xml:space="preserve"> </w:t>
      </w:r>
      <w:r w:rsidR="00213996">
        <w:t>There is</w:t>
      </w:r>
      <w:r>
        <w:t xml:space="preserve"> distinction between these two types of bone formation.  This is especially because long bone formation is in fact intramembranous in origin at early stages of primary centre formation both before and after birth (</w:t>
      </w:r>
      <w:r>
        <w:rPr>
          <w:color w:val="000000"/>
        </w:rPr>
        <w:t>Scheuer and Black 2000</w:t>
      </w:r>
      <w:r>
        <w:t xml:space="preserve">) and it is only later, when </w:t>
      </w:r>
      <w:r w:rsidR="00BA5DE5">
        <w:t>it comes to</w:t>
      </w:r>
      <w:r>
        <w:t xml:space="preserve"> describing the epiphy</w:t>
      </w:r>
      <w:r w:rsidR="00B31B47">
        <w:t>seal regions of joint formation</w:t>
      </w:r>
      <w:r>
        <w:t xml:space="preserve"> when strictly endocho</w:t>
      </w:r>
      <w:r w:rsidR="00750657">
        <w:t>ndral ossification is observed.</w:t>
      </w:r>
    </w:p>
    <w:p w:rsidR="006110DE" w:rsidRDefault="006110DE" w:rsidP="000B5B24">
      <w:pPr>
        <w:rPr>
          <w:rStyle w:val="CommentReference"/>
        </w:rPr>
      </w:pPr>
      <w:r>
        <w:rPr>
          <w:noProof/>
        </w:rPr>
        <w:t>There are three distinct functional types of epiphysis</w:t>
      </w:r>
      <w:r w:rsidR="003B7F8A">
        <w:rPr>
          <w:noProof/>
        </w:rPr>
        <w:t>:</w:t>
      </w:r>
      <w:r>
        <w:rPr>
          <w:noProof/>
        </w:rPr>
        <w:t xml:space="preserve"> pressure, traction, and atavistic.  Only the first two of these are of significant interest in paleoanthropological and archaeological contexts.  Pressure epiphyses are necessary to allay stresses through the joint such that longitudinal growth can continue without damage to the diaphysis (Parsons 1905, Smith 1962).  The forces in joints follow geometric increases with the size of the animal. These changes are apparent in the morphology of the epiphyseal region as the relative area of the joint surface covered by the plate increases rapidly with age.  </w:t>
      </w:r>
      <w:r>
        <w:rPr>
          <w:noProof/>
        </w:rPr>
        <w:lastRenderedPageBreak/>
        <w:t xml:space="preserve">Examples of such joints include the wrist, knee, and ankle.  Traction epiphyses occur at some major muscle insertion sites such as the femoral lesser trochanter and the </w:t>
      </w:r>
      <w:r w:rsidR="006B4728">
        <w:rPr>
          <w:noProof/>
        </w:rPr>
        <w:t xml:space="preserve">humeral </w:t>
      </w:r>
      <w:r>
        <w:rPr>
          <w:noProof/>
        </w:rPr>
        <w:t>medial epicondyle of the humerus (Salter and Harris 1963).  Atavistic epiphyses are any epiphyses that do not fall into the previous two categories such as costal notch flakes and may have been part of structures that existed at earlier evolutionary stages (Haines 1940, Scheuer and Black 2000).</w:t>
      </w:r>
    </w:p>
    <w:p w:rsidR="006110DE" w:rsidRPr="00B17DB1" w:rsidRDefault="007D3ED9" w:rsidP="000B5B24">
      <w:pPr>
        <w:rPr>
          <w:noProof/>
        </w:rPr>
      </w:pPr>
      <w:r>
        <w:rPr>
          <w:noProof/>
        </w:rPr>
        <w:t>Fusion at epiphyse</w:t>
      </w:r>
      <w:r w:rsidR="006110DE">
        <w:rPr>
          <w:noProof/>
        </w:rPr>
        <w:t xml:space="preserve">s </w:t>
      </w:r>
      <w:r w:rsidR="00B91C60">
        <w:rPr>
          <w:noProof/>
        </w:rPr>
        <w:t>is</w:t>
      </w:r>
      <w:r w:rsidR="006110DE">
        <w:rPr>
          <w:noProof/>
        </w:rPr>
        <w:t xml:space="preserve"> lik</w:t>
      </w:r>
      <w:r w:rsidR="00B91C60">
        <w:rPr>
          <w:noProof/>
        </w:rPr>
        <w:t>ely</w:t>
      </w:r>
      <w:r w:rsidR="00C34E50">
        <w:rPr>
          <w:noProof/>
        </w:rPr>
        <w:t xml:space="preserve"> </w:t>
      </w:r>
      <w:r w:rsidR="006110DE">
        <w:rPr>
          <w:noProof/>
        </w:rPr>
        <w:t>be triggered at least in part by hormonal influences.  There is a long list of growth factors that have been discovered linked to somatic growth in humans.  Endocrine examples include growth hormone (GH), insulin like growth factor I (IGF I), high-affinity growth hormone-binding protein (high-affinity GH-BP) (Shea 1992</w:t>
      </w:r>
      <w:r w:rsidR="00A01071">
        <w:rPr>
          <w:noProof/>
        </w:rPr>
        <w:t xml:space="preserve">, Wang </w:t>
      </w:r>
      <w:r w:rsidR="00A01071">
        <w:rPr>
          <w:i/>
          <w:noProof/>
        </w:rPr>
        <w:t>et al</w:t>
      </w:r>
      <w:r w:rsidR="005D3F63">
        <w:rPr>
          <w:i/>
          <w:noProof/>
        </w:rPr>
        <w:t>.</w:t>
      </w:r>
      <w:r w:rsidR="00A01071">
        <w:rPr>
          <w:noProof/>
        </w:rPr>
        <w:t xml:space="preserve"> 1999</w:t>
      </w:r>
      <w:r w:rsidR="006110DE">
        <w:rPr>
          <w:noProof/>
        </w:rPr>
        <w:t xml:space="preserve">).  Determining the direct link between these substances and epiphyseal closure is not as clear as their effect on overall body growth.  </w:t>
      </w:r>
      <w:r w:rsidR="009C6E26">
        <w:rPr>
          <w:noProof/>
        </w:rPr>
        <w:t xml:space="preserve">Oestrogen </w:t>
      </w:r>
      <w:r w:rsidR="006110DE">
        <w:rPr>
          <w:noProof/>
        </w:rPr>
        <w:t xml:space="preserve">is known to correlate with bone maturation while testosterone correlates with cartilagenous growth </w:t>
      </w:r>
      <w:r w:rsidR="009C6E26">
        <w:rPr>
          <w:noProof/>
        </w:rPr>
        <w:t xml:space="preserve">(Feuillan </w:t>
      </w:r>
      <w:r w:rsidR="009C6E26">
        <w:rPr>
          <w:i/>
          <w:noProof/>
        </w:rPr>
        <w:t xml:space="preserve">et al. </w:t>
      </w:r>
      <w:r w:rsidR="009C6E26">
        <w:rPr>
          <w:noProof/>
        </w:rPr>
        <w:t>1999, Ogden 1979)</w:t>
      </w:r>
      <w:r w:rsidR="006110DE">
        <w:rPr>
          <w:noProof/>
        </w:rPr>
        <w:t xml:space="preserve">.  The difference in timing of maturation in human males and females whereby males are consistently delayed compared with females may be related to these two hormonal influences.  However, the factors that govern fusion at any particular site are likely not controlled solely by hormonal influences </w:t>
      </w:r>
      <w:r w:rsidR="006110DE">
        <w:t xml:space="preserve">(Weise 2001).  </w:t>
      </w:r>
      <w:r w:rsidR="006110DE">
        <w:rPr>
          <w:noProof/>
        </w:rPr>
        <w:t>Most bones cease growth at different times with many centres, such as the clavicle in humans, fusing long after sexual maturation has occurred.  A more recent theory of local control suggests that there is no hormonal control (Nilsson and Baron 2004).  Rather</w:t>
      </w:r>
      <w:r w:rsidR="00283D8F">
        <w:rPr>
          <w:noProof/>
        </w:rPr>
        <w:t>,</w:t>
      </w:r>
      <w:r w:rsidR="006110DE">
        <w:rPr>
          <w:noProof/>
        </w:rPr>
        <w:t xml:space="preserve"> fusion is mediated by entirely intrinsic factors within the growth plate whereby stem-like cells have finite limits on growth potential.  Stevens </w:t>
      </w:r>
      <w:r w:rsidR="006110DE">
        <w:rPr>
          <w:i/>
          <w:noProof/>
        </w:rPr>
        <w:t>et al</w:t>
      </w:r>
      <w:r w:rsidR="000B26C0">
        <w:rPr>
          <w:i/>
          <w:noProof/>
        </w:rPr>
        <w:t>.</w:t>
      </w:r>
      <w:r w:rsidR="006110DE">
        <w:rPr>
          <w:noProof/>
        </w:rPr>
        <w:t xml:space="preserve"> (1999) provided some evidence that supports such a theory.  </w:t>
      </w:r>
      <w:r w:rsidR="005B6643">
        <w:rPr>
          <w:noProof/>
        </w:rPr>
        <w:t>They</w:t>
      </w:r>
      <w:r w:rsidR="006110DE">
        <w:rPr>
          <w:noProof/>
        </w:rPr>
        <w:t xml:space="preserve"> transplanted epiphyseal fusion plates using allografts between individuals of New Zealand white female rabbits</w:t>
      </w:r>
      <w:r w:rsidR="005B6643">
        <w:rPr>
          <w:noProof/>
        </w:rPr>
        <w:t xml:space="preserve">, and </w:t>
      </w:r>
      <w:r w:rsidR="006110DE">
        <w:rPr>
          <w:noProof/>
        </w:rPr>
        <w:t xml:space="preserve">found that fusion was mediated by the plate as the timing of fusion was dependent on the age of the donor plate and not the recipient.  This raises the </w:t>
      </w:r>
      <w:r w:rsidR="00252B42">
        <w:rPr>
          <w:noProof/>
        </w:rPr>
        <w:t xml:space="preserve">prospect of several different models.  It could be that there is a standard number of cell reproductions and oestrogen shuts this process down early while testosterone extends it.  It could be that females have fewer cells to add and oestrogen levels are purely coincidental.  It may also be that females have fewer cells and oestrogen accelerates their rate of deposition.  The reality is that the true nature of this is simply not known.  </w:t>
      </w:r>
      <w:r w:rsidR="006110DE">
        <w:rPr>
          <w:noProof/>
        </w:rPr>
        <w:t>However, it is likely that growth hormones play some role as evidence from domestic animals demonstrates large effects of introduced hormones and modifications of the pituitary glan</w:t>
      </w:r>
      <w:r w:rsidR="00C77CE5">
        <w:rPr>
          <w:noProof/>
        </w:rPr>
        <w:t>d</w:t>
      </w:r>
      <w:r w:rsidR="006110DE">
        <w:rPr>
          <w:noProof/>
        </w:rPr>
        <w:t xml:space="preserve"> (Scanes 1999).  Irrespective of the exact nature of hormonal control, it seems that their effects are systemic and that relative fusion timing is controlled locally with pre-programmed senecence for each plate.  In other words, growth hormones are mediators of the overall rate and duration of growth but the plates themselves retain their particular schedule of growth cessation relative to other plates.</w:t>
      </w:r>
    </w:p>
    <w:p w:rsidR="006110DE" w:rsidRDefault="00CE745D" w:rsidP="00D263E8">
      <w:pPr>
        <w:pStyle w:val="Heading3"/>
      </w:pPr>
      <w:bookmarkStart w:id="37" w:name="_Toc373477723"/>
      <w:bookmarkStart w:id="38" w:name="_Toc373480721"/>
      <w:r>
        <w:lastRenderedPageBreak/>
        <w:t xml:space="preserve">Epiphyseal fusion </w:t>
      </w:r>
      <w:r w:rsidR="006110DE">
        <w:t>studies from the mammalian world</w:t>
      </w:r>
      <w:bookmarkEnd w:id="37"/>
      <w:bookmarkEnd w:id="38"/>
    </w:p>
    <w:p w:rsidR="006110DE" w:rsidRPr="00ED13F4" w:rsidRDefault="006110DE" w:rsidP="00135849">
      <w:r>
        <w:t>Mammalian skeletal elements are highly conserved and the same bon</w:t>
      </w:r>
      <w:r w:rsidR="00A14DCA">
        <w:t>y elements</w:t>
      </w:r>
      <w:r>
        <w:t xml:space="preserve"> are present in most species.  The differences in morphology observed are the consequence of changes in length</w:t>
      </w:r>
      <w:r w:rsidR="00535EA2">
        <w:t xml:space="preserve"> and shape of the same elements</w:t>
      </w:r>
      <w:r>
        <w:t xml:space="preserve"> rather than the generation of new ones.  Sometimes bones are lost such as the digits of ungulates.  Long bones are generally conserved.  Similar to the presence of these bones, fusion centres are also typically conserved.  Long bones always have proximal and distal epiphyses.  </w:t>
      </w:r>
      <w:r>
        <w:rPr>
          <w:noProof/>
          <w:color w:val="000000"/>
        </w:rPr>
        <w:t xml:space="preserve">Metacarpals and phalanges have fusion plates at only one end for all terrestrial and marine mammals with only notable exception being cetaceans (Ogden </w:t>
      </w:r>
      <w:r>
        <w:rPr>
          <w:i/>
          <w:noProof/>
          <w:color w:val="000000"/>
        </w:rPr>
        <w:t>et al.</w:t>
      </w:r>
      <w:r w:rsidR="00750657">
        <w:rPr>
          <w:noProof/>
          <w:color w:val="000000"/>
        </w:rPr>
        <w:t xml:space="preserve"> 1981).</w:t>
      </w:r>
    </w:p>
    <w:p w:rsidR="006110DE" w:rsidRDefault="006110DE" w:rsidP="00135849">
      <w:pPr>
        <w:rPr>
          <w:noProof/>
        </w:rPr>
      </w:pPr>
      <w:r w:rsidRPr="00ED13F4">
        <w:t xml:space="preserve">There have been studies </w:t>
      </w:r>
      <w:r>
        <w:t xml:space="preserve">of epiphyseal </w:t>
      </w:r>
      <w:r w:rsidR="00E03587">
        <w:t xml:space="preserve">fusion </w:t>
      </w:r>
      <w:r>
        <w:t>in several different species of mammal</w:t>
      </w:r>
      <w:r w:rsidRPr="00ED13F4">
        <w:t>.</w:t>
      </w:r>
      <w:r w:rsidRPr="00ED13F4">
        <w:rPr>
          <w:noProof/>
        </w:rPr>
        <w:t xml:space="preserve">  Sources of current data are often derived from species of economic relevance and ease of access such as livestock (e.g.</w:t>
      </w:r>
      <w:r w:rsidR="007D1050">
        <w:rPr>
          <w:noProof/>
        </w:rPr>
        <w:t>,</w:t>
      </w:r>
      <w:r w:rsidRPr="00ED13F4">
        <w:rPr>
          <w:noProof/>
        </w:rPr>
        <w:t xml:space="preserve"> Noddle 1974), pets (e.g., Sumner-Smith 1966, Smith 1969, Zuck 1938), and animals prevalent in laboratories (e.g., Kaufman 1992, Weise 2001, Witschi 1962).  These can problematic due to the high level of human-related selection which has created significant genetic bottlenecks.  Some species, such as dogs, have experienced substantial modification to size and allometry and it would seem unlikely that patterns of growth and development would remain completely unaffected.  Studies of epiphyseal fusion sequencing in wild species are </w:t>
      </w:r>
      <w:r>
        <w:rPr>
          <w:noProof/>
        </w:rPr>
        <w:t>less common</w:t>
      </w:r>
      <w:r w:rsidR="00394D22">
        <w:rPr>
          <w:noProof/>
        </w:rPr>
        <w:t xml:space="preserve"> and</w:t>
      </w:r>
      <w:r w:rsidRPr="00ED13F4">
        <w:rPr>
          <w:noProof/>
        </w:rPr>
        <w:t xml:space="preserve"> are also selective with respect to which mammalian taxa are of interest.  </w:t>
      </w:r>
      <w:r w:rsidR="000377CB">
        <w:rPr>
          <w:noProof/>
        </w:rPr>
        <w:t xml:space="preserve">Comprehensive </w:t>
      </w:r>
      <w:r>
        <w:rPr>
          <w:noProof/>
        </w:rPr>
        <w:t>s</w:t>
      </w:r>
      <w:r w:rsidRPr="00ED13F4">
        <w:rPr>
          <w:noProof/>
        </w:rPr>
        <w:t xml:space="preserve">tudies looking at the entire range of epiphyses include North American bighorn sheep, (Walker 1987), bison (Koch 1935), grizzly bears (Weinstock 2009), and whales (Ogden </w:t>
      </w:r>
      <w:r w:rsidRPr="00ED13F4">
        <w:rPr>
          <w:i/>
          <w:noProof/>
        </w:rPr>
        <w:t>et al</w:t>
      </w:r>
      <w:r w:rsidRPr="00ED13F4">
        <w:rPr>
          <w:noProof/>
        </w:rPr>
        <w:t xml:space="preserve">. 1979).  Primate species have also been considered (e.g., Cheverud 1981, King 2004, Wintheiser </w:t>
      </w:r>
      <w:r w:rsidRPr="00ED13F4">
        <w:rPr>
          <w:i/>
          <w:noProof/>
        </w:rPr>
        <w:t>et al.</w:t>
      </w:r>
      <w:r w:rsidRPr="00ED13F4">
        <w:rPr>
          <w:noProof/>
        </w:rPr>
        <w:t xml:space="preserve"> 1977).  Studies of specific epiphyses only</w:t>
      </w:r>
      <w:r w:rsidR="00B26888">
        <w:rPr>
          <w:noProof/>
        </w:rPr>
        <w:t xml:space="preserve"> include the radius and ulna in</w:t>
      </w:r>
      <w:r w:rsidRPr="00ED13F4">
        <w:rPr>
          <w:noProof/>
        </w:rPr>
        <w:t xml:space="preserve"> elk (Knight 1966), fox (Sullivan and Haugen 1976) and deer (Lewall and Cowan 1963).  Studies of specific locations have considered some primate species (e.g.</w:t>
      </w:r>
      <w:r w:rsidR="00B6096B">
        <w:rPr>
          <w:noProof/>
        </w:rPr>
        <w:t>,</w:t>
      </w:r>
      <w:r w:rsidRPr="00ED13F4">
        <w:rPr>
          <w:lang w:val="en-CA"/>
        </w:rPr>
        <w:t xml:space="preserve"> Michejda 1987; Newell-Morris and Tarrant 1978; Newell-Morris </w:t>
      </w:r>
      <w:r w:rsidRPr="00ED13F4">
        <w:rPr>
          <w:i/>
          <w:lang w:val="en-CA"/>
        </w:rPr>
        <w:t xml:space="preserve">et. al. </w:t>
      </w:r>
      <w:r w:rsidRPr="00ED13F4">
        <w:rPr>
          <w:lang w:val="en-CA"/>
        </w:rPr>
        <w:t xml:space="preserve">1980, Schultz 1941, Watts 1971), with King (2004) </w:t>
      </w:r>
      <w:r w:rsidR="000377CB">
        <w:rPr>
          <w:lang w:val="en-CA"/>
        </w:rPr>
        <w:t>presenting a</w:t>
      </w:r>
      <w:r w:rsidR="000377CB" w:rsidRPr="00ED13F4">
        <w:rPr>
          <w:lang w:val="en-CA"/>
        </w:rPr>
        <w:t xml:space="preserve"> </w:t>
      </w:r>
      <w:r w:rsidRPr="00ED13F4">
        <w:rPr>
          <w:lang w:val="en-CA"/>
        </w:rPr>
        <w:t xml:space="preserve">more comprehensive study </w:t>
      </w:r>
      <w:r w:rsidR="000377CB">
        <w:rPr>
          <w:lang w:val="en-CA"/>
        </w:rPr>
        <w:t>including</w:t>
      </w:r>
      <w:r w:rsidRPr="00ED13F4">
        <w:rPr>
          <w:lang w:val="en-CA"/>
        </w:rPr>
        <w:t xml:space="preserve"> a larg</w:t>
      </w:r>
      <w:r>
        <w:rPr>
          <w:lang w:val="en-CA"/>
        </w:rPr>
        <w:t>er number of ossification centres in 16 primate species</w:t>
      </w:r>
      <w:r w:rsidR="00750657">
        <w:rPr>
          <w:noProof/>
        </w:rPr>
        <w:t>.</w:t>
      </w:r>
    </w:p>
    <w:p w:rsidR="006110DE" w:rsidRDefault="006110DE" w:rsidP="00135849">
      <w:pPr>
        <w:rPr>
          <w:noProof/>
        </w:rPr>
      </w:pPr>
      <w:r>
        <w:rPr>
          <w:noProof/>
        </w:rPr>
        <w:t xml:space="preserve">Sample size remains the largest fundamental limitation of such studies.  </w:t>
      </w:r>
      <w:r w:rsidRPr="004D0CAB">
        <w:rPr>
          <w:noProof/>
        </w:rPr>
        <w:t xml:space="preserve">The analyses of these data are also made problematic by </w:t>
      </w:r>
      <w:r w:rsidR="00A728DC">
        <w:rPr>
          <w:noProof/>
        </w:rPr>
        <w:t xml:space="preserve">large amounts of </w:t>
      </w:r>
      <w:r w:rsidRPr="004D0CAB">
        <w:rPr>
          <w:noProof/>
        </w:rPr>
        <w:t xml:space="preserve">individual variation and sequence polymorphisms, whereby the sequence of two events is commonly interchanged within a single species (Colbert and Rowe 2008).  Larger sample sizes are required to resolve these difficulties and it is only for humans that </w:t>
      </w:r>
      <w:r w:rsidR="00216A23">
        <w:rPr>
          <w:noProof/>
        </w:rPr>
        <w:t>there is</w:t>
      </w:r>
      <w:r w:rsidRPr="004D0CAB">
        <w:rPr>
          <w:noProof/>
        </w:rPr>
        <w:t xml:space="preserve"> sufficiently extensive data.</w:t>
      </w:r>
    </w:p>
    <w:p w:rsidR="00DA5557" w:rsidRDefault="006110DE" w:rsidP="00135849">
      <w:pPr>
        <w:rPr>
          <w:noProof/>
        </w:rPr>
      </w:pPr>
      <w:r>
        <w:rPr>
          <w:noProof/>
        </w:rPr>
        <w:t xml:space="preserve">King’s (2004) study </w:t>
      </w:r>
      <w:r w:rsidR="008237A3">
        <w:rPr>
          <w:noProof/>
        </w:rPr>
        <w:t>using discriminant function analysis resolved differences</w:t>
      </w:r>
      <w:r w:rsidRPr="004D0CAB">
        <w:rPr>
          <w:noProof/>
        </w:rPr>
        <w:t xml:space="preserve"> </w:t>
      </w:r>
      <w:r w:rsidR="008237A3">
        <w:rPr>
          <w:noProof/>
        </w:rPr>
        <w:t xml:space="preserve">between </w:t>
      </w:r>
      <w:r w:rsidRPr="004D0CAB">
        <w:rPr>
          <w:noProof/>
        </w:rPr>
        <w:t>species within the same taxon and also between taxa</w:t>
      </w:r>
      <w:r>
        <w:rPr>
          <w:noProof/>
        </w:rPr>
        <w:t xml:space="preserve"> in primates</w:t>
      </w:r>
      <w:r w:rsidRPr="004D0CAB">
        <w:rPr>
          <w:noProof/>
        </w:rPr>
        <w:t>.</w:t>
      </w:r>
      <w:r w:rsidR="008237A3">
        <w:rPr>
          <w:noProof/>
        </w:rPr>
        <w:t xml:space="preserve">  This approach considered sequences of both dental </w:t>
      </w:r>
      <w:r w:rsidR="008237A3">
        <w:rPr>
          <w:noProof/>
        </w:rPr>
        <w:lastRenderedPageBreak/>
        <w:t xml:space="preserve">and </w:t>
      </w:r>
      <w:r w:rsidR="00FD159A">
        <w:rPr>
          <w:noProof/>
        </w:rPr>
        <w:t xml:space="preserve">skeletal </w:t>
      </w:r>
      <w:r w:rsidR="008237A3">
        <w:rPr>
          <w:noProof/>
        </w:rPr>
        <w:t>fusion which makes distinctions unclear in the sense that some of the difference</w:t>
      </w:r>
      <w:r w:rsidR="007A7608">
        <w:rPr>
          <w:noProof/>
        </w:rPr>
        <w:t>s</w:t>
      </w:r>
      <w:r w:rsidR="008237A3">
        <w:rPr>
          <w:noProof/>
        </w:rPr>
        <w:t xml:space="preserve"> may be dental-skeletal shifts.  Whether shifts are in pattern or relative timing compared to other maturational sequences, the results are still very important.  They are of</w:t>
      </w:r>
      <w:r>
        <w:rPr>
          <w:noProof/>
        </w:rPr>
        <w:t xml:space="preserve"> particular note because the same data collection and statistical methodology was applied to a single sample.  This level of systematic comparison does not exist for comparing other mammalian taxa to each other.  </w:t>
      </w:r>
      <w:r w:rsidR="005521D2">
        <w:rPr>
          <w:noProof/>
        </w:rPr>
        <w:t xml:space="preserve">Even though </w:t>
      </w:r>
      <w:r>
        <w:rPr>
          <w:noProof/>
        </w:rPr>
        <w:t xml:space="preserve">there is some </w:t>
      </w:r>
      <w:r w:rsidR="00084BF4">
        <w:rPr>
          <w:noProof/>
        </w:rPr>
        <w:t xml:space="preserve">information available </w:t>
      </w:r>
      <w:r>
        <w:rPr>
          <w:noProof/>
        </w:rPr>
        <w:t>for different</w:t>
      </w:r>
      <w:r w:rsidR="00C26D2D">
        <w:rPr>
          <w:noProof/>
        </w:rPr>
        <w:t xml:space="preserve"> species, t</w:t>
      </w:r>
      <w:r>
        <w:rPr>
          <w:noProof/>
        </w:rPr>
        <w:t xml:space="preserve">he data </w:t>
      </w:r>
      <w:r w:rsidR="00084BF4">
        <w:rPr>
          <w:noProof/>
        </w:rPr>
        <w:t xml:space="preserve">are </w:t>
      </w:r>
      <w:r>
        <w:rPr>
          <w:noProof/>
        </w:rPr>
        <w:t>too sparsely reported for overall trends to be observed.</w:t>
      </w:r>
    </w:p>
    <w:p w:rsidR="006110DE" w:rsidRPr="00A776D6" w:rsidRDefault="006110DE" w:rsidP="00D263E8">
      <w:pPr>
        <w:pStyle w:val="Heading3"/>
      </w:pPr>
      <w:bookmarkStart w:id="39" w:name="_Toc373477724"/>
      <w:bookmarkStart w:id="40" w:name="_Toc373480722"/>
      <w:r>
        <w:t>Epiphyseal fusion in primates</w:t>
      </w:r>
      <w:bookmarkEnd w:id="39"/>
      <w:bookmarkEnd w:id="40"/>
    </w:p>
    <w:p w:rsidR="006110DE" w:rsidRDefault="006110DE" w:rsidP="00A776D6">
      <w:pPr>
        <w:rPr>
          <w:lang w:val="en-GB"/>
        </w:rPr>
      </w:pPr>
      <w:r w:rsidRPr="00BE66B9">
        <w:rPr>
          <w:lang w:val="en-GB"/>
        </w:rPr>
        <w:t xml:space="preserve">Primate epiphyseal fusion has been studied for a patchy array of different species and with varying breadth of fusion centres considered.  Typically the species studied have been those which are most easily accessed or are of particular interest.  For example, both radiographic and dry bone studies have been used for </w:t>
      </w:r>
      <w:r w:rsidRPr="00253067">
        <w:rPr>
          <w:i/>
          <w:lang w:val="en-GB"/>
        </w:rPr>
        <w:t>Macaca mulatta</w:t>
      </w:r>
      <w:r w:rsidRPr="00253067">
        <w:rPr>
          <w:lang w:val="en-GB"/>
        </w:rPr>
        <w:t xml:space="preserve"> and </w:t>
      </w:r>
      <w:r>
        <w:rPr>
          <w:i/>
          <w:lang w:val="en-GB"/>
        </w:rPr>
        <w:t>M</w:t>
      </w:r>
      <w:r w:rsidR="00156E58">
        <w:rPr>
          <w:i/>
          <w:lang w:val="en-GB"/>
        </w:rPr>
        <w:t>.</w:t>
      </w:r>
      <w:r w:rsidRPr="00253067">
        <w:rPr>
          <w:i/>
          <w:lang w:val="en-GB"/>
        </w:rPr>
        <w:t xml:space="preserve"> fuscata</w:t>
      </w:r>
      <w:r>
        <w:rPr>
          <w:i/>
          <w:lang w:val="en-GB"/>
        </w:rPr>
        <w:t xml:space="preserve"> </w:t>
      </w:r>
      <w:r w:rsidRPr="00BE66B9">
        <w:rPr>
          <w:lang w:val="en-GB"/>
        </w:rPr>
        <w:t>epiphyseal fusion centres (Hayama 1965, Michejda 1987, Van Wagenen and Asling 1958, Watts 1971).  Both of these species have</w:t>
      </w:r>
      <w:r w:rsidRPr="00BE66B9">
        <w:rPr>
          <w:i/>
          <w:lang w:val="en-GB"/>
        </w:rPr>
        <w:t xml:space="preserve"> </w:t>
      </w:r>
      <w:r w:rsidRPr="00BE66B9">
        <w:rPr>
          <w:lang w:val="en-GB"/>
        </w:rPr>
        <w:t xml:space="preserve">had their skeletal fusion patterns studied sufficiently in depth for skeletal maturation to be compared.  Hayama (1965) and van </w:t>
      </w:r>
      <w:r w:rsidRPr="00BE66B9">
        <w:t>Wagenen and Asling (1958)</w:t>
      </w:r>
      <w:r w:rsidRPr="00BE66B9">
        <w:rPr>
          <w:i/>
          <w:lang w:val="en-GB"/>
        </w:rPr>
        <w:t xml:space="preserve"> </w:t>
      </w:r>
      <w:r w:rsidRPr="00BE66B9">
        <w:rPr>
          <w:lang w:val="en-GB"/>
        </w:rPr>
        <w:t xml:space="preserve">have suggested that there </w:t>
      </w:r>
      <w:r w:rsidRPr="00BE66B9">
        <w:t xml:space="preserve">are no differences in fusion pattern and timing between </w:t>
      </w:r>
      <w:r w:rsidR="00156E58" w:rsidRPr="00BE66B9">
        <w:t>th</w:t>
      </w:r>
      <w:r w:rsidR="00156E58">
        <w:t>e</w:t>
      </w:r>
      <w:r w:rsidR="00156E58" w:rsidRPr="00BE66B9">
        <w:t xml:space="preserve">se </w:t>
      </w:r>
      <w:r w:rsidRPr="00BE66B9">
        <w:t xml:space="preserve">two </w:t>
      </w:r>
      <w:r w:rsidR="00156E58">
        <w:t xml:space="preserve">macaque </w:t>
      </w:r>
      <w:r w:rsidRPr="00BE66B9">
        <w:t>species.</w:t>
      </w:r>
      <w:r w:rsidRPr="006D1E5D">
        <w:rPr>
          <w:lang w:val="en-GB"/>
        </w:rPr>
        <w:t xml:space="preserve">  </w:t>
      </w:r>
      <w:r w:rsidRPr="00BE66B9">
        <w:rPr>
          <w:lang w:val="en-GB"/>
        </w:rPr>
        <w:t>Other primate genera that have been studied include</w:t>
      </w:r>
      <w:r>
        <w:rPr>
          <w:lang w:val="en-GB"/>
        </w:rPr>
        <w:t xml:space="preserve"> </w:t>
      </w:r>
      <w:r w:rsidR="00156E58" w:rsidRPr="00BE66B9">
        <w:rPr>
          <w:lang w:val="en-GB"/>
        </w:rPr>
        <w:t xml:space="preserve">squirrel monkeys </w:t>
      </w:r>
      <w:r w:rsidR="00156E58">
        <w:rPr>
          <w:lang w:val="en-GB"/>
        </w:rPr>
        <w:t>(</w:t>
      </w:r>
      <w:r w:rsidR="00D76137">
        <w:rPr>
          <w:lang w:val="en-GB"/>
        </w:rPr>
        <w:t>Galliari 1988)</w:t>
      </w:r>
      <w:r w:rsidRPr="00BE66B9">
        <w:rPr>
          <w:lang w:val="en-GB"/>
        </w:rPr>
        <w:t xml:space="preserve">, </w:t>
      </w:r>
      <w:r w:rsidR="00156E58">
        <w:rPr>
          <w:lang w:val="en-GB"/>
        </w:rPr>
        <w:t>tamarins</w:t>
      </w:r>
      <w:r w:rsidR="00156E58" w:rsidRPr="00F9680C">
        <w:rPr>
          <w:lang w:val="en-GB"/>
        </w:rPr>
        <w:t xml:space="preserve"> </w:t>
      </w:r>
      <w:r w:rsidR="00156E58">
        <w:rPr>
          <w:lang w:val="en-GB"/>
        </w:rPr>
        <w:t>(</w:t>
      </w:r>
      <w:r w:rsidRPr="00F9680C">
        <w:rPr>
          <w:lang w:val="en-GB"/>
        </w:rPr>
        <w:t>Glassman 1983)</w:t>
      </w:r>
      <w:r>
        <w:rPr>
          <w:lang w:val="en-GB"/>
        </w:rPr>
        <w:t xml:space="preserve">, and </w:t>
      </w:r>
      <w:r w:rsidR="00156E58">
        <w:rPr>
          <w:lang w:val="en-GB"/>
        </w:rPr>
        <w:t xml:space="preserve">baboons (Bramblett </w:t>
      </w:r>
      <w:r w:rsidR="00156E58" w:rsidRPr="00F9680C">
        <w:rPr>
          <w:lang w:val="en-GB"/>
        </w:rPr>
        <w:t>1969)</w:t>
      </w:r>
      <w:r>
        <w:rPr>
          <w:lang w:val="en-GB"/>
        </w:rPr>
        <w:t>.  Studies of apes include</w:t>
      </w:r>
      <w:r w:rsidR="00D76137">
        <w:rPr>
          <w:rStyle w:val="CommentReference"/>
        </w:rPr>
        <w:t xml:space="preserve"> </w:t>
      </w:r>
      <w:r>
        <w:rPr>
          <w:lang w:val="en-GB"/>
        </w:rPr>
        <w:t>orang-utans (</w:t>
      </w:r>
      <w:r w:rsidRPr="00BE66B9">
        <w:rPr>
          <w:lang w:val="en-GB"/>
        </w:rPr>
        <w:t xml:space="preserve">Schultz 1941, Winkler 1996).  All of the aforementioned studies have looked at a comprehensive survey of epiphyseal closure with the exception of Schultz (1941) and Winkler (1996) who only considered </w:t>
      </w:r>
      <w:r w:rsidR="009F0C12">
        <w:rPr>
          <w:lang w:val="en-GB"/>
        </w:rPr>
        <w:t xml:space="preserve">fusions occurring in the </w:t>
      </w:r>
      <w:r w:rsidRPr="00BE66B9">
        <w:rPr>
          <w:lang w:val="en-GB"/>
        </w:rPr>
        <w:t xml:space="preserve">hand/wrist.  There is a lack of studies examining fusion in gorillas and gibbons, although growth in dental and other tissues of </w:t>
      </w:r>
      <w:r w:rsidR="009F0C12">
        <w:rPr>
          <w:lang w:val="en-GB"/>
        </w:rPr>
        <w:t>the former</w:t>
      </w:r>
      <w:r w:rsidR="009F0C12" w:rsidRPr="00BE66B9">
        <w:rPr>
          <w:lang w:val="en-GB"/>
        </w:rPr>
        <w:t xml:space="preserve"> </w:t>
      </w:r>
      <w:r w:rsidRPr="00BE66B9">
        <w:rPr>
          <w:lang w:val="en-GB"/>
        </w:rPr>
        <w:t>hav</w:t>
      </w:r>
      <w:r w:rsidR="00F627C8">
        <w:rPr>
          <w:lang w:val="en-GB"/>
        </w:rPr>
        <w:t>e been examined quite closely.</w:t>
      </w:r>
    </w:p>
    <w:p w:rsidR="00AF4DE9" w:rsidRPr="001F3F84" w:rsidRDefault="002D7C1C" w:rsidP="00B050C0">
      <w:pPr>
        <w:rPr>
          <w:u w:val="single"/>
          <w:lang w:val="en-GB"/>
        </w:rPr>
      </w:pPr>
      <w:r w:rsidRPr="001F3F84">
        <w:rPr>
          <w:u w:val="single"/>
          <w:lang w:val="en-GB"/>
        </w:rPr>
        <w:t>Patterns and trends</w:t>
      </w:r>
    </w:p>
    <w:p w:rsidR="005C2A3D" w:rsidRDefault="006110DE" w:rsidP="00B050C0">
      <w:pPr>
        <w:rPr>
          <w:noProof/>
        </w:rPr>
      </w:pPr>
      <w:r w:rsidRPr="00BE66B9">
        <w:rPr>
          <w:lang w:val="en-GB"/>
        </w:rPr>
        <w:t>Research that summarises general trends in primate epiphyseal closure</w:t>
      </w:r>
      <w:r w:rsidR="002603E3">
        <w:rPr>
          <w:lang w:val="en-GB"/>
        </w:rPr>
        <w:t xml:space="preserve"> relies on incomplete data.</w:t>
      </w:r>
      <w:r w:rsidRPr="00BE66B9">
        <w:rPr>
          <w:lang w:val="en-GB"/>
        </w:rPr>
        <w:t xml:space="preserve"> </w:t>
      </w:r>
      <w:r w:rsidR="002603E3">
        <w:rPr>
          <w:lang w:val="en-GB"/>
        </w:rPr>
        <w:t xml:space="preserve"> </w:t>
      </w:r>
      <w:r w:rsidRPr="00BE66B9">
        <w:rPr>
          <w:lang w:val="en-GB"/>
        </w:rPr>
        <w:t xml:space="preserve">Despite this, some general modelling has been </w:t>
      </w:r>
      <w:r w:rsidR="002603E3">
        <w:rPr>
          <w:lang w:val="en-GB"/>
        </w:rPr>
        <w:t>presented.</w:t>
      </w:r>
      <w:r w:rsidRPr="00BE66B9">
        <w:rPr>
          <w:lang w:val="en-GB"/>
        </w:rPr>
        <w:t xml:space="preserve">  With respect to the pattern of fusion, Kerley (1966), Schultz (1940, 1944), Shigehara (1980) and Todd (1930) all remarked that there is a general sequence for limb fusion in primates, including humans.  The pa</w:t>
      </w:r>
      <w:r w:rsidR="00062097">
        <w:rPr>
          <w:lang w:val="en-GB"/>
        </w:rPr>
        <w:t>ttern, from earliest to latest wa</w:t>
      </w:r>
      <w:r w:rsidRPr="00BE66B9">
        <w:rPr>
          <w:lang w:val="en-GB"/>
        </w:rPr>
        <w:t>s as follows: elbow, hip, ankle, knee,</w:t>
      </w:r>
      <w:r w:rsidR="00062097">
        <w:rPr>
          <w:lang w:val="en-GB"/>
        </w:rPr>
        <w:t xml:space="preserve"> wrist, shoulder.  This included</w:t>
      </w:r>
      <w:r w:rsidRPr="00BE66B9">
        <w:rPr>
          <w:lang w:val="en-GB"/>
        </w:rPr>
        <w:t xml:space="preserve"> all of the epiphyses in each region. </w:t>
      </w:r>
      <w:r w:rsidR="00062097">
        <w:rPr>
          <w:lang w:val="en-GB"/>
        </w:rPr>
        <w:t xml:space="preserve"> For example, the elbow included</w:t>
      </w:r>
      <w:r w:rsidRPr="00BE66B9">
        <w:rPr>
          <w:lang w:val="en-GB"/>
        </w:rPr>
        <w:t xml:space="preserve"> the </w:t>
      </w:r>
      <w:r w:rsidR="00FB5ED4">
        <w:rPr>
          <w:rFonts w:eastAsia="Times New Roman"/>
          <w:color w:val="000000"/>
          <w:lang w:val="en-GB" w:eastAsia="en-GB"/>
        </w:rPr>
        <w:t>distal humerus</w:t>
      </w:r>
      <w:r w:rsidRPr="00BE66B9">
        <w:rPr>
          <w:lang w:val="en-GB"/>
        </w:rPr>
        <w:t xml:space="preserve"> and the</w:t>
      </w:r>
      <w:r w:rsidR="006B4728">
        <w:rPr>
          <w:lang w:val="en-GB"/>
        </w:rPr>
        <w:t xml:space="preserve"> humeral</w:t>
      </w:r>
      <w:r w:rsidRPr="00BE66B9">
        <w:rPr>
          <w:lang w:val="en-GB"/>
        </w:rPr>
        <w:t xml:space="preserve"> medial epicondyle.  </w:t>
      </w:r>
      <w:r>
        <w:rPr>
          <w:noProof/>
        </w:rPr>
        <w:t>It has been observed in</w:t>
      </w:r>
      <w:r w:rsidR="00F36A98">
        <w:rPr>
          <w:noProof/>
        </w:rPr>
        <w:t xml:space="preserve"> humans and other primates </w:t>
      </w:r>
      <w:r w:rsidR="00B50B74">
        <w:rPr>
          <w:noProof/>
        </w:rPr>
        <w:t>that this</w:t>
      </w:r>
      <w:r>
        <w:rPr>
          <w:noProof/>
        </w:rPr>
        <w:t xml:space="preserve"> sequence of </w:t>
      </w:r>
      <w:r w:rsidR="00F36A98">
        <w:rPr>
          <w:noProof/>
        </w:rPr>
        <w:t xml:space="preserve">commonly observed </w:t>
      </w:r>
      <w:r>
        <w:rPr>
          <w:noProof/>
        </w:rPr>
        <w:t xml:space="preserve">epiphyseal closure </w:t>
      </w:r>
      <w:r w:rsidR="00CD0DB5">
        <w:rPr>
          <w:noProof/>
        </w:rPr>
        <w:t>does not vary</w:t>
      </w:r>
      <w:r w:rsidR="00F36A98">
        <w:rPr>
          <w:noProof/>
        </w:rPr>
        <w:t>.  These commonly observed epiphyses tend to be on long-bones and</w:t>
      </w:r>
      <w:r w:rsidR="00062097">
        <w:rPr>
          <w:noProof/>
        </w:rPr>
        <w:t xml:space="preserve"> with a</w:t>
      </w:r>
      <w:r w:rsidR="00F36A98">
        <w:rPr>
          <w:noProof/>
        </w:rPr>
        <w:t xml:space="preserve"> </w:t>
      </w:r>
      <w:r w:rsidR="00062097">
        <w:rPr>
          <w:noProof/>
        </w:rPr>
        <w:t>special focus on</w:t>
      </w:r>
      <w:r w:rsidR="00F36A98">
        <w:rPr>
          <w:noProof/>
        </w:rPr>
        <w:t xml:space="preserve"> the wrist.  Comprehensive studies are not numerous enough to find inconsistencies between regions </w:t>
      </w:r>
      <w:r w:rsidR="00F36A98">
        <w:rPr>
          <w:noProof/>
        </w:rPr>
        <w:lastRenderedPageBreak/>
        <w:t xml:space="preserve">such as hand, foot, ankle, and torso fusion events.  As previously mentioned, King (2004) surveyed a larger collection of fusion sites </w:t>
      </w:r>
      <w:r w:rsidR="00417429">
        <w:rPr>
          <w:noProof/>
        </w:rPr>
        <w:t xml:space="preserve">by means of </w:t>
      </w:r>
      <w:r w:rsidR="00F36A98">
        <w:rPr>
          <w:noProof/>
        </w:rPr>
        <w:t xml:space="preserve">discriminant function analysis.  He did not produce a seriation of fusion events for each species, and his samples were </w:t>
      </w:r>
      <w:r w:rsidR="00D005DF">
        <w:rPr>
          <w:noProof/>
        </w:rPr>
        <w:t xml:space="preserve">possibly </w:t>
      </w:r>
      <w:r w:rsidR="00F36A98">
        <w:rPr>
          <w:noProof/>
        </w:rPr>
        <w:t>not large enough for each species to do so with any measurable statistical confidence.  However, the discriminant function distinctions found between species suggested that enough consistent variation is present for differences to be predicted if larger samples of epiphyses are compared b</w:t>
      </w:r>
      <w:r w:rsidR="004D08BA">
        <w:rPr>
          <w:noProof/>
        </w:rPr>
        <w:t>etween different primate taxa.</w:t>
      </w:r>
    </w:p>
    <w:p w:rsidR="006110DE" w:rsidRPr="00B050C0" w:rsidRDefault="006110DE" w:rsidP="00B050C0">
      <w:pPr>
        <w:rPr>
          <w:noProof/>
        </w:rPr>
      </w:pPr>
      <w:r>
        <w:rPr>
          <w:noProof/>
        </w:rPr>
        <w:t xml:space="preserve">Epiphyseal </w:t>
      </w:r>
      <w:r w:rsidR="0090649C">
        <w:rPr>
          <w:noProof/>
        </w:rPr>
        <w:t>fusion</w:t>
      </w:r>
      <w:r>
        <w:rPr>
          <w:noProof/>
        </w:rPr>
        <w:t xml:space="preserve"> </w:t>
      </w:r>
      <w:r w:rsidR="003E4C6E">
        <w:rPr>
          <w:noProof/>
        </w:rPr>
        <w:t xml:space="preserve">sequences </w:t>
      </w:r>
      <w:r w:rsidR="0090649C">
        <w:rPr>
          <w:noProof/>
        </w:rPr>
        <w:t xml:space="preserve">always show consistent patterns </w:t>
      </w:r>
      <w:r w:rsidR="004D252F">
        <w:rPr>
          <w:noProof/>
        </w:rPr>
        <w:t>at a species level</w:t>
      </w:r>
      <w:r w:rsidR="00AF4DE9">
        <w:rPr>
          <w:noProof/>
        </w:rPr>
        <w:t xml:space="preserve">.  </w:t>
      </w:r>
      <w:r w:rsidR="00DC50FF">
        <w:rPr>
          <w:noProof/>
        </w:rPr>
        <w:t>Deviations from the standard pattern are known as sequence polymorphisms.</w:t>
      </w:r>
      <w:r w:rsidR="00AF4DE9">
        <w:rPr>
          <w:noProof/>
        </w:rPr>
        <w:t xml:space="preserve">  T</w:t>
      </w:r>
      <w:r w:rsidR="007F5C9C">
        <w:rPr>
          <w:noProof/>
        </w:rPr>
        <w:t>hese have been particularly well-documented in humans</w:t>
      </w:r>
      <w:r w:rsidR="00AF4DE9">
        <w:rPr>
          <w:noProof/>
        </w:rPr>
        <w:t xml:space="preserve"> with the mo</w:t>
      </w:r>
      <w:r w:rsidR="00F11129">
        <w:rPr>
          <w:noProof/>
        </w:rPr>
        <w:t>st</w:t>
      </w:r>
      <w:r w:rsidR="00AF4DE9">
        <w:rPr>
          <w:noProof/>
        </w:rPr>
        <w:t xml:space="preserve"> common of</w:t>
      </w:r>
      <w:r w:rsidR="00D83FAB">
        <w:rPr>
          <w:noProof/>
        </w:rPr>
        <w:t xml:space="preserve"> these highlighted in reference</w:t>
      </w:r>
      <w:r w:rsidR="00AF4DE9">
        <w:rPr>
          <w:noProof/>
        </w:rPr>
        <w:t xml:space="preserve"> texts such as Scheuer and Black (2004). </w:t>
      </w:r>
      <w:r>
        <w:rPr>
          <w:noProof/>
        </w:rPr>
        <w:t xml:space="preserve"> </w:t>
      </w:r>
      <w:r w:rsidR="00AF4DE9">
        <w:rPr>
          <w:noProof/>
        </w:rPr>
        <w:t xml:space="preserve">In reality, </w:t>
      </w:r>
      <w:r w:rsidR="00F11129">
        <w:rPr>
          <w:noProof/>
        </w:rPr>
        <w:t>sequence polymorphisms can be found for almost every epiphysis</w:t>
      </w:r>
      <w:r w:rsidR="009F6E8D">
        <w:rPr>
          <w:noProof/>
        </w:rPr>
        <w:t xml:space="preserve"> in humans</w:t>
      </w:r>
      <w:r w:rsidR="00F11129">
        <w:rPr>
          <w:noProof/>
        </w:rPr>
        <w:t>.  The rates of occurrence vary</w:t>
      </w:r>
      <w:r w:rsidR="000F0F44">
        <w:rPr>
          <w:noProof/>
        </w:rPr>
        <w:t xml:space="preserve"> depending on how temporally </w:t>
      </w:r>
      <w:r w:rsidR="003B128E">
        <w:rPr>
          <w:noProof/>
        </w:rPr>
        <w:t>close to</w:t>
      </w:r>
      <w:r w:rsidR="00B35F12">
        <w:rPr>
          <w:noProof/>
        </w:rPr>
        <w:t>g</w:t>
      </w:r>
      <w:r w:rsidR="003B128E">
        <w:rPr>
          <w:noProof/>
        </w:rPr>
        <w:t>et</w:t>
      </w:r>
      <w:r w:rsidR="00B35F12">
        <w:rPr>
          <w:noProof/>
        </w:rPr>
        <w:t xml:space="preserve">her two given </w:t>
      </w:r>
      <w:r w:rsidR="000F0F44">
        <w:rPr>
          <w:noProof/>
        </w:rPr>
        <w:t>epiphys</w:t>
      </w:r>
      <w:r w:rsidR="009E14D7">
        <w:rPr>
          <w:noProof/>
        </w:rPr>
        <w:t>is</w:t>
      </w:r>
      <w:r w:rsidR="000F0F44">
        <w:rPr>
          <w:noProof/>
        </w:rPr>
        <w:t xml:space="preserve"> </w:t>
      </w:r>
      <w:r w:rsidR="00B35F12">
        <w:rPr>
          <w:noProof/>
        </w:rPr>
        <w:t>are</w:t>
      </w:r>
      <w:r w:rsidR="009E14D7">
        <w:rPr>
          <w:noProof/>
        </w:rPr>
        <w:t>.</w:t>
      </w:r>
      <w:r w:rsidR="00F11129">
        <w:rPr>
          <w:noProof/>
        </w:rPr>
        <w:t xml:space="preserve">  Schaefer and Black (2007) provided a modular sequence of fusion events for human males that included pre- and post- event shifts.  </w:t>
      </w:r>
      <w:r w:rsidR="00C60F35">
        <w:rPr>
          <w:noProof/>
        </w:rPr>
        <w:t xml:space="preserve">For example, the fusion of the </w:t>
      </w:r>
      <w:r w:rsidR="006B4728">
        <w:rPr>
          <w:noProof/>
        </w:rPr>
        <w:t xml:space="preserve">humeral </w:t>
      </w:r>
      <w:r w:rsidR="00C60F35">
        <w:rPr>
          <w:noProof/>
        </w:rPr>
        <w:t>medial epicondyle usually precedes the lesser trochanter and is preceded by the femoral head and proximal radius.  In a minority of cases this epiphysis is proceeded by the lesser trochanter or precedes the femoral head or proximal radius</w:t>
      </w:r>
      <w:r w:rsidR="00FB4E96">
        <w:rPr>
          <w:noProof/>
        </w:rPr>
        <w:t xml:space="preserve"> (Schaefer and Black 2007)</w:t>
      </w:r>
      <w:r w:rsidR="00C60F35">
        <w:rPr>
          <w:noProof/>
        </w:rPr>
        <w:t xml:space="preserve">.  </w:t>
      </w:r>
      <w:r w:rsidR="006D3DBD">
        <w:rPr>
          <w:noProof/>
        </w:rPr>
        <w:t xml:space="preserve">Any combination of these variations is potentially observed in an individual.  </w:t>
      </w:r>
      <w:r w:rsidR="0038183D">
        <w:rPr>
          <w:noProof/>
        </w:rPr>
        <w:t xml:space="preserve">These variations in order are likely consequent of only small </w:t>
      </w:r>
      <w:r w:rsidR="00DC50FF">
        <w:rPr>
          <w:noProof/>
        </w:rPr>
        <w:t>differences</w:t>
      </w:r>
      <w:r w:rsidR="0038183D">
        <w:rPr>
          <w:noProof/>
        </w:rPr>
        <w:t xml:space="preserve"> in timing of fusion onset for closely overlapping events.  </w:t>
      </w:r>
      <w:r w:rsidR="00E70BF6">
        <w:rPr>
          <w:noProof/>
        </w:rPr>
        <w:t>Schaefer and Black’s (2007) modular seque</w:t>
      </w:r>
      <w:r w:rsidR="003714D8">
        <w:rPr>
          <w:noProof/>
        </w:rPr>
        <w:t xml:space="preserve">nce for humans was observed only after </w:t>
      </w:r>
      <w:r w:rsidR="00E70BF6">
        <w:rPr>
          <w:noProof/>
        </w:rPr>
        <w:t xml:space="preserve">after collecting data from hundreds of individuals.  Consequently, knowledge of sequence polymorphisms for other primates </w:t>
      </w:r>
      <w:r w:rsidR="00073F0D">
        <w:rPr>
          <w:noProof/>
        </w:rPr>
        <w:t xml:space="preserve">remains </w:t>
      </w:r>
      <w:r w:rsidR="00774BBE">
        <w:rPr>
          <w:noProof/>
        </w:rPr>
        <w:t>unstudied</w:t>
      </w:r>
      <w:r w:rsidR="00073F0D">
        <w:rPr>
          <w:noProof/>
        </w:rPr>
        <w:t xml:space="preserve">.  Observation is </w:t>
      </w:r>
      <w:r w:rsidR="00E70BF6">
        <w:rPr>
          <w:noProof/>
        </w:rPr>
        <w:t xml:space="preserve">limited due to the impracticality of collecting data from hundreds of skeletonized individuals.  </w:t>
      </w:r>
      <w:r w:rsidR="009E26BF">
        <w:rPr>
          <w:noProof/>
        </w:rPr>
        <w:t>Simply determin</w:t>
      </w:r>
      <w:r w:rsidR="00840C64">
        <w:rPr>
          <w:noProof/>
        </w:rPr>
        <w:t>ing basic sequences for limb an</w:t>
      </w:r>
      <w:r w:rsidR="009E26BF">
        <w:rPr>
          <w:noProof/>
        </w:rPr>
        <w:t>d torso fusion is difficult enough without sufficiently large sample</w:t>
      </w:r>
      <w:r w:rsidR="008145DA">
        <w:rPr>
          <w:noProof/>
        </w:rPr>
        <w:t>s</w:t>
      </w:r>
      <w:r w:rsidR="00073F0D">
        <w:rPr>
          <w:noProof/>
        </w:rPr>
        <w:t>.</w:t>
      </w:r>
    </w:p>
    <w:p w:rsidR="006110DE" w:rsidRPr="00DE4AAB" w:rsidRDefault="006110DE" w:rsidP="00D263E8">
      <w:pPr>
        <w:pStyle w:val="Heading3"/>
      </w:pPr>
      <w:bookmarkStart w:id="41" w:name="_Toc373477725"/>
      <w:bookmarkStart w:id="42" w:name="_Toc373480723"/>
      <w:r>
        <w:t>Epiphyseal fusion in humans</w:t>
      </w:r>
      <w:bookmarkEnd w:id="41"/>
      <w:bookmarkEnd w:id="42"/>
    </w:p>
    <w:p w:rsidR="006110DE" w:rsidRDefault="00870771" w:rsidP="00DE4AAB">
      <w:pPr>
        <w:rPr>
          <w:noProof/>
        </w:rPr>
      </w:pPr>
      <w:r>
        <w:rPr>
          <w:noProof/>
        </w:rPr>
        <w:t xml:space="preserve">This section will </w:t>
      </w:r>
      <w:r w:rsidR="006110DE">
        <w:rPr>
          <w:noProof/>
        </w:rPr>
        <w:t xml:space="preserve">discuss the types of studies that have been conducted (radiographic and dry bone) and </w:t>
      </w:r>
      <w:r w:rsidR="00E10B02">
        <w:rPr>
          <w:noProof/>
        </w:rPr>
        <w:t xml:space="preserve">will </w:t>
      </w:r>
      <w:r w:rsidR="006110DE">
        <w:rPr>
          <w:noProof/>
        </w:rPr>
        <w:t xml:space="preserve">consider the methodological robusticity of these techniques.  Humans of European ancestry are the most extensively studied group </w:t>
      </w:r>
      <w:r w:rsidR="003A2AEE">
        <w:rPr>
          <w:noProof/>
        </w:rPr>
        <w:t xml:space="preserve">and are the source of most data on epiphyseal fusion.  Some </w:t>
      </w:r>
      <w:r w:rsidR="009E3117">
        <w:rPr>
          <w:noProof/>
        </w:rPr>
        <w:t>research of non-European populations has</w:t>
      </w:r>
      <w:r w:rsidR="003A2AEE">
        <w:rPr>
          <w:noProof/>
        </w:rPr>
        <w:t xml:space="preserve"> been considered and comparisons with these </w:t>
      </w:r>
      <w:r w:rsidR="009E3117">
        <w:rPr>
          <w:noProof/>
        </w:rPr>
        <w:t xml:space="preserve">studies </w:t>
      </w:r>
      <w:r w:rsidR="003A2AEE">
        <w:rPr>
          <w:noProof/>
        </w:rPr>
        <w:t>will be discussed</w:t>
      </w:r>
      <w:r w:rsidR="00DE4AAB">
        <w:rPr>
          <w:noProof/>
        </w:rPr>
        <w:t>.</w:t>
      </w:r>
    </w:p>
    <w:p w:rsidR="006110DE" w:rsidRPr="003B21DF" w:rsidRDefault="006110DE" w:rsidP="00DE4AAB">
      <w:pPr>
        <w:rPr>
          <w:noProof/>
          <w:u w:val="single"/>
        </w:rPr>
      </w:pPr>
      <w:r w:rsidRPr="003B21DF">
        <w:rPr>
          <w:noProof/>
          <w:u w:val="single"/>
        </w:rPr>
        <w:t>R</w:t>
      </w:r>
      <w:r w:rsidR="00C61531" w:rsidRPr="003B21DF">
        <w:rPr>
          <w:noProof/>
          <w:u w:val="single"/>
        </w:rPr>
        <w:t>adiography and dry-bone studies</w:t>
      </w:r>
    </w:p>
    <w:p w:rsidR="006110DE" w:rsidRPr="00FC1570" w:rsidRDefault="006110DE" w:rsidP="00DE4AAB">
      <w:r>
        <w:rPr>
          <w:noProof/>
        </w:rPr>
        <w:t xml:space="preserve">Studies of human epiphyseal fusion patterning have been carried out extensively over the past century using both radiographic and dry-bone techniques.  </w:t>
      </w:r>
      <w:r w:rsidR="00494D5B">
        <w:rPr>
          <w:noProof/>
        </w:rPr>
        <w:t>The use of r</w:t>
      </w:r>
      <w:r w:rsidR="009514FB">
        <w:rPr>
          <w:noProof/>
        </w:rPr>
        <w:t>adiographic methods has</w:t>
      </w:r>
      <w:r>
        <w:rPr>
          <w:noProof/>
        </w:rPr>
        <w:t xml:space="preserve"> declined in recent decades due to health concerns.  Liberal use of </w:t>
      </w:r>
      <w:r w:rsidR="00F70F61">
        <w:rPr>
          <w:noProof/>
        </w:rPr>
        <w:t>radiographic methods in the mid-</w:t>
      </w:r>
      <w:r>
        <w:rPr>
          <w:noProof/>
        </w:rPr>
        <w:t xml:space="preserve">twentieth </w:t>
      </w:r>
      <w:r>
        <w:rPr>
          <w:noProof/>
        </w:rPr>
        <w:lastRenderedPageBreak/>
        <w:t xml:space="preserve">century allowed for a number of longitudinal studies to be undertaken.  The earliest of these </w:t>
      </w:r>
      <w:r w:rsidR="00494D5B">
        <w:rPr>
          <w:noProof/>
        </w:rPr>
        <w:t>examined</w:t>
      </w:r>
      <w:r>
        <w:rPr>
          <w:noProof/>
        </w:rPr>
        <w:t xml:space="preserve"> a series of Australian children for a larger number of fusion sites (Flecker 1932).  Large scale radiographic longitudinal studies have also been conducted including </w:t>
      </w:r>
      <w:r w:rsidR="00B60C38">
        <w:rPr>
          <w:noProof/>
        </w:rPr>
        <w:t>research</w:t>
      </w:r>
      <w:r>
        <w:rPr>
          <w:noProof/>
        </w:rPr>
        <w:t xml:space="preserve"> at the University of Colorado (e.g., </w:t>
      </w:r>
      <w:r>
        <w:rPr>
          <w:lang w:val="en-CA"/>
        </w:rPr>
        <w:t>Hansman and Maresh 1961), The Brush Foundation at Case Western Reserve University (e.g., Greulich and Pyle 1959, Hewitt and Acheson 1961, Pyle and Hoerr 1955), The Fels Institute at Yellow Springs Ohio (e.g.</w:t>
      </w:r>
      <w:r w:rsidR="00494D5B">
        <w:rPr>
          <w:lang w:val="en-CA"/>
        </w:rPr>
        <w:t>,</w:t>
      </w:r>
      <w:r>
        <w:rPr>
          <w:lang w:val="en-CA"/>
        </w:rPr>
        <w:t xml:space="preserve"> Garn </w:t>
      </w:r>
      <w:r>
        <w:rPr>
          <w:i/>
          <w:lang w:val="en-CA"/>
        </w:rPr>
        <w:t>et al.</w:t>
      </w:r>
      <w:r>
        <w:rPr>
          <w:lang w:val="en-CA"/>
        </w:rPr>
        <w:t xml:space="preserve"> 1967), and the Oxford Child Health Survey (Tanner </w:t>
      </w:r>
      <w:r>
        <w:rPr>
          <w:i/>
          <w:lang w:val="en-CA"/>
        </w:rPr>
        <w:t>et al.</w:t>
      </w:r>
      <w:r>
        <w:rPr>
          <w:lang w:val="en-CA"/>
        </w:rPr>
        <w:t xml:space="preserve"> 1983, 2001).  Fro</w:t>
      </w:r>
      <w:r>
        <w:rPr>
          <w:noProof/>
        </w:rPr>
        <w:t>m these studies several roentgenographic</w:t>
      </w:r>
      <w:r>
        <w:rPr>
          <w:lang w:val="en-CA"/>
        </w:rPr>
        <w:t xml:space="preserve"> atlases were produced, including an atlas </w:t>
      </w:r>
      <w:r w:rsidR="00C231A6">
        <w:rPr>
          <w:lang w:val="en-CA"/>
        </w:rPr>
        <w:t>for</w:t>
      </w:r>
      <w:r>
        <w:rPr>
          <w:lang w:val="en-CA"/>
        </w:rPr>
        <w:t xml:space="preserve"> the development of the hand and wrist (Greulich and Pyle 1959), the foot and ankle (Hoerr </w:t>
      </w:r>
      <w:r>
        <w:rPr>
          <w:i/>
          <w:lang w:val="en-CA"/>
        </w:rPr>
        <w:t>et al.</w:t>
      </w:r>
      <w:r>
        <w:rPr>
          <w:lang w:val="en-CA"/>
        </w:rPr>
        <w:t xml:space="preserve"> 1962), the distal humerus, proximal radius, and ulna (Brodeur </w:t>
      </w:r>
      <w:r>
        <w:rPr>
          <w:i/>
          <w:lang w:val="en-CA"/>
        </w:rPr>
        <w:t>et al.</w:t>
      </w:r>
      <w:r>
        <w:rPr>
          <w:lang w:val="en-CA"/>
        </w:rPr>
        <w:t xml:space="preserve"> 1981), and the patella, distal femur, proximal tibia and fibula (Pyle and Hoerr 1955).  Tanner </w:t>
      </w:r>
      <w:r>
        <w:rPr>
          <w:i/>
          <w:lang w:val="en-CA"/>
        </w:rPr>
        <w:t>et al</w:t>
      </w:r>
      <w:r>
        <w:rPr>
          <w:lang w:val="en-CA"/>
        </w:rPr>
        <w:t>. (1983, 2001) and Greulich and Pyle (1959) produced methodologies for assessment of skeletal age.</w:t>
      </w:r>
    </w:p>
    <w:p w:rsidR="006110DE" w:rsidRDefault="006110DE" w:rsidP="00DE4AAB">
      <w:pPr>
        <w:rPr>
          <w:lang w:val="en-CA"/>
        </w:rPr>
      </w:pPr>
      <w:r>
        <w:rPr>
          <w:lang w:val="en-CA"/>
        </w:rPr>
        <w:t>Cross-sectional radiographic studies have been less numerous than longitudinal studies.  More cross-sectional studies have used dry-bone, as opposed to radiography.  Studies of dry bone using of skeletal collections from archaeological sources are naturally cross-sectional.  Most of the cross-sectional studies have supplemented or evaluated the atlas methods previously mentioned (e.g.</w:t>
      </w:r>
      <w:r w:rsidR="006B6C8B">
        <w:rPr>
          <w:lang w:val="en-CA"/>
        </w:rPr>
        <w:t>,</w:t>
      </w:r>
      <w:r>
        <w:rPr>
          <w:lang w:val="en-CA"/>
        </w:rPr>
        <w:t xml:space="preserve"> Cockshott and Park 1983, Cundy </w:t>
      </w:r>
      <w:r>
        <w:rPr>
          <w:i/>
          <w:lang w:val="en-CA"/>
        </w:rPr>
        <w:t>et al</w:t>
      </w:r>
      <w:r>
        <w:rPr>
          <w:lang w:val="en-CA"/>
        </w:rPr>
        <w:t xml:space="preserve">. 1988).  Subsequent literature produced using radiographic methods has been conducted with the purpose of improving clinical and forensic data on radiographic assessment (e.g., Flores-Mir </w:t>
      </w:r>
      <w:r>
        <w:rPr>
          <w:i/>
          <w:lang w:val="en-CA"/>
        </w:rPr>
        <w:t>et al.</w:t>
      </w:r>
      <w:r>
        <w:rPr>
          <w:lang w:val="en-CA"/>
        </w:rPr>
        <w:t xml:space="preserve"> 2004, Schmeling </w:t>
      </w:r>
      <w:r>
        <w:rPr>
          <w:i/>
          <w:lang w:val="en-CA"/>
        </w:rPr>
        <w:t>et al</w:t>
      </w:r>
      <w:r>
        <w:rPr>
          <w:lang w:val="en-CA"/>
        </w:rPr>
        <w:t>. 2004).  These studies tend to be limited to specific regions that are easily observed such as hand/wrist fusion.</w:t>
      </w:r>
    </w:p>
    <w:p w:rsidR="006110DE" w:rsidRDefault="006110DE" w:rsidP="00DE4AAB">
      <w:pPr>
        <w:rPr>
          <w:lang w:val="en-CA"/>
        </w:rPr>
      </w:pPr>
      <w:r>
        <w:rPr>
          <w:lang w:val="en-CA"/>
        </w:rPr>
        <w:t xml:space="preserve">There are some notable limitations </w:t>
      </w:r>
      <w:r w:rsidR="005561FF">
        <w:rPr>
          <w:lang w:val="en-CA"/>
        </w:rPr>
        <w:t>to</w:t>
      </w:r>
      <w:r>
        <w:rPr>
          <w:lang w:val="en-CA"/>
        </w:rPr>
        <w:t xml:space="preserve"> radiography.  The method provides images with only a two-dimensional perspective and fusion state can only be evaluated by what can be seen in this image.  There has been variation reported with respect to initiation and completion of fusion (Scheuer and Black 2000) and it is very likely that these differences are partly due </w:t>
      </w:r>
      <w:r w:rsidR="006B6C8B">
        <w:rPr>
          <w:lang w:val="en-CA"/>
        </w:rPr>
        <w:t xml:space="preserve">to </w:t>
      </w:r>
      <w:r>
        <w:rPr>
          <w:lang w:val="en-CA"/>
        </w:rPr>
        <w:t>uncertainties as a result of methodology.  McKern and Stewart (1957) consistently reported older ages for completion of fusion for many sites on dry bone than had been reported in the radiographic literature.  This effect may be the result of final-stage fusion scars simply not being visible in radiographs.  Problems with radiography were considered in depth during the collection of early radiographic data by Mainland (1953, 1954, 1957), who looked at systematic error, variable error, and comparisons of methods of assessment of roentgenograms.  Error in radiographic studies has also been analyzed by Cockshott and Park (1983) who looked at literature data and studies carried out at McMaster University on hand bones and the sacro-iliac joint.  Their advice was the use of a more refined statistical ap</w:t>
      </w:r>
      <w:r w:rsidR="00AB2CCC">
        <w:rPr>
          <w:lang w:val="en-CA"/>
        </w:rPr>
        <w:t>proach using kappa statistics in</w:t>
      </w:r>
      <w:r>
        <w:rPr>
          <w:lang w:val="en-CA"/>
        </w:rPr>
        <w:t xml:space="preserve"> future studies.  Cundy </w:t>
      </w:r>
      <w:r>
        <w:rPr>
          <w:i/>
          <w:lang w:val="en-CA"/>
        </w:rPr>
        <w:t>et al</w:t>
      </w:r>
      <w:r>
        <w:rPr>
          <w:lang w:val="en-CA"/>
        </w:rPr>
        <w:t xml:space="preserve">. (1988) use the Greulich and Pyle </w:t>
      </w:r>
      <w:r w:rsidR="006B6C8B">
        <w:rPr>
          <w:lang w:val="en-CA"/>
        </w:rPr>
        <w:t xml:space="preserve">method </w:t>
      </w:r>
      <w:r>
        <w:rPr>
          <w:lang w:val="en-CA"/>
        </w:rPr>
        <w:t xml:space="preserve">in a study looking at children </w:t>
      </w:r>
      <w:r>
        <w:rPr>
          <w:lang w:val="en-CA"/>
        </w:rPr>
        <w:lastRenderedPageBreak/>
        <w:t>with leg length discrepancies, which were analysed by several radiologists using the Greulich and Pyle atlas, finding significant variati</w:t>
      </w:r>
      <w:r w:rsidR="00FF64C5">
        <w:rPr>
          <w:lang w:val="en-CA"/>
        </w:rPr>
        <w:t>on in terms of age assessment.</w:t>
      </w:r>
    </w:p>
    <w:p w:rsidR="006110DE" w:rsidRDefault="006110DE" w:rsidP="00B83289">
      <w:pPr>
        <w:spacing w:before="120"/>
        <w:rPr>
          <w:lang w:val="en-CA"/>
        </w:rPr>
      </w:pPr>
      <w:r>
        <w:rPr>
          <w:lang w:val="en-CA"/>
        </w:rPr>
        <w:t xml:space="preserve">The assessment techniques used in the early radiographic studies of the 1950’s and 1960’s have been significantly criticised.  Acheson (1954, 1957) pointed out that radiographic assessment techniques required the assumption that there was a rigidly fixed order of sequence events, which biased against variation in sequence order.  Acheson also criticised the emphasis on chronological as opposed to maturational age.  Garn and Rohmann (1963) and Garn </w:t>
      </w:r>
      <w:r>
        <w:rPr>
          <w:i/>
          <w:lang w:val="en-CA"/>
        </w:rPr>
        <w:t>et al.</w:t>
      </w:r>
      <w:r>
        <w:rPr>
          <w:lang w:val="en-CA"/>
        </w:rPr>
        <w:t xml:space="preserve"> (1965) showed that wrist ossification centres in early postnatal life were not normally distributed, but were in fact quite skewed towards late infancy.  Epiphyseal union likewise showed </w:t>
      </w:r>
      <w:r w:rsidR="006B6C8B">
        <w:rPr>
          <w:lang w:val="en-CA"/>
        </w:rPr>
        <w:t>skewedness</w:t>
      </w:r>
      <w:r>
        <w:rPr>
          <w:lang w:val="en-CA"/>
        </w:rPr>
        <w:t xml:space="preserve">, with much longer tails to the older side of the distribution.  Such criticisms led to the Tanner method for assessing skeletal maturity from radiographs (Tanner </w:t>
      </w:r>
      <w:proofErr w:type="gramStart"/>
      <w:r>
        <w:rPr>
          <w:i/>
          <w:lang w:val="en-CA"/>
        </w:rPr>
        <w:t>et</w:t>
      </w:r>
      <w:proofErr w:type="gramEnd"/>
      <w:r w:rsidR="00116C7A">
        <w:rPr>
          <w:i/>
          <w:lang w:val="en-CA"/>
        </w:rPr>
        <w:t xml:space="preserve"> </w:t>
      </w:r>
      <w:r>
        <w:rPr>
          <w:i/>
          <w:lang w:val="en-CA"/>
        </w:rPr>
        <w:t>al.</w:t>
      </w:r>
      <w:r>
        <w:rPr>
          <w:lang w:val="en-CA"/>
        </w:rPr>
        <w:t xml:space="preserve">1983, 2001) which, instead of comparing to standardized photographs, used the addition of bone elements to produce a maturity score.  The Tanner-Whitehouse method has undergone several revisions that are conventionally referred to as TW2 (Tanner-Whitehouse 2) (Tanner </w:t>
      </w:r>
      <w:r>
        <w:rPr>
          <w:i/>
          <w:lang w:val="en-CA"/>
        </w:rPr>
        <w:t>et al</w:t>
      </w:r>
      <w:r>
        <w:rPr>
          <w:lang w:val="en-CA"/>
        </w:rPr>
        <w:t xml:space="preserve">. 1983) and </w:t>
      </w:r>
      <w:r w:rsidR="00027B39">
        <w:rPr>
          <w:lang w:val="en-CA"/>
        </w:rPr>
        <w:t xml:space="preserve">the most recent version </w:t>
      </w:r>
      <w:r>
        <w:rPr>
          <w:lang w:val="en-CA"/>
        </w:rPr>
        <w:t xml:space="preserve">TW3 (Tanner-Whitehouse 3) (Tanner </w:t>
      </w:r>
      <w:r>
        <w:rPr>
          <w:i/>
          <w:lang w:val="en-CA"/>
        </w:rPr>
        <w:t>et al</w:t>
      </w:r>
      <w:r>
        <w:rPr>
          <w:lang w:val="en-CA"/>
        </w:rPr>
        <w:t>. 2001).  The Tanner-Whitehouse method for assessing skeletal maturity is</w:t>
      </w:r>
      <w:r w:rsidR="00116C7A">
        <w:rPr>
          <w:lang w:val="en-CA"/>
        </w:rPr>
        <w:t xml:space="preserve"> presently</w:t>
      </w:r>
      <w:r>
        <w:rPr>
          <w:lang w:val="en-CA"/>
        </w:rPr>
        <w:t xml:space="preserve"> the most commonly used for assessing skeletal maturation from radiographs.  No application of </w:t>
      </w:r>
      <w:r w:rsidR="00925754">
        <w:rPr>
          <w:lang w:val="en-CA"/>
        </w:rPr>
        <w:t xml:space="preserve">the aforementioned </w:t>
      </w:r>
      <w:r w:rsidR="00897B60">
        <w:rPr>
          <w:lang w:val="en-CA"/>
        </w:rPr>
        <w:t xml:space="preserve">method </w:t>
      </w:r>
      <w:r>
        <w:rPr>
          <w:lang w:val="en-CA"/>
        </w:rPr>
        <w:t>has precipitated any large change in accepted timings of fusion events in studies since the 1980s.  This may be partly to do with the d</w:t>
      </w:r>
      <w:r w:rsidR="007D4D69">
        <w:rPr>
          <w:lang w:val="en-CA"/>
        </w:rPr>
        <w:t>ecline of radiographic work but also</w:t>
      </w:r>
      <w:r>
        <w:rPr>
          <w:lang w:val="en-CA"/>
        </w:rPr>
        <w:t xml:space="preserve"> when the data that already exists </w:t>
      </w:r>
      <w:r w:rsidR="00530523">
        <w:rPr>
          <w:lang w:val="en-CA"/>
        </w:rPr>
        <w:t>are</w:t>
      </w:r>
      <w:r>
        <w:rPr>
          <w:lang w:val="en-CA"/>
        </w:rPr>
        <w:t xml:space="preserve"> combi</w:t>
      </w:r>
      <w:r w:rsidR="007D4D69">
        <w:rPr>
          <w:lang w:val="en-CA"/>
        </w:rPr>
        <w:t xml:space="preserve">ned with dry-bone information, </w:t>
      </w:r>
      <w:r>
        <w:rPr>
          <w:lang w:val="en-CA"/>
        </w:rPr>
        <w:t>there is enough refinement for sequence timings to be estimated with an acceptable level of precision.</w:t>
      </w:r>
    </w:p>
    <w:p w:rsidR="00DA5557" w:rsidRDefault="006110DE" w:rsidP="00B83289">
      <w:pPr>
        <w:spacing w:before="120"/>
        <w:rPr>
          <w:lang w:val="en-CA"/>
        </w:rPr>
      </w:pPr>
      <w:r>
        <w:rPr>
          <w:lang w:val="en-CA"/>
        </w:rPr>
        <w:t>A number of dry bone studies have been conducted in addition to radiographic studies, resulting in a large body of data.  Epiphyseal fusion had been observed on bones for centuries but the earliest studies which systematically attempted to produce sequences of union were done by Stevenson (1924) and Todd (1930).  These studies used samples of European ancestry</w:t>
      </w:r>
      <w:r w:rsidR="00235572">
        <w:rPr>
          <w:lang w:val="en-CA"/>
        </w:rPr>
        <w:t>,</w:t>
      </w:r>
      <w:r>
        <w:rPr>
          <w:lang w:val="en-CA"/>
        </w:rPr>
        <w:t xml:space="preserve"> which were not always of known-age from </w:t>
      </w:r>
      <w:r w:rsidR="0000610F">
        <w:rPr>
          <w:lang w:val="en-CA"/>
        </w:rPr>
        <w:t xml:space="preserve">the </w:t>
      </w:r>
      <w:r>
        <w:rPr>
          <w:lang w:val="en-CA"/>
        </w:rPr>
        <w:t>Western Reserve University (Stevenson 1924, Todd 1930)</w:t>
      </w:r>
      <w:r w:rsidR="00235572">
        <w:rPr>
          <w:lang w:val="en-CA"/>
        </w:rPr>
        <w:t>.</w:t>
      </w:r>
      <w:r>
        <w:rPr>
          <w:lang w:val="en-CA"/>
        </w:rPr>
        <w:t xml:space="preserve"> Stevenson </w:t>
      </w:r>
      <w:r w:rsidR="00F00EDB">
        <w:rPr>
          <w:lang w:val="en-CA"/>
        </w:rPr>
        <w:t>(1924)</w:t>
      </w:r>
      <w:r>
        <w:rPr>
          <w:lang w:val="en-CA"/>
        </w:rPr>
        <w:t xml:space="preserve"> and Todd (1930) looked at a wide range of sites including all the proximal and distal epiphyses of long bones as well as epiphyses on the pelvis.  These were followed by </w:t>
      </w:r>
      <w:r w:rsidR="00235572">
        <w:rPr>
          <w:lang w:val="en-CA"/>
        </w:rPr>
        <w:t xml:space="preserve">a </w:t>
      </w:r>
      <w:r>
        <w:rPr>
          <w:lang w:val="en-CA"/>
        </w:rPr>
        <w:t>landmark study by McKern and Stewart (1957) of older sub-adults (ages 17-23 years) from American-Korean War dead</w:t>
      </w:r>
      <w:r w:rsidR="00656B6A">
        <w:rPr>
          <w:lang w:val="en-CA"/>
        </w:rPr>
        <w:t>.  T</w:t>
      </w:r>
      <w:r>
        <w:rPr>
          <w:lang w:val="en-CA"/>
        </w:rPr>
        <w:t>hey examined virtually everything in the cranial and post-cranial skeleton. In the half century that followed, more studies were conducted for all skeletal elements (e.g., Cardoso 2008, Coqueugniot and Weaver 2007, Schaefer 2008, Webb and Suchey 1985).</w:t>
      </w:r>
      <w:r w:rsidR="005059A2">
        <w:rPr>
          <w:lang w:val="en-CA"/>
        </w:rPr>
        <w:t xml:space="preserve">  Modular sequence patterns whereby a seriation of fusion events irrespective of time have been done by Schaefer and Black (2007).</w:t>
      </w:r>
      <w:r w:rsidR="00F00EDB">
        <w:rPr>
          <w:lang w:val="en-CA"/>
        </w:rPr>
        <w:t xml:space="preserve">  Summary data are</w:t>
      </w:r>
      <w:r>
        <w:rPr>
          <w:lang w:val="en-CA"/>
        </w:rPr>
        <w:t xml:space="preserve"> available </w:t>
      </w:r>
      <w:r>
        <w:rPr>
          <w:lang w:val="en-CA"/>
        </w:rPr>
        <w:lastRenderedPageBreak/>
        <w:t xml:space="preserve">in compiled volumes for both forensic and osteological applications such as Scheuer and Black (2004) and Schaefer </w:t>
      </w:r>
      <w:r>
        <w:rPr>
          <w:i/>
          <w:lang w:val="en-CA"/>
        </w:rPr>
        <w:t>et al</w:t>
      </w:r>
      <w:r w:rsidR="00591B2C">
        <w:rPr>
          <w:i/>
          <w:lang w:val="en-CA"/>
        </w:rPr>
        <w:t>.</w:t>
      </w:r>
      <w:r w:rsidR="004D08BA">
        <w:rPr>
          <w:lang w:val="en-CA"/>
        </w:rPr>
        <w:t xml:space="preserve"> (2009).</w:t>
      </w:r>
    </w:p>
    <w:p w:rsidR="006110DE" w:rsidRPr="003B21DF" w:rsidRDefault="006110DE" w:rsidP="00E42455">
      <w:pPr>
        <w:rPr>
          <w:noProof/>
          <w:u w:val="single"/>
        </w:rPr>
      </w:pPr>
      <w:r w:rsidRPr="003B21DF">
        <w:rPr>
          <w:noProof/>
          <w:u w:val="single"/>
        </w:rPr>
        <w:t>Comparisons of different human populations</w:t>
      </w:r>
    </w:p>
    <w:p w:rsidR="006110DE" w:rsidRDefault="00591B2C" w:rsidP="00E42455">
      <w:pPr>
        <w:rPr>
          <w:noProof/>
        </w:rPr>
      </w:pPr>
      <w:r>
        <w:rPr>
          <w:noProof/>
        </w:rPr>
        <w:t>Even</w:t>
      </w:r>
      <w:r w:rsidR="00CB0E05">
        <w:rPr>
          <w:noProof/>
        </w:rPr>
        <w:t xml:space="preserve"> though many studies have focus</w:t>
      </w:r>
      <w:r>
        <w:rPr>
          <w:noProof/>
        </w:rPr>
        <w:t>ed on humans of European ancestry, t</w:t>
      </w:r>
      <w:r w:rsidR="006110DE">
        <w:rPr>
          <w:noProof/>
        </w:rPr>
        <w:t xml:space="preserve">here have been number of studies examining non-western </w:t>
      </w:r>
      <w:r w:rsidR="001065C2">
        <w:rPr>
          <w:noProof/>
        </w:rPr>
        <w:t>populations.  Stewart (1934)</w:t>
      </w:r>
      <w:r w:rsidR="006110DE">
        <w:rPr>
          <w:noProof/>
        </w:rPr>
        <w:t xml:space="preserve"> looked at Native Americans and </w:t>
      </w:r>
      <w:r w:rsidR="00E5171F">
        <w:rPr>
          <w:noProof/>
        </w:rPr>
        <w:t xml:space="preserve">Inuit </w:t>
      </w:r>
      <w:r w:rsidR="00704E66">
        <w:rPr>
          <w:noProof/>
        </w:rPr>
        <w:t>using</w:t>
      </w:r>
      <w:r w:rsidR="006110DE">
        <w:rPr>
          <w:noProof/>
        </w:rPr>
        <w:t xml:space="preserve"> dry bone observations.  No substantial differences were noted at that time.  The majority of non-western population studies have been from the late twentieth century.  </w:t>
      </w:r>
      <w:r w:rsidR="00704E66">
        <w:rPr>
          <w:noProof/>
        </w:rPr>
        <w:t xml:space="preserve">A selection </w:t>
      </w:r>
      <w:r w:rsidR="009C3112">
        <w:rPr>
          <w:noProof/>
        </w:rPr>
        <w:t>of these are listed in T</w:t>
      </w:r>
      <w:r w:rsidR="001065C2">
        <w:rPr>
          <w:noProof/>
        </w:rPr>
        <w:t>able 2.2</w:t>
      </w:r>
      <w:r w:rsidR="006110DE">
        <w:rPr>
          <w:noProof/>
        </w:rPr>
        <w:t xml:space="preserve">.  Most of these projects have been cross-sectional radiographic studies using the TW2 and TW3 methodologies </w:t>
      </w:r>
      <w:r w:rsidR="00704E66">
        <w:rPr>
          <w:noProof/>
        </w:rPr>
        <w:t>(</w:t>
      </w:r>
      <w:r w:rsidR="006110DE">
        <w:rPr>
          <w:noProof/>
        </w:rPr>
        <w:t xml:space="preserve">Tanner </w:t>
      </w:r>
      <w:r w:rsidR="006110DE">
        <w:rPr>
          <w:i/>
          <w:noProof/>
        </w:rPr>
        <w:t>et al</w:t>
      </w:r>
      <w:r w:rsidR="00704E66">
        <w:rPr>
          <w:i/>
          <w:noProof/>
        </w:rPr>
        <w:t>.</w:t>
      </w:r>
      <w:r w:rsidR="006110DE">
        <w:rPr>
          <w:i/>
          <w:noProof/>
        </w:rPr>
        <w:t xml:space="preserve"> </w:t>
      </w:r>
      <w:r w:rsidR="006110DE">
        <w:rPr>
          <w:noProof/>
        </w:rPr>
        <w:t xml:space="preserve"> 1983</w:t>
      </w:r>
      <w:r w:rsidR="00704E66">
        <w:rPr>
          <w:noProof/>
        </w:rPr>
        <w:t>, 2001</w:t>
      </w:r>
      <w:r w:rsidR="004F6519">
        <w:rPr>
          <w:noProof/>
        </w:rPr>
        <w:t>)</w:t>
      </w:r>
      <w:r w:rsidR="006110DE">
        <w:rPr>
          <w:noProof/>
        </w:rPr>
        <w:t>.  Studies of skeletal maturity over the last several decades include examples from northwest India, Japan, and China</w:t>
      </w:r>
      <w:r w:rsidR="00840C64">
        <w:rPr>
          <w:noProof/>
        </w:rPr>
        <w:t xml:space="preserve"> (see Table 2.2)</w:t>
      </w:r>
      <w:r w:rsidR="006110DE">
        <w:rPr>
          <w:noProof/>
        </w:rPr>
        <w:t xml:space="preserve">.  In Indian children, multiple radiographic studies have reported union times for a variety of fusion centres. </w:t>
      </w:r>
      <w:r w:rsidR="009B3869">
        <w:rPr>
          <w:noProof/>
        </w:rPr>
        <w:t xml:space="preserve"> </w:t>
      </w:r>
      <w:r w:rsidR="006110DE">
        <w:rPr>
          <w:noProof/>
        </w:rPr>
        <w:t>Fusion has been evaluated using the TW</w:t>
      </w:r>
      <w:r w:rsidR="001001EE">
        <w:rPr>
          <w:noProof/>
        </w:rPr>
        <w:t>2 method for the hand/wrist in</w:t>
      </w:r>
      <w:r w:rsidR="006110DE">
        <w:rPr>
          <w:noProof/>
        </w:rPr>
        <w:t xml:space="preserve"> large sample</w:t>
      </w:r>
      <w:r w:rsidR="001001EE">
        <w:rPr>
          <w:noProof/>
        </w:rPr>
        <w:t>s</w:t>
      </w:r>
      <w:r w:rsidR="006110DE">
        <w:rPr>
          <w:noProof/>
        </w:rPr>
        <w:t xml:space="preserve"> (Prakash and Cameron 1981) as well as in various other sites such as the proximal humerus, iliac crest, ischial tuberosity, femoral head (Jit and Singh 1971), elbow, and wrist (Sahni </w:t>
      </w:r>
      <w:r w:rsidR="006110DE">
        <w:rPr>
          <w:i/>
          <w:noProof/>
        </w:rPr>
        <w:t>et al</w:t>
      </w:r>
      <w:r w:rsidR="006110DE">
        <w:rPr>
          <w:noProof/>
        </w:rPr>
        <w:t>. 1995) (</w:t>
      </w:r>
      <w:r w:rsidR="00704E66">
        <w:rPr>
          <w:noProof/>
        </w:rPr>
        <w:t>T</w:t>
      </w:r>
      <w:r w:rsidR="006110DE">
        <w:rPr>
          <w:noProof/>
        </w:rPr>
        <w:t xml:space="preserve">able 2.2).  With respect to differences observed, Prakash and Cameron (1981) noted that carpal maturity differed between their Indian sample and the British standard, with girls reaching carpal maturity at the same times as British girls, but boys showed retardation in comparison to standards for British boys.  The amount of deviation varied with age.  Jit and Kaur (1989) also determined some differences between northwest Indian and western populations in terms of timing of fusion in sternebrae, finding slightly earlier times for different stages in the Indian populations.  </w:t>
      </w:r>
      <w:r w:rsidR="006110DE">
        <w:t xml:space="preserve">Differences in other populations have also been observed using the TW2 methodology.  Ashizawa </w:t>
      </w:r>
      <w:r w:rsidR="006110DE">
        <w:rPr>
          <w:i/>
        </w:rPr>
        <w:t>et al</w:t>
      </w:r>
      <w:r w:rsidR="006110DE">
        <w:t xml:space="preserve">. (1996) using a large sample of nearly 1500 Japanese children, noted that their sample population attained adult stages one to two years earlier than Belgian (Beunen </w:t>
      </w:r>
      <w:r w:rsidR="006110DE">
        <w:rPr>
          <w:i/>
        </w:rPr>
        <w:t>et al</w:t>
      </w:r>
      <w:r w:rsidR="006110DE">
        <w:t xml:space="preserve">. 1990), British (Tanner </w:t>
      </w:r>
      <w:r w:rsidR="006110DE">
        <w:rPr>
          <w:i/>
        </w:rPr>
        <w:t>et al</w:t>
      </w:r>
      <w:r w:rsidR="006110DE">
        <w:t xml:space="preserve">. 1983), southern Chinese (Ye </w:t>
      </w:r>
      <w:r w:rsidR="006110DE">
        <w:rPr>
          <w:i/>
        </w:rPr>
        <w:t>et al</w:t>
      </w:r>
      <w:r w:rsidR="006110DE">
        <w:t>. 1992) and north Indian standards (Prakash and Cameron 1981, Prakash and Pathmanathan 1991).</w:t>
      </w:r>
    </w:p>
    <w:p w:rsidR="00053C21" w:rsidRDefault="00053C21">
      <w:pPr>
        <w:spacing w:before="0" w:after="200" w:line="276" w:lineRule="auto"/>
        <w:jc w:val="left"/>
        <w:rPr>
          <w:b/>
          <w:bCs/>
          <w:szCs w:val="18"/>
        </w:rPr>
      </w:pPr>
      <w:bookmarkStart w:id="43" w:name="_Toc373180103"/>
      <w:r>
        <w:rPr>
          <w:b/>
        </w:rPr>
        <w:br w:type="page"/>
      </w:r>
    </w:p>
    <w:p w:rsidR="006110DE" w:rsidRPr="00E42455" w:rsidRDefault="00D557BE" w:rsidP="00D557BE">
      <w:pPr>
        <w:pStyle w:val="Caption"/>
      </w:pPr>
      <w:proofErr w:type="gramStart"/>
      <w:r w:rsidRPr="00D557BE">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2</w:t>
      </w:r>
      <w:r w:rsidR="008943E4">
        <w:rPr>
          <w:b/>
        </w:rPr>
        <w:fldChar w:fldCharType="end"/>
      </w:r>
      <w:r w:rsidR="003B21DF">
        <w:t xml:space="preserve"> </w:t>
      </w:r>
      <w:r w:rsidR="006110DE">
        <w:t>Studies of epiphyseal fusion sequences across different human populations.</w:t>
      </w:r>
      <w:bookmarkEnd w:id="43"/>
      <w:proofErr w:type="gramEnd"/>
      <w:r w:rsidR="006110DE">
        <w:t xml:space="preserve"> </w:t>
      </w:r>
    </w:p>
    <w:tbl>
      <w:tblPr>
        <w:tblW w:w="9146" w:type="dxa"/>
        <w:jc w:val="center"/>
        <w:tblInd w:w="228" w:type="dxa"/>
        <w:tblBorders>
          <w:top w:val="single" w:sz="8" w:space="0" w:color="auto"/>
          <w:bottom w:val="single" w:sz="4" w:space="0" w:color="auto"/>
          <w:insideH w:val="single" w:sz="4" w:space="0" w:color="auto"/>
        </w:tblBorders>
        <w:tblLook w:val="04A0" w:firstRow="1" w:lastRow="0" w:firstColumn="1" w:lastColumn="0" w:noHBand="0" w:noVBand="1"/>
      </w:tblPr>
      <w:tblGrid>
        <w:gridCol w:w="1731"/>
        <w:gridCol w:w="2742"/>
        <w:gridCol w:w="1633"/>
        <w:gridCol w:w="3040"/>
      </w:tblGrid>
      <w:tr w:rsidR="00E6026E" w:rsidRPr="00407176" w:rsidTr="00CA5FBB">
        <w:trPr>
          <w:trHeight w:hRule="exact" w:val="340"/>
          <w:jc w:val="center"/>
        </w:trPr>
        <w:tc>
          <w:tcPr>
            <w:tcW w:w="1731" w:type="dxa"/>
            <w:tcBorders>
              <w:top w:val="single" w:sz="4" w:space="0" w:color="auto"/>
              <w:bottom w:val="single" w:sz="4" w:space="0" w:color="auto"/>
            </w:tcBorders>
            <w:shd w:val="clear" w:color="auto" w:fill="auto"/>
            <w:noWrap/>
            <w:vAlign w:val="center"/>
            <w:hideMark/>
          </w:tcPr>
          <w:p w:rsidR="00A35CA0" w:rsidRDefault="00F74CFA"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c</w:t>
            </w:r>
            <w:r w:rsidR="006110DE" w:rsidRPr="00407176">
              <w:rPr>
                <w:rFonts w:eastAsia="Times New Roman"/>
                <w:b/>
                <w:bCs/>
                <w:color w:val="000000"/>
                <w:lang w:val="en-GB" w:eastAsia="en-GB"/>
              </w:rPr>
              <w:t>ountry</w:t>
            </w:r>
          </w:p>
        </w:tc>
        <w:tc>
          <w:tcPr>
            <w:tcW w:w="2742" w:type="dxa"/>
            <w:tcBorders>
              <w:top w:val="single" w:sz="4" w:space="0" w:color="auto"/>
              <w:bottom w:val="single" w:sz="4" w:space="0" w:color="auto"/>
            </w:tcBorders>
            <w:shd w:val="clear" w:color="auto" w:fill="auto"/>
            <w:noWrap/>
            <w:vAlign w:val="center"/>
            <w:hideMark/>
          </w:tcPr>
          <w:p w:rsidR="00A35CA0" w:rsidRDefault="00F74CFA"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6110DE" w:rsidRPr="00407176">
              <w:rPr>
                <w:rFonts w:eastAsia="Times New Roman"/>
                <w:b/>
                <w:bCs/>
                <w:color w:val="000000"/>
                <w:lang w:val="en-GB" w:eastAsia="en-GB"/>
              </w:rPr>
              <w:t>tudy</w:t>
            </w:r>
          </w:p>
        </w:tc>
        <w:tc>
          <w:tcPr>
            <w:tcW w:w="1633" w:type="dxa"/>
            <w:tcBorders>
              <w:top w:val="single" w:sz="4" w:space="0" w:color="auto"/>
              <w:bottom w:val="single" w:sz="4" w:space="0" w:color="auto"/>
            </w:tcBorders>
            <w:shd w:val="clear" w:color="auto" w:fill="auto"/>
            <w:noWrap/>
            <w:vAlign w:val="center"/>
            <w:hideMark/>
          </w:tcPr>
          <w:p w:rsidR="00A35CA0" w:rsidRDefault="00F74CFA"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6110DE" w:rsidRPr="00407176">
              <w:rPr>
                <w:rFonts w:eastAsia="Times New Roman"/>
                <w:b/>
                <w:bCs/>
                <w:color w:val="000000"/>
                <w:lang w:val="en-GB" w:eastAsia="en-GB"/>
              </w:rPr>
              <w:t>ample size</w:t>
            </w:r>
          </w:p>
        </w:tc>
        <w:tc>
          <w:tcPr>
            <w:tcW w:w="3040" w:type="dxa"/>
            <w:tcBorders>
              <w:top w:val="single" w:sz="4" w:space="0" w:color="auto"/>
              <w:bottom w:val="single" w:sz="4" w:space="0" w:color="auto"/>
            </w:tcBorders>
            <w:shd w:val="clear" w:color="auto" w:fill="auto"/>
            <w:noWrap/>
            <w:vAlign w:val="center"/>
            <w:hideMark/>
          </w:tcPr>
          <w:p w:rsidR="00A35CA0" w:rsidRDefault="00F74CFA" w:rsidP="00CA5FBB">
            <w:pPr>
              <w:spacing w:before="0" w:line="240" w:lineRule="auto"/>
              <w:jc w:val="left"/>
              <w:rPr>
                <w:rFonts w:eastAsia="Times New Roman"/>
                <w:b/>
                <w:bCs/>
                <w:color w:val="000000"/>
                <w:sz w:val="28"/>
                <w:szCs w:val="28"/>
                <w:lang w:val="en-GB" w:eastAsia="en-GB"/>
              </w:rPr>
            </w:pPr>
            <w:r>
              <w:rPr>
                <w:rFonts w:eastAsia="Times New Roman"/>
                <w:b/>
                <w:bCs/>
                <w:color w:val="000000"/>
                <w:lang w:val="en-GB" w:eastAsia="en-GB"/>
              </w:rPr>
              <w:t>s</w:t>
            </w:r>
            <w:r w:rsidR="006110DE" w:rsidRPr="00407176">
              <w:rPr>
                <w:rFonts w:eastAsia="Times New Roman"/>
                <w:b/>
                <w:bCs/>
                <w:color w:val="000000"/>
                <w:lang w:val="en-GB" w:eastAsia="en-GB"/>
              </w:rPr>
              <w:t>keletal elements observed</w:t>
            </w:r>
          </w:p>
        </w:tc>
      </w:tr>
      <w:tr w:rsidR="00E6026E" w:rsidRPr="00407176" w:rsidTr="00CA5FBB">
        <w:trPr>
          <w:trHeight w:val="850"/>
          <w:jc w:val="center"/>
        </w:trPr>
        <w:tc>
          <w:tcPr>
            <w:tcW w:w="1731" w:type="dxa"/>
            <w:vMerge w:val="restart"/>
            <w:tcBorders>
              <w:top w:val="single" w:sz="4" w:space="0" w:color="auto"/>
            </w:tcBorders>
            <w:shd w:val="clear" w:color="auto" w:fill="auto"/>
            <w:noWrap/>
            <w:vAlign w:val="center"/>
            <w:hideMark/>
          </w:tcPr>
          <w:p w:rsidR="00A35CA0" w:rsidRDefault="00E6026E" w:rsidP="00CA5FBB">
            <w:pPr>
              <w:spacing w:before="0" w:line="240" w:lineRule="auto"/>
              <w:jc w:val="center"/>
              <w:rPr>
                <w:rFonts w:eastAsia="Times New Roman"/>
                <w:color w:val="000000"/>
                <w:lang w:val="en-GB" w:eastAsia="en-GB"/>
              </w:rPr>
            </w:pPr>
            <w:r w:rsidRPr="00407176">
              <w:rPr>
                <w:rFonts w:eastAsia="Times New Roman"/>
                <w:color w:val="000000"/>
                <w:lang w:eastAsia="en-GB"/>
              </w:rPr>
              <w:t>India</w:t>
            </w:r>
          </w:p>
        </w:tc>
        <w:tc>
          <w:tcPr>
            <w:tcW w:w="2742" w:type="dxa"/>
            <w:tcBorders>
              <w:top w:val="single" w:sz="4" w:space="0" w:color="auto"/>
            </w:tcBorders>
            <w:shd w:val="clear" w:color="auto" w:fill="auto"/>
            <w:noWrap/>
            <w:vAlign w:val="center"/>
            <w:hideMark/>
          </w:tcPr>
          <w:p w:rsidR="00A35CA0" w:rsidRDefault="00E6026E" w:rsidP="00CA5FBB">
            <w:pPr>
              <w:spacing w:before="0" w:line="240" w:lineRule="auto"/>
              <w:jc w:val="left"/>
              <w:rPr>
                <w:rFonts w:eastAsia="Times New Roman"/>
                <w:color w:val="000000"/>
                <w:sz w:val="24"/>
                <w:szCs w:val="24"/>
                <w:lang w:val="en-GB" w:eastAsia="en-GB"/>
              </w:rPr>
            </w:pPr>
            <w:r w:rsidRPr="00407176">
              <w:rPr>
                <w:rFonts w:eastAsia="Times New Roman"/>
                <w:color w:val="000000"/>
                <w:lang w:eastAsia="en-GB"/>
              </w:rPr>
              <w:t>Jit and Singh 1971</w:t>
            </w:r>
          </w:p>
        </w:tc>
        <w:tc>
          <w:tcPr>
            <w:tcW w:w="1633" w:type="dxa"/>
            <w:tcBorders>
              <w:top w:val="single" w:sz="4" w:space="0" w:color="auto"/>
            </w:tcBorders>
            <w:shd w:val="clear" w:color="auto" w:fill="auto"/>
            <w:noWrap/>
            <w:vAlign w:val="center"/>
            <w:hideMark/>
          </w:tcPr>
          <w:p w:rsidR="00A35CA0" w:rsidRDefault="00E6026E" w:rsidP="00CA5FBB">
            <w:pPr>
              <w:spacing w:before="0" w:line="240" w:lineRule="auto"/>
              <w:jc w:val="center"/>
              <w:rPr>
                <w:rFonts w:eastAsia="Times New Roman"/>
                <w:color w:val="000000"/>
                <w:sz w:val="24"/>
                <w:szCs w:val="24"/>
                <w:lang w:val="en-GB" w:eastAsia="en-GB"/>
              </w:rPr>
            </w:pPr>
            <w:r w:rsidRPr="00407176">
              <w:rPr>
                <w:rFonts w:eastAsia="Times New Roman"/>
                <w:color w:val="000000"/>
                <w:lang w:val="en-GB" w:eastAsia="en-GB"/>
              </w:rPr>
              <w:t>?</w:t>
            </w:r>
            <w:r w:rsidRPr="00066634">
              <w:rPr>
                <w:rFonts w:eastAsia="Times New Roman"/>
                <w:color w:val="000000"/>
                <w:vertAlign w:val="superscript"/>
                <w:lang w:val="en-GB" w:eastAsia="en-GB"/>
              </w:rPr>
              <w:t>1.</w:t>
            </w:r>
          </w:p>
        </w:tc>
        <w:tc>
          <w:tcPr>
            <w:tcW w:w="3040" w:type="dxa"/>
            <w:tcBorders>
              <w:top w:val="single" w:sz="4" w:space="0" w:color="auto"/>
            </w:tcBorders>
            <w:shd w:val="clear" w:color="auto" w:fill="auto"/>
            <w:noWrap/>
            <w:vAlign w:val="center"/>
            <w:hideMark/>
          </w:tcPr>
          <w:p w:rsidR="00A35CA0" w:rsidRDefault="00E6026E" w:rsidP="00CA5FBB">
            <w:pPr>
              <w:spacing w:before="0" w:line="240" w:lineRule="auto"/>
              <w:jc w:val="left"/>
              <w:rPr>
                <w:rFonts w:eastAsia="Times New Roman"/>
                <w:color w:val="000000"/>
                <w:sz w:val="24"/>
                <w:szCs w:val="24"/>
                <w:lang w:val="en-GB" w:eastAsia="en-GB"/>
              </w:rPr>
            </w:pPr>
            <w:r w:rsidRPr="00407176">
              <w:rPr>
                <w:rFonts w:eastAsia="Times New Roman"/>
                <w:color w:val="000000"/>
                <w:lang w:eastAsia="en-GB"/>
              </w:rPr>
              <w:t>proximal humerus, iliac crest, ischial tuberosity, and femoral head</w:t>
            </w:r>
          </w:p>
        </w:tc>
      </w:tr>
      <w:tr w:rsidR="00E6026E" w:rsidRPr="00407176" w:rsidTr="00CA5FBB">
        <w:trPr>
          <w:trHeight w:hRule="exact" w:val="340"/>
          <w:jc w:val="center"/>
        </w:trPr>
        <w:tc>
          <w:tcPr>
            <w:tcW w:w="1731" w:type="dxa"/>
            <w:vMerge/>
            <w:shd w:val="clear" w:color="auto" w:fill="auto"/>
            <w:noWrap/>
            <w:vAlign w:val="center"/>
            <w:hideMark/>
          </w:tcPr>
          <w:p w:rsidR="00A35CA0" w:rsidRDefault="00A35CA0" w:rsidP="00CA5FBB">
            <w:pPr>
              <w:spacing w:line="240" w:lineRule="auto"/>
              <w:jc w:val="center"/>
              <w:rPr>
                <w:rFonts w:eastAsia="Times New Roman"/>
                <w:color w:val="000000"/>
                <w:lang w:val="en-GB" w:eastAsia="en-GB"/>
              </w:rPr>
            </w:pPr>
          </w:p>
        </w:tc>
        <w:tc>
          <w:tcPr>
            <w:tcW w:w="2742" w:type="dxa"/>
            <w:shd w:val="clear" w:color="auto" w:fill="auto"/>
            <w:noWrap/>
            <w:vAlign w:val="center"/>
            <w:hideMark/>
          </w:tcPr>
          <w:p w:rsidR="00A35CA0" w:rsidRDefault="00E6026E" w:rsidP="00CA5FBB">
            <w:pPr>
              <w:spacing w:before="0" w:line="240" w:lineRule="auto"/>
              <w:jc w:val="left"/>
              <w:rPr>
                <w:rFonts w:eastAsia="Times New Roman"/>
                <w:color w:val="000000"/>
                <w:sz w:val="24"/>
                <w:szCs w:val="24"/>
                <w:lang w:val="en-GB" w:eastAsia="en-GB"/>
              </w:rPr>
            </w:pPr>
            <w:r w:rsidRPr="00407176">
              <w:rPr>
                <w:rFonts w:eastAsia="Times New Roman"/>
                <w:color w:val="000000"/>
                <w:lang w:eastAsia="en-GB"/>
              </w:rPr>
              <w:t xml:space="preserve">Sahni </w:t>
            </w:r>
            <w:r w:rsidRPr="00407176">
              <w:rPr>
                <w:rFonts w:eastAsia="Times New Roman"/>
                <w:i/>
                <w:iCs/>
                <w:color w:val="000000"/>
                <w:lang w:eastAsia="en-GB"/>
              </w:rPr>
              <w:t>et al</w:t>
            </w:r>
            <w:r w:rsidRPr="00407176">
              <w:rPr>
                <w:rFonts w:eastAsia="Times New Roman"/>
                <w:color w:val="000000"/>
                <w:lang w:eastAsia="en-GB"/>
              </w:rPr>
              <w:t>. 1995</w:t>
            </w:r>
          </w:p>
        </w:tc>
        <w:tc>
          <w:tcPr>
            <w:tcW w:w="1633" w:type="dxa"/>
            <w:shd w:val="clear" w:color="auto" w:fill="auto"/>
            <w:noWrap/>
            <w:vAlign w:val="center"/>
            <w:hideMark/>
          </w:tcPr>
          <w:p w:rsidR="00A35CA0" w:rsidRDefault="00E6026E" w:rsidP="00CA5FBB">
            <w:pPr>
              <w:spacing w:before="0" w:line="240" w:lineRule="auto"/>
              <w:jc w:val="center"/>
              <w:rPr>
                <w:rFonts w:eastAsia="Times New Roman"/>
                <w:color w:val="000000"/>
                <w:sz w:val="24"/>
                <w:szCs w:val="24"/>
                <w:lang w:val="en-GB" w:eastAsia="en-GB"/>
              </w:rPr>
            </w:pPr>
            <w:r w:rsidRPr="00407176">
              <w:rPr>
                <w:rFonts w:eastAsia="Times New Roman"/>
                <w:color w:val="000000"/>
                <w:lang w:val="en-GB" w:eastAsia="en-GB"/>
              </w:rPr>
              <w:t>149</w:t>
            </w:r>
          </w:p>
        </w:tc>
        <w:tc>
          <w:tcPr>
            <w:tcW w:w="3040" w:type="dxa"/>
            <w:shd w:val="clear" w:color="auto" w:fill="auto"/>
            <w:noWrap/>
            <w:vAlign w:val="center"/>
            <w:hideMark/>
          </w:tcPr>
          <w:p w:rsidR="00A35CA0" w:rsidRDefault="00E6026E" w:rsidP="00CA5FBB">
            <w:pPr>
              <w:spacing w:before="0" w:line="240" w:lineRule="auto"/>
              <w:jc w:val="left"/>
              <w:rPr>
                <w:rFonts w:eastAsia="Times New Roman"/>
                <w:color w:val="000000"/>
                <w:sz w:val="24"/>
                <w:szCs w:val="24"/>
                <w:lang w:val="en-GB" w:eastAsia="en-GB"/>
              </w:rPr>
            </w:pPr>
            <w:r w:rsidRPr="00407176">
              <w:rPr>
                <w:rFonts w:eastAsia="Times New Roman"/>
                <w:color w:val="000000"/>
                <w:lang w:eastAsia="en-GB"/>
              </w:rPr>
              <w:t>elbow and wrist joints in girls</w:t>
            </w:r>
          </w:p>
        </w:tc>
      </w:tr>
      <w:tr w:rsidR="00E6026E" w:rsidRPr="00407176" w:rsidTr="00CA5FBB">
        <w:trPr>
          <w:trHeight w:val="374"/>
          <w:jc w:val="center"/>
        </w:trPr>
        <w:tc>
          <w:tcPr>
            <w:tcW w:w="1731" w:type="dxa"/>
            <w:vMerge/>
            <w:shd w:val="clear" w:color="auto" w:fill="auto"/>
            <w:noWrap/>
            <w:vAlign w:val="center"/>
            <w:hideMark/>
          </w:tcPr>
          <w:p w:rsidR="00A35CA0" w:rsidRDefault="00A35CA0" w:rsidP="00CA5FBB">
            <w:pPr>
              <w:spacing w:line="240" w:lineRule="auto"/>
              <w:jc w:val="center"/>
              <w:rPr>
                <w:rFonts w:eastAsia="Times New Roman"/>
                <w:color w:val="000000"/>
                <w:lang w:val="en-GB" w:eastAsia="en-GB"/>
              </w:rPr>
            </w:pPr>
          </w:p>
        </w:tc>
        <w:tc>
          <w:tcPr>
            <w:tcW w:w="2742" w:type="dxa"/>
            <w:shd w:val="clear" w:color="auto" w:fill="auto"/>
            <w:noWrap/>
            <w:vAlign w:val="center"/>
            <w:hideMark/>
          </w:tcPr>
          <w:p w:rsidR="00A35CA0" w:rsidRDefault="00E6026E" w:rsidP="00CA5FBB">
            <w:pPr>
              <w:spacing w:before="0" w:line="240" w:lineRule="auto"/>
              <w:jc w:val="left"/>
              <w:rPr>
                <w:rFonts w:eastAsia="Times New Roman"/>
                <w:color w:val="000000"/>
                <w:sz w:val="24"/>
                <w:szCs w:val="24"/>
                <w:lang w:val="en-GB" w:eastAsia="en-GB"/>
              </w:rPr>
            </w:pPr>
            <w:r w:rsidRPr="00407176">
              <w:rPr>
                <w:rFonts w:eastAsia="Times New Roman"/>
                <w:color w:val="000000"/>
                <w:lang w:eastAsia="en-GB"/>
              </w:rPr>
              <w:t>Prakash and Cameron 1981</w:t>
            </w:r>
          </w:p>
        </w:tc>
        <w:tc>
          <w:tcPr>
            <w:tcW w:w="1633" w:type="dxa"/>
            <w:shd w:val="clear" w:color="auto" w:fill="auto"/>
            <w:noWrap/>
            <w:vAlign w:val="center"/>
            <w:hideMark/>
          </w:tcPr>
          <w:p w:rsidR="00A35CA0" w:rsidRDefault="00E6026E" w:rsidP="00CA5FBB">
            <w:pPr>
              <w:spacing w:before="0" w:line="240" w:lineRule="auto"/>
              <w:jc w:val="center"/>
              <w:rPr>
                <w:rFonts w:eastAsia="Times New Roman"/>
                <w:color w:val="000000"/>
                <w:sz w:val="24"/>
                <w:szCs w:val="24"/>
                <w:lang w:val="en-GB" w:eastAsia="en-GB"/>
              </w:rPr>
            </w:pPr>
            <w:r w:rsidRPr="00407176">
              <w:rPr>
                <w:rFonts w:eastAsia="Times New Roman"/>
                <w:color w:val="000000"/>
                <w:lang w:val="en-GB" w:eastAsia="en-GB"/>
              </w:rPr>
              <w:t>298</w:t>
            </w:r>
          </w:p>
        </w:tc>
        <w:tc>
          <w:tcPr>
            <w:tcW w:w="3040" w:type="dxa"/>
            <w:shd w:val="clear" w:color="auto" w:fill="auto"/>
            <w:noWrap/>
            <w:vAlign w:val="center"/>
            <w:hideMark/>
          </w:tcPr>
          <w:p w:rsidR="00A35CA0" w:rsidRDefault="00E6026E" w:rsidP="00CA5FBB">
            <w:pPr>
              <w:spacing w:before="0" w:line="240" w:lineRule="auto"/>
              <w:jc w:val="left"/>
              <w:rPr>
                <w:rFonts w:eastAsia="Times New Roman"/>
                <w:color w:val="000000"/>
                <w:sz w:val="24"/>
                <w:szCs w:val="24"/>
                <w:lang w:val="en-GB" w:eastAsia="en-GB"/>
              </w:rPr>
            </w:pPr>
            <w:r w:rsidRPr="00407176">
              <w:rPr>
                <w:rFonts w:eastAsia="Times New Roman"/>
                <w:color w:val="000000"/>
                <w:lang w:val="en-GB" w:eastAsia="en-GB"/>
              </w:rPr>
              <w:t>hand/wrist</w:t>
            </w:r>
          </w:p>
        </w:tc>
      </w:tr>
      <w:tr w:rsidR="00E6026E" w:rsidRPr="00407176" w:rsidTr="00CA5FBB">
        <w:trPr>
          <w:trHeight w:hRule="exact" w:val="340"/>
          <w:jc w:val="center"/>
        </w:trPr>
        <w:tc>
          <w:tcPr>
            <w:tcW w:w="173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2" w:type="dxa"/>
            <w:shd w:val="clear" w:color="auto" w:fill="auto"/>
            <w:noWrap/>
            <w:vAlign w:val="center"/>
            <w:hideMark/>
          </w:tcPr>
          <w:p w:rsidR="00A35CA0" w:rsidRDefault="00E6026E" w:rsidP="00CA5FBB">
            <w:pPr>
              <w:spacing w:before="0" w:line="240" w:lineRule="auto"/>
              <w:jc w:val="left"/>
              <w:rPr>
                <w:rFonts w:eastAsia="Times New Roman"/>
                <w:color w:val="000000"/>
                <w:sz w:val="24"/>
                <w:szCs w:val="24"/>
                <w:lang w:val="en-GB" w:eastAsia="en-GB"/>
              </w:rPr>
            </w:pPr>
            <w:r w:rsidRPr="00407176">
              <w:rPr>
                <w:rFonts w:eastAsia="Times New Roman"/>
                <w:color w:val="000000"/>
                <w:lang w:eastAsia="en-GB"/>
              </w:rPr>
              <w:t>Jit and Kaur 1989</w:t>
            </w:r>
          </w:p>
        </w:tc>
        <w:tc>
          <w:tcPr>
            <w:tcW w:w="1633" w:type="dxa"/>
            <w:shd w:val="clear" w:color="auto" w:fill="auto"/>
            <w:noWrap/>
            <w:vAlign w:val="center"/>
            <w:hideMark/>
          </w:tcPr>
          <w:p w:rsidR="00A35CA0" w:rsidRDefault="00E6026E" w:rsidP="00CA5FBB">
            <w:pPr>
              <w:spacing w:before="0" w:line="240" w:lineRule="auto"/>
              <w:jc w:val="center"/>
              <w:rPr>
                <w:rFonts w:eastAsia="Times New Roman"/>
                <w:color w:val="000000"/>
                <w:sz w:val="24"/>
                <w:szCs w:val="24"/>
                <w:lang w:val="en-GB" w:eastAsia="en-GB"/>
              </w:rPr>
            </w:pPr>
            <w:r w:rsidRPr="00407176">
              <w:rPr>
                <w:rFonts w:eastAsia="Times New Roman"/>
                <w:color w:val="000000"/>
                <w:lang w:val="en-GB" w:eastAsia="en-GB"/>
              </w:rPr>
              <w:t>1018</w:t>
            </w:r>
          </w:p>
        </w:tc>
        <w:tc>
          <w:tcPr>
            <w:tcW w:w="3040" w:type="dxa"/>
            <w:shd w:val="clear" w:color="auto" w:fill="auto"/>
            <w:noWrap/>
            <w:vAlign w:val="center"/>
            <w:hideMark/>
          </w:tcPr>
          <w:p w:rsidR="00A35CA0" w:rsidRDefault="00E6026E" w:rsidP="00CA5FBB">
            <w:pPr>
              <w:spacing w:before="0" w:line="240" w:lineRule="auto"/>
              <w:jc w:val="left"/>
              <w:rPr>
                <w:rFonts w:eastAsia="Times New Roman"/>
                <w:color w:val="000000"/>
                <w:sz w:val="24"/>
                <w:szCs w:val="24"/>
                <w:lang w:val="en-GB" w:eastAsia="en-GB"/>
              </w:rPr>
            </w:pPr>
            <w:r w:rsidRPr="00407176">
              <w:rPr>
                <w:rFonts w:eastAsia="Times New Roman"/>
                <w:color w:val="000000"/>
                <w:lang w:eastAsia="en-GB"/>
              </w:rPr>
              <w:t>fusion in sternebrae</w:t>
            </w:r>
          </w:p>
        </w:tc>
      </w:tr>
      <w:tr w:rsidR="00E6026E" w:rsidRPr="00407176" w:rsidTr="00CA5FBB">
        <w:trPr>
          <w:trHeight w:hRule="exact" w:val="340"/>
          <w:jc w:val="center"/>
        </w:trPr>
        <w:tc>
          <w:tcPr>
            <w:tcW w:w="1731" w:type="dxa"/>
            <w:shd w:val="clear" w:color="auto" w:fill="auto"/>
            <w:noWrap/>
            <w:vAlign w:val="center"/>
            <w:hideMark/>
          </w:tcPr>
          <w:p w:rsidR="00A35CA0" w:rsidRDefault="006110DE" w:rsidP="00CA5FBB">
            <w:pPr>
              <w:spacing w:before="0" w:line="240" w:lineRule="auto"/>
              <w:jc w:val="center"/>
              <w:rPr>
                <w:rFonts w:eastAsia="Times New Roman"/>
                <w:color w:val="000000"/>
                <w:lang w:val="en-GB" w:eastAsia="en-GB"/>
              </w:rPr>
            </w:pPr>
            <w:r w:rsidRPr="00407176">
              <w:rPr>
                <w:rFonts w:eastAsia="Times New Roman"/>
                <w:color w:val="000000"/>
                <w:lang w:eastAsia="en-GB"/>
              </w:rPr>
              <w:t>Japan</w:t>
            </w:r>
          </w:p>
        </w:tc>
        <w:tc>
          <w:tcPr>
            <w:tcW w:w="2742" w:type="dxa"/>
            <w:shd w:val="clear" w:color="auto" w:fill="auto"/>
            <w:noWrap/>
            <w:vAlign w:val="center"/>
            <w:hideMark/>
          </w:tcPr>
          <w:p w:rsidR="00A35CA0" w:rsidRDefault="006110DE" w:rsidP="00CA5FBB">
            <w:pPr>
              <w:spacing w:before="0" w:line="240" w:lineRule="auto"/>
              <w:jc w:val="left"/>
              <w:rPr>
                <w:rFonts w:eastAsia="Times New Roman"/>
                <w:color w:val="000000"/>
                <w:sz w:val="24"/>
                <w:szCs w:val="24"/>
                <w:lang w:val="en-GB" w:eastAsia="en-GB"/>
              </w:rPr>
            </w:pPr>
            <w:r w:rsidRPr="00407176">
              <w:rPr>
                <w:rFonts w:eastAsia="Times New Roman"/>
                <w:color w:val="000000"/>
                <w:lang w:eastAsia="en-GB"/>
              </w:rPr>
              <w:t xml:space="preserve">Ashizawa </w:t>
            </w:r>
            <w:r w:rsidRPr="00407176">
              <w:rPr>
                <w:rFonts w:eastAsia="Times New Roman"/>
                <w:i/>
                <w:iCs/>
                <w:color w:val="000000"/>
                <w:lang w:eastAsia="en-GB"/>
              </w:rPr>
              <w:t>et al</w:t>
            </w:r>
            <w:r w:rsidRPr="00407176">
              <w:rPr>
                <w:rFonts w:eastAsia="Times New Roman"/>
                <w:color w:val="000000"/>
                <w:lang w:eastAsia="en-GB"/>
              </w:rPr>
              <w:t>. 1996</w:t>
            </w:r>
          </w:p>
        </w:tc>
        <w:tc>
          <w:tcPr>
            <w:tcW w:w="1633" w:type="dxa"/>
            <w:shd w:val="clear" w:color="auto" w:fill="auto"/>
            <w:noWrap/>
            <w:vAlign w:val="center"/>
            <w:hideMark/>
          </w:tcPr>
          <w:p w:rsidR="00A35CA0" w:rsidRDefault="006110DE" w:rsidP="00CA5FBB">
            <w:pPr>
              <w:spacing w:before="0" w:line="240" w:lineRule="auto"/>
              <w:jc w:val="center"/>
              <w:rPr>
                <w:rFonts w:eastAsia="Times New Roman"/>
                <w:color w:val="000000"/>
                <w:sz w:val="24"/>
                <w:szCs w:val="24"/>
                <w:lang w:val="en-GB" w:eastAsia="en-GB"/>
              </w:rPr>
            </w:pPr>
            <w:r w:rsidRPr="00407176">
              <w:rPr>
                <w:rFonts w:eastAsia="Times New Roman"/>
                <w:color w:val="000000"/>
                <w:lang w:val="en-GB" w:eastAsia="en-GB"/>
              </w:rPr>
              <w:t>1457</w:t>
            </w:r>
          </w:p>
        </w:tc>
        <w:tc>
          <w:tcPr>
            <w:tcW w:w="3040" w:type="dxa"/>
            <w:shd w:val="clear" w:color="auto" w:fill="auto"/>
            <w:noWrap/>
            <w:vAlign w:val="center"/>
            <w:hideMark/>
          </w:tcPr>
          <w:p w:rsidR="00A35CA0" w:rsidRDefault="006110DE" w:rsidP="00CA5FBB">
            <w:pPr>
              <w:spacing w:before="0" w:line="240" w:lineRule="auto"/>
              <w:jc w:val="left"/>
              <w:rPr>
                <w:rFonts w:eastAsia="Times New Roman"/>
                <w:color w:val="000000"/>
                <w:sz w:val="24"/>
                <w:szCs w:val="24"/>
                <w:lang w:val="en-GB" w:eastAsia="en-GB"/>
              </w:rPr>
            </w:pPr>
            <w:r w:rsidRPr="00407176">
              <w:rPr>
                <w:rFonts w:eastAsia="Times New Roman"/>
                <w:color w:val="000000"/>
                <w:lang w:val="en-GB" w:eastAsia="en-GB"/>
              </w:rPr>
              <w:t>hand/wrist</w:t>
            </w:r>
          </w:p>
        </w:tc>
      </w:tr>
      <w:tr w:rsidR="00E6026E" w:rsidRPr="00407176" w:rsidTr="00CA5FBB">
        <w:trPr>
          <w:trHeight w:hRule="exact" w:val="340"/>
          <w:jc w:val="center"/>
        </w:trPr>
        <w:tc>
          <w:tcPr>
            <w:tcW w:w="1731" w:type="dxa"/>
            <w:shd w:val="clear" w:color="auto" w:fill="auto"/>
            <w:noWrap/>
            <w:vAlign w:val="center"/>
            <w:hideMark/>
          </w:tcPr>
          <w:p w:rsidR="00A35CA0" w:rsidRDefault="006110DE" w:rsidP="00CA5FBB">
            <w:pPr>
              <w:spacing w:before="0" w:line="240" w:lineRule="auto"/>
              <w:jc w:val="center"/>
              <w:rPr>
                <w:rFonts w:eastAsia="Times New Roman"/>
                <w:color w:val="000000"/>
                <w:lang w:val="en-GB" w:eastAsia="en-GB"/>
              </w:rPr>
            </w:pPr>
            <w:r w:rsidRPr="00407176">
              <w:rPr>
                <w:rFonts w:eastAsia="Times New Roman"/>
                <w:color w:val="000000"/>
                <w:lang w:val="en-GB" w:eastAsia="en-GB"/>
              </w:rPr>
              <w:t>Belgium</w:t>
            </w:r>
          </w:p>
        </w:tc>
        <w:tc>
          <w:tcPr>
            <w:tcW w:w="2742" w:type="dxa"/>
            <w:shd w:val="clear" w:color="auto" w:fill="auto"/>
            <w:noWrap/>
            <w:vAlign w:val="center"/>
            <w:hideMark/>
          </w:tcPr>
          <w:p w:rsidR="00A35CA0" w:rsidRDefault="006110DE" w:rsidP="00CA5FBB">
            <w:pPr>
              <w:spacing w:before="0" w:line="240" w:lineRule="auto"/>
              <w:jc w:val="left"/>
              <w:rPr>
                <w:rFonts w:eastAsia="Times New Roman"/>
                <w:color w:val="000000"/>
                <w:sz w:val="24"/>
                <w:szCs w:val="24"/>
                <w:lang w:val="en-GB" w:eastAsia="en-GB"/>
              </w:rPr>
            </w:pPr>
            <w:r w:rsidRPr="00407176">
              <w:rPr>
                <w:rFonts w:eastAsia="Times New Roman"/>
                <w:color w:val="000000"/>
                <w:lang w:val="en-GB" w:eastAsia="en-GB"/>
              </w:rPr>
              <w:t xml:space="preserve">Beunen </w:t>
            </w:r>
            <w:r w:rsidRPr="00407176">
              <w:rPr>
                <w:rFonts w:eastAsia="Times New Roman"/>
                <w:i/>
                <w:iCs/>
                <w:color w:val="000000"/>
                <w:lang w:val="en-GB" w:eastAsia="en-GB"/>
              </w:rPr>
              <w:t>et al.</w:t>
            </w:r>
            <w:r w:rsidRPr="00407176">
              <w:rPr>
                <w:rFonts w:eastAsia="Times New Roman"/>
                <w:color w:val="000000"/>
                <w:lang w:val="en-GB" w:eastAsia="en-GB"/>
              </w:rPr>
              <w:t xml:space="preserve"> 1990</w:t>
            </w:r>
          </w:p>
        </w:tc>
        <w:tc>
          <w:tcPr>
            <w:tcW w:w="1633" w:type="dxa"/>
            <w:shd w:val="clear" w:color="auto" w:fill="auto"/>
            <w:noWrap/>
            <w:vAlign w:val="center"/>
            <w:hideMark/>
          </w:tcPr>
          <w:p w:rsidR="00A35CA0" w:rsidRDefault="006110DE" w:rsidP="00CA5FBB">
            <w:pPr>
              <w:spacing w:before="0" w:line="240" w:lineRule="auto"/>
              <w:jc w:val="center"/>
              <w:rPr>
                <w:rFonts w:eastAsia="Times New Roman"/>
                <w:color w:val="000000"/>
                <w:sz w:val="24"/>
                <w:szCs w:val="24"/>
                <w:lang w:val="en-GB" w:eastAsia="en-GB"/>
              </w:rPr>
            </w:pPr>
            <w:r w:rsidRPr="00407176">
              <w:rPr>
                <w:rFonts w:eastAsia="Times New Roman"/>
                <w:color w:val="000000"/>
                <w:lang w:val="en-GB" w:eastAsia="en-GB"/>
              </w:rPr>
              <w:t>9698</w:t>
            </w:r>
          </w:p>
        </w:tc>
        <w:tc>
          <w:tcPr>
            <w:tcW w:w="3040" w:type="dxa"/>
            <w:shd w:val="clear" w:color="auto" w:fill="auto"/>
            <w:noWrap/>
            <w:vAlign w:val="center"/>
            <w:hideMark/>
          </w:tcPr>
          <w:p w:rsidR="00A35CA0" w:rsidRDefault="006110DE" w:rsidP="00CA5FBB">
            <w:pPr>
              <w:spacing w:before="0" w:line="240" w:lineRule="auto"/>
              <w:jc w:val="left"/>
              <w:rPr>
                <w:rFonts w:eastAsia="Times New Roman"/>
                <w:color w:val="000000"/>
                <w:sz w:val="24"/>
                <w:szCs w:val="24"/>
                <w:lang w:val="en-GB" w:eastAsia="en-GB"/>
              </w:rPr>
            </w:pPr>
            <w:r w:rsidRPr="00407176">
              <w:rPr>
                <w:rFonts w:eastAsia="Times New Roman"/>
                <w:color w:val="000000"/>
                <w:lang w:val="en-GB" w:eastAsia="en-GB"/>
              </w:rPr>
              <w:t>hand/wrist</w:t>
            </w:r>
          </w:p>
        </w:tc>
      </w:tr>
      <w:tr w:rsidR="00E6026E" w:rsidRPr="00407176" w:rsidTr="00CA5FBB">
        <w:trPr>
          <w:trHeight w:hRule="exact" w:val="340"/>
          <w:jc w:val="center"/>
        </w:trPr>
        <w:tc>
          <w:tcPr>
            <w:tcW w:w="1731" w:type="dxa"/>
            <w:shd w:val="clear" w:color="auto" w:fill="auto"/>
            <w:noWrap/>
            <w:vAlign w:val="center"/>
            <w:hideMark/>
          </w:tcPr>
          <w:p w:rsidR="00A35CA0" w:rsidRDefault="006110DE" w:rsidP="00CA5FBB">
            <w:pPr>
              <w:spacing w:before="0" w:line="240" w:lineRule="auto"/>
              <w:jc w:val="center"/>
              <w:rPr>
                <w:rFonts w:eastAsia="Times New Roman"/>
                <w:color w:val="000000"/>
                <w:lang w:val="en-GB" w:eastAsia="en-GB"/>
              </w:rPr>
            </w:pPr>
            <w:r w:rsidRPr="00407176">
              <w:rPr>
                <w:rFonts w:eastAsia="Times New Roman"/>
                <w:color w:val="000000"/>
                <w:lang w:val="en-GB" w:eastAsia="en-GB"/>
              </w:rPr>
              <w:t>China</w:t>
            </w:r>
          </w:p>
        </w:tc>
        <w:tc>
          <w:tcPr>
            <w:tcW w:w="2742" w:type="dxa"/>
            <w:shd w:val="clear" w:color="auto" w:fill="auto"/>
            <w:noWrap/>
            <w:vAlign w:val="center"/>
            <w:hideMark/>
          </w:tcPr>
          <w:p w:rsidR="00A35CA0" w:rsidRDefault="006110DE" w:rsidP="00CA5FBB">
            <w:pPr>
              <w:spacing w:before="0" w:line="240" w:lineRule="auto"/>
              <w:jc w:val="left"/>
              <w:rPr>
                <w:rFonts w:eastAsia="Times New Roman"/>
                <w:color w:val="000000"/>
                <w:sz w:val="24"/>
                <w:szCs w:val="24"/>
                <w:lang w:val="en-GB" w:eastAsia="en-GB"/>
              </w:rPr>
            </w:pPr>
            <w:r w:rsidRPr="00407176">
              <w:rPr>
                <w:rFonts w:eastAsia="Times New Roman"/>
                <w:color w:val="000000"/>
                <w:lang w:val="en-GB" w:eastAsia="en-GB"/>
              </w:rPr>
              <w:t xml:space="preserve">Ye </w:t>
            </w:r>
            <w:r w:rsidRPr="00407176">
              <w:rPr>
                <w:rFonts w:eastAsia="Times New Roman"/>
                <w:i/>
                <w:iCs/>
                <w:color w:val="000000"/>
                <w:lang w:val="en-GB" w:eastAsia="en-GB"/>
              </w:rPr>
              <w:t>et al</w:t>
            </w:r>
            <w:r w:rsidRPr="00407176">
              <w:rPr>
                <w:rFonts w:eastAsia="Times New Roman"/>
                <w:color w:val="000000"/>
                <w:lang w:val="en-GB" w:eastAsia="en-GB"/>
              </w:rPr>
              <w:t>. 1992</w:t>
            </w:r>
          </w:p>
        </w:tc>
        <w:tc>
          <w:tcPr>
            <w:tcW w:w="1633" w:type="dxa"/>
            <w:shd w:val="clear" w:color="auto" w:fill="auto"/>
            <w:noWrap/>
            <w:vAlign w:val="center"/>
            <w:hideMark/>
          </w:tcPr>
          <w:p w:rsidR="00A35CA0" w:rsidRDefault="006110DE" w:rsidP="00CA5FBB">
            <w:pPr>
              <w:spacing w:before="0" w:line="240" w:lineRule="auto"/>
              <w:jc w:val="center"/>
              <w:rPr>
                <w:rFonts w:eastAsia="Times New Roman"/>
                <w:color w:val="000000"/>
                <w:sz w:val="24"/>
                <w:szCs w:val="24"/>
                <w:lang w:val="en-GB" w:eastAsia="en-GB"/>
              </w:rPr>
            </w:pPr>
            <w:r w:rsidRPr="00407176">
              <w:rPr>
                <w:rFonts w:eastAsia="Times New Roman"/>
                <w:color w:val="000000"/>
                <w:lang w:val="en-GB" w:eastAsia="en-GB"/>
              </w:rPr>
              <w:t>2122</w:t>
            </w:r>
          </w:p>
        </w:tc>
        <w:tc>
          <w:tcPr>
            <w:tcW w:w="3040" w:type="dxa"/>
            <w:shd w:val="clear" w:color="auto" w:fill="auto"/>
            <w:noWrap/>
            <w:vAlign w:val="center"/>
            <w:hideMark/>
          </w:tcPr>
          <w:p w:rsidR="00A35CA0" w:rsidRDefault="006110DE" w:rsidP="00CA5FBB">
            <w:pPr>
              <w:spacing w:before="0" w:line="240" w:lineRule="auto"/>
              <w:jc w:val="left"/>
              <w:rPr>
                <w:rFonts w:eastAsia="Times New Roman"/>
                <w:color w:val="000000"/>
                <w:sz w:val="24"/>
                <w:szCs w:val="24"/>
                <w:lang w:val="en-GB" w:eastAsia="en-GB"/>
              </w:rPr>
            </w:pPr>
            <w:r w:rsidRPr="00407176">
              <w:rPr>
                <w:rFonts w:eastAsia="Times New Roman"/>
                <w:color w:val="000000"/>
                <w:lang w:val="en-GB" w:eastAsia="en-GB"/>
              </w:rPr>
              <w:t>hand/wrist</w:t>
            </w:r>
          </w:p>
        </w:tc>
      </w:tr>
    </w:tbl>
    <w:p w:rsidR="00DE7AC0" w:rsidRPr="004C053C" w:rsidRDefault="00D557BE" w:rsidP="00E6026E">
      <w:pPr>
        <w:pStyle w:val="ListParagraph"/>
        <w:spacing w:before="120" w:line="240" w:lineRule="auto"/>
        <w:ind w:left="0"/>
        <w:rPr>
          <w:noProof/>
          <w:color w:val="000000"/>
          <w:sz w:val="20"/>
          <w:szCs w:val="20"/>
        </w:rPr>
      </w:pPr>
      <w:r>
        <w:rPr>
          <w:noProof/>
          <w:color w:val="000000"/>
          <w:sz w:val="20"/>
          <w:szCs w:val="20"/>
        </w:rPr>
        <w:t xml:space="preserve">1. </w:t>
      </w:r>
      <w:r w:rsidR="00066634" w:rsidRPr="00066634">
        <w:rPr>
          <w:noProof/>
          <w:color w:val="000000"/>
          <w:sz w:val="20"/>
          <w:szCs w:val="20"/>
        </w:rPr>
        <w:t>Not defined in publication.</w:t>
      </w:r>
    </w:p>
    <w:p w:rsidR="00A35CA0" w:rsidRDefault="006B608B" w:rsidP="00CA5FBB">
      <w:pPr>
        <w:tabs>
          <w:tab w:val="left" w:pos="2977"/>
        </w:tabs>
        <w:rPr>
          <w:noProof/>
        </w:rPr>
      </w:pPr>
      <w:r>
        <w:rPr>
          <w:noProof/>
        </w:rPr>
        <w:t>T</w:t>
      </w:r>
      <w:r w:rsidR="006110DE">
        <w:rPr>
          <w:noProof/>
        </w:rPr>
        <w:t xml:space="preserve">he differences that have been observed only relate to age of epiphyseal maturity, as opposed to pattern of fusion.  Fusion sequences between these populations did not differ.  Schmeling </w:t>
      </w:r>
      <w:r w:rsidR="006110DE">
        <w:rPr>
          <w:i/>
          <w:noProof/>
        </w:rPr>
        <w:t>et al</w:t>
      </w:r>
      <w:r w:rsidR="006110DE">
        <w:rPr>
          <w:noProof/>
        </w:rPr>
        <w:t xml:space="preserve">. (2000) analyzed the results from over 80 radiographic studies </w:t>
      </w:r>
      <w:r w:rsidR="00A20932">
        <w:rPr>
          <w:noProof/>
        </w:rPr>
        <w:t>conducted</w:t>
      </w:r>
      <w:r w:rsidR="006110DE">
        <w:rPr>
          <w:noProof/>
        </w:rPr>
        <w:t xml:space="preserve"> on multiple populations, both theoretically healthy and deprived, finding that the order of events does not correlate with specific ethnic groups</w:t>
      </w:r>
      <w:r w:rsidR="00781954">
        <w:rPr>
          <w:noProof/>
        </w:rPr>
        <w:t>.  C</w:t>
      </w:r>
      <w:r w:rsidR="006110DE">
        <w:rPr>
          <w:noProof/>
        </w:rPr>
        <w:t>hron</w:t>
      </w:r>
      <w:r w:rsidR="001A1DE1">
        <w:rPr>
          <w:noProof/>
        </w:rPr>
        <w:t>ological delays</w:t>
      </w:r>
      <w:r w:rsidR="006110DE">
        <w:rPr>
          <w:noProof/>
        </w:rPr>
        <w:t xml:space="preserve"> of maturation</w:t>
      </w:r>
      <w:r w:rsidR="005B4D6D">
        <w:rPr>
          <w:noProof/>
        </w:rPr>
        <w:t xml:space="preserve"> observed in some studies</w:t>
      </w:r>
      <w:r w:rsidR="006110DE">
        <w:rPr>
          <w:noProof/>
        </w:rPr>
        <w:t xml:space="preserve"> </w:t>
      </w:r>
      <w:r w:rsidR="001A1DE1">
        <w:rPr>
          <w:noProof/>
        </w:rPr>
        <w:t xml:space="preserve">of supposedly healthy populations </w:t>
      </w:r>
      <w:r w:rsidR="001E2612">
        <w:rPr>
          <w:noProof/>
        </w:rPr>
        <w:t>we</w:t>
      </w:r>
      <w:r w:rsidR="006110DE">
        <w:rPr>
          <w:noProof/>
        </w:rPr>
        <w:t xml:space="preserve">re most likely due to </w:t>
      </w:r>
      <w:r w:rsidR="00781954">
        <w:rPr>
          <w:noProof/>
        </w:rPr>
        <w:t>unforseen environmental stresses</w:t>
      </w:r>
      <w:r w:rsidR="001A1DE1">
        <w:rPr>
          <w:noProof/>
        </w:rPr>
        <w:t xml:space="preserve"> not accounted for in such studies</w:t>
      </w:r>
      <w:r w:rsidR="006110DE">
        <w:rPr>
          <w:noProof/>
        </w:rPr>
        <w:t xml:space="preserve">. </w:t>
      </w:r>
      <w:r w:rsidR="00BE788A">
        <w:rPr>
          <w:noProof/>
        </w:rPr>
        <w:t xml:space="preserve"> </w:t>
      </w:r>
      <w:r w:rsidR="00290B2C">
        <w:rPr>
          <w:noProof/>
        </w:rPr>
        <w:t>E</w:t>
      </w:r>
      <w:r w:rsidR="006110DE">
        <w:rPr>
          <w:noProof/>
        </w:rPr>
        <w:t xml:space="preserve">vidence from individuals </w:t>
      </w:r>
      <w:r w:rsidR="00290B2C">
        <w:rPr>
          <w:noProof/>
        </w:rPr>
        <w:t xml:space="preserve">of </w:t>
      </w:r>
      <w:r w:rsidR="006110DE">
        <w:rPr>
          <w:noProof/>
        </w:rPr>
        <w:t>the same ethnic group maturing in different geographic regions supports th</w:t>
      </w:r>
      <w:r w:rsidR="00290B2C">
        <w:rPr>
          <w:noProof/>
        </w:rPr>
        <w:t>is</w:t>
      </w:r>
      <w:r w:rsidR="006110DE">
        <w:rPr>
          <w:noProof/>
        </w:rPr>
        <w:t xml:space="preserve"> argument </w:t>
      </w:r>
      <w:r w:rsidR="00290B2C">
        <w:rPr>
          <w:noProof/>
        </w:rPr>
        <w:t>(</w:t>
      </w:r>
      <w:r w:rsidR="006110DE">
        <w:rPr>
          <w:noProof/>
        </w:rPr>
        <w:t xml:space="preserve">Schmeling </w:t>
      </w:r>
      <w:r w:rsidR="006110DE">
        <w:rPr>
          <w:i/>
          <w:noProof/>
        </w:rPr>
        <w:t>et al</w:t>
      </w:r>
      <w:r w:rsidR="006110DE">
        <w:rPr>
          <w:noProof/>
        </w:rPr>
        <w:t>.</w:t>
      </w:r>
      <w:r w:rsidR="004D08BA">
        <w:rPr>
          <w:noProof/>
        </w:rPr>
        <w:t xml:space="preserve"> 2000).</w:t>
      </w:r>
    </w:p>
    <w:p w:rsidR="006110DE" w:rsidRDefault="006110DE" w:rsidP="004C053C">
      <w:pPr>
        <w:rPr>
          <w:noProof/>
        </w:rPr>
      </w:pPr>
      <w:r>
        <w:rPr>
          <w:noProof/>
        </w:rPr>
        <w:t xml:space="preserve">It is </w:t>
      </w:r>
      <w:r w:rsidR="00F017FF">
        <w:rPr>
          <w:noProof/>
        </w:rPr>
        <w:t xml:space="preserve">notable </w:t>
      </w:r>
      <w:r>
        <w:rPr>
          <w:noProof/>
        </w:rPr>
        <w:t>that the majority of these studies consider only hand and wrist fusion.  This anatomical area is easy to radiograph and is routinely observed.  Large-scale stud</w:t>
      </w:r>
      <w:r w:rsidR="00F017FF">
        <w:rPr>
          <w:noProof/>
        </w:rPr>
        <w:t>ies comparable to those of</w:t>
      </w:r>
      <w:r>
        <w:rPr>
          <w:noProof/>
        </w:rPr>
        <w:t xml:space="preserve"> western populations encompassing the complete range of fusion sites are lacking, and there is a paucity of dry-bone studies.  There are small differences in human skeletal proportions that are related to climatic effects (Ruff 2002) such as the shorter limbs of people living in </w:t>
      </w:r>
      <w:r w:rsidR="003533CE">
        <w:rPr>
          <w:noProof/>
        </w:rPr>
        <w:t>colder climates.  There are</w:t>
      </w:r>
      <w:r w:rsidR="00E46E8B">
        <w:rPr>
          <w:noProof/>
        </w:rPr>
        <w:t xml:space="preserve"> not </w:t>
      </w:r>
      <w:r>
        <w:rPr>
          <w:noProof/>
        </w:rPr>
        <w:t xml:space="preserve">enough complete data sets </w:t>
      </w:r>
      <w:r w:rsidR="003533CE">
        <w:rPr>
          <w:noProof/>
        </w:rPr>
        <w:t xml:space="preserve">from </w:t>
      </w:r>
      <w:r>
        <w:rPr>
          <w:noProof/>
        </w:rPr>
        <w:t>these populations to assess whether these variations in allometry have consequences for the sequence order of fusion, although the work of Stewart (1934) suggest</w:t>
      </w:r>
      <w:r w:rsidR="004D08BA">
        <w:rPr>
          <w:noProof/>
        </w:rPr>
        <w:t>s no notable deviations exist.</w:t>
      </w:r>
    </w:p>
    <w:p w:rsidR="006110DE" w:rsidRDefault="006110DE" w:rsidP="00952DB4">
      <w:pPr>
        <w:rPr>
          <w:noProof/>
        </w:rPr>
      </w:pPr>
      <w:r>
        <w:rPr>
          <w:noProof/>
        </w:rPr>
        <w:t>In mos</w:t>
      </w:r>
      <w:r w:rsidR="00DD078D">
        <w:rPr>
          <w:noProof/>
        </w:rPr>
        <w:t>t aspects of anatomy humans follow consistent patterns between populations.</w:t>
      </w:r>
      <w:r>
        <w:rPr>
          <w:noProof/>
        </w:rPr>
        <w:t xml:space="preserve">  Given that individual variation can lead to ambiguity in small samples, it would seem necessary that large sample sizes would be required for any tendency towards sequence and age abnormalities to become apparent, if they exist at all.  The current data suggest that humans as a species encompassing all populations </w:t>
      </w:r>
      <w:r>
        <w:rPr>
          <w:noProof/>
        </w:rPr>
        <w:lastRenderedPageBreak/>
        <w:t>demonstate a consistent patter</w:t>
      </w:r>
      <w:r w:rsidR="00DD078D">
        <w:rPr>
          <w:noProof/>
        </w:rPr>
        <w:t>n of epiphyseal closure.</w:t>
      </w:r>
      <w:r>
        <w:rPr>
          <w:noProof/>
        </w:rPr>
        <w:t xml:space="preserve">  Minor variations in age of mat</w:t>
      </w:r>
      <w:r w:rsidR="00DD078D">
        <w:rPr>
          <w:noProof/>
        </w:rPr>
        <w:t xml:space="preserve">urity have been observed which are </w:t>
      </w:r>
      <w:r>
        <w:rPr>
          <w:noProof/>
        </w:rPr>
        <w:t>likely the result of adverse or benefi</w:t>
      </w:r>
      <w:r w:rsidR="004D08BA">
        <w:rPr>
          <w:noProof/>
        </w:rPr>
        <w:t>cial environmental conditions.</w:t>
      </w:r>
    </w:p>
    <w:p w:rsidR="006110DE" w:rsidRPr="003B21DF" w:rsidRDefault="006110DE" w:rsidP="00952DB4">
      <w:pPr>
        <w:rPr>
          <w:noProof/>
          <w:u w:val="single"/>
        </w:rPr>
      </w:pPr>
      <w:r w:rsidRPr="003B21DF">
        <w:rPr>
          <w:noProof/>
          <w:u w:val="single"/>
        </w:rPr>
        <w:t>Past studies on stressed populations</w:t>
      </w:r>
    </w:p>
    <w:p w:rsidR="006110DE" w:rsidRPr="002238A8" w:rsidRDefault="0057007D" w:rsidP="00952DB4">
      <w:r>
        <w:t xml:space="preserve">Even though </w:t>
      </w:r>
      <w:r w:rsidR="008B5F27">
        <w:t xml:space="preserve">there </w:t>
      </w:r>
      <w:proofErr w:type="gramStart"/>
      <w:r w:rsidR="008B5F27">
        <w:t>exist</w:t>
      </w:r>
      <w:proofErr w:type="gramEnd"/>
      <w:r w:rsidR="003C0854">
        <w:t xml:space="preserve"> </w:t>
      </w:r>
      <w:r w:rsidR="006110DE">
        <w:t>sufficient data to model healthy human populations, a discussion of the effects of stress and nutritional deficiencies</w:t>
      </w:r>
      <w:r w:rsidR="004A2B46">
        <w:t xml:space="preserve"> observed in humans</w:t>
      </w:r>
      <w:r w:rsidR="006110DE">
        <w:t xml:space="preserve"> is warranted.  As shall </w:t>
      </w:r>
      <w:r w:rsidR="008B5F27">
        <w:t xml:space="preserve">be shown in </w:t>
      </w:r>
      <w:r w:rsidR="0094114D">
        <w:t>section</w:t>
      </w:r>
      <w:r w:rsidR="006110DE">
        <w:t xml:space="preserve"> 2.4.6, the effects </w:t>
      </w:r>
      <w:r w:rsidR="005C73F1">
        <w:t xml:space="preserve">stress and nutritional deficiency </w:t>
      </w:r>
      <w:r w:rsidR="006110DE">
        <w:t xml:space="preserve">are less </w:t>
      </w:r>
      <w:r w:rsidR="006110DE" w:rsidRPr="00DD04A1">
        <w:t xml:space="preserve">well known </w:t>
      </w:r>
      <w:r w:rsidR="009C5363">
        <w:t xml:space="preserve">for </w:t>
      </w:r>
      <w:r w:rsidR="006110DE" w:rsidRPr="00DD04A1">
        <w:t xml:space="preserve">chimpanzees and bonobos.  </w:t>
      </w:r>
      <w:r w:rsidR="003D1C7F">
        <w:t>Since</w:t>
      </w:r>
      <w:r w:rsidR="006110DE" w:rsidRPr="00DD04A1">
        <w:t xml:space="preserve"> humans </w:t>
      </w:r>
      <w:r w:rsidR="003D1C7F">
        <w:t>are</w:t>
      </w:r>
      <w:r w:rsidR="006110DE" w:rsidRPr="00DD04A1">
        <w:t xml:space="preserve"> very closely related, the patterns</w:t>
      </w:r>
      <w:r w:rsidR="006110DE">
        <w:t xml:space="preserve"> observed in </w:t>
      </w:r>
      <w:r w:rsidR="00371E4C">
        <w:t xml:space="preserve">this species </w:t>
      </w:r>
      <w:r w:rsidR="006110DE">
        <w:t xml:space="preserve">may be informative for the study of deficiencies in </w:t>
      </w:r>
      <w:r w:rsidR="006110DE">
        <w:rPr>
          <w:i/>
        </w:rPr>
        <w:t>Pan</w:t>
      </w:r>
      <w:r w:rsidR="006110DE">
        <w:t>.  This is especially relevant for osteological collections where the history of individuals prior to death is often less clear.</w:t>
      </w:r>
    </w:p>
    <w:p w:rsidR="006110DE" w:rsidRDefault="006110DE" w:rsidP="00952DB4">
      <w:r>
        <w:t>There have been a number of</w:t>
      </w:r>
      <w:r w:rsidR="00AC6DF7">
        <w:t xml:space="preserve"> epiphyseal fusion studies</w:t>
      </w:r>
      <w:r w:rsidR="00717C6A">
        <w:t xml:space="preserve"> </w:t>
      </w:r>
      <w:r w:rsidR="002E37E1">
        <w:t>assessing</w:t>
      </w:r>
      <w:r w:rsidR="0033430D">
        <w:t xml:space="preserve"> </w:t>
      </w:r>
      <w:r>
        <w:t xml:space="preserve">living populations undergoing nutritional stress </w:t>
      </w:r>
      <w:r w:rsidR="00A411E4">
        <w:t>that</w:t>
      </w:r>
      <w:r>
        <w:t xml:space="preserve"> have considered variables such as weight, stature, cognitive abilities, dental eruption stage and degree of skeletal maturation.  The effects on growth due of different forms of nutritional stress such as deficiencies in energy, fat, protein, and minerals are outlined by Roche and Sun (2003).  The majority of studies </w:t>
      </w:r>
      <w:r w:rsidR="003D1C7F">
        <w:t>examining</w:t>
      </w:r>
      <w:r w:rsidR="0031461C">
        <w:t xml:space="preserve"> skeletal maturation have</w:t>
      </w:r>
      <w:r>
        <w:t xml:space="preserve"> done so using </w:t>
      </w:r>
      <w:r w:rsidR="003D1C7F">
        <w:t xml:space="preserve">only </w:t>
      </w:r>
      <w:r>
        <w:t xml:space="preserve">radiographic imaging of hand/wrist fusion (e.g., Bogin and MacVean 1983, Bogin </w:t>
      </w:r>
      <w:r>
        <w:rPr>
          <w:i/>
        </w:rPr>
        <w:t>et al</w:t>
      </w:r>
      <w:r>
        <w:t xml:space="preserve">. 1989, Lampl </w:t>
      </w:r>
      <w:r>
        <w:rPr>
          <w:i/>
        </w:rPr>
        <w:t>et al</w:t>
      </w:r>
      <w:r>
        <w:t>. 1978, Stini 1969).  Studies of archaeological populations have typically looked at the effects of nutritional stress on the pattern of dental eruption, skeletal matur</w:t>
      </w:r>
      <w:r w:rsidR="0031461C">
        <w:t>ity and predicted stature (e.g.</w:t>
      </w:r>
      <w:r w:rsidR="00B6096B">
        <w:t>,</w:t>
      </w:r>
      <w:r>
        <w:t xml:space="preserve"> Albert and Greene 1999, Prendergast Moore </w:t>
      </w:r>
      <w:r>
        <w:rPr>
          <w:i/>
        </w:rPr>
        <w:t>et al</w:t>
      </w:r>
      <w:r>
        <w:t>. 1986, Stout and Lueck</w:t>
      </w:r>
      <w:r w:rsidR="004D08BA">
        <w:t xml:space="preserve"> 1995).</w:t>
      </w:r>
    </w:p>
    <w:p w:rsidR="006110DE" w:rsidRDefault="006110DE" w:rsidP="00952DB4">
      <w:r>
        <w:t xml:space="preserve">Early studies found </w:t>
      </w:r>
      <w:r w:rsidR="004A2181">
        <w:t xml:space="preserve">readily apparent </w:t>
      </w:r>
      <w:r>
        <w:t>differences. Greulich (1957) compared growth and skeletal maturation of children of Japanese ancestry born in the United States with those born in Japan. These data were</w:t>
      </w:r>
      <w:r w:rsidR="00CF7B49">
        <w:t xml:space="preserve"> collected</w:t>
      </w:r>
      <w:r>
        <w:t xml:space="preserve"> not long after the Second World War when Japan was in the process of rebuilding and nutritional standards were known to be poor.  It was found that the skeletal maturity of Japanese-born children was delayed between 6 and 24 months when compared to the American-born children (Greulich 1957).  Sex differences in maturational delay were found by Stini (1969) who examined maturity in Columbian children experiencing nutritional stress.  Males were found to be more delayed than females.  Later studies include Bogin and MacVean (1983) and Bogin </w:t>
      </w:r>
      <w:r>
        <w:rPr>
          <w:i/>
        </w:rPr>
        <w:t>et al</w:t>
      </w:r>
      <w:r>
        <w:t>. (1989) who looked at Guatemalan children, finding a similar pattern of delays in skeletal maturation of the hand/wrist.  Again, males showed greater retardation when compared to females.  It has become generally accepted that nutritional stress incurs delays in skeletal maturation and that there are sex differences in the severity of these delays.  Males appear to be more susceptible to stress delays than females (Stinson 1985, Wells 2000).  Studies in other animals also suggest that this pattern is true for many different species (Katz 1980, L</w:t>
      </w:r>
      <w:r w:rsidR="004D08BA">
        <w:t xml:space="preserve">ucas 1998, Smart 1977, 1986).  </w:t>
      </w:r>
      <w:r>
        <w:t>Why this disparity exists h</w:t>
      </w:r>
      <w:r w:rsidR="0031461C">
        <w:t xml:space="preserve">as been the subject of </w:t>
      </w:r>
      <w:r w:rsidR="0031461C">
        <w:lastRenderedPageBreak/>
        <w:t xml:space="preserve">debate.  </w:t>
      </w:r>
      <w:r>
        <w:t xml:space="preserve">It has been suggested that the ability to buffer environmental stress is more critical for females due to reproductive demands.  Attempts have been made to fit this into the </w:t>
      </w:r>
      <w:r>
        <w:rPr>
          <w:lang w:val="en-CA"/>
        </w:rPr>
        <w:t xml:space="preserve">Trivers-Willard hypothesis (Trivers and Willard 1973), where there is genetic selection to favour male health in good environments and male morbidity in bad environments.  Evidence from studies looking at sex ratios in various socio-economic groups appears to support this theory </w:t>
      </w:r>
      <w:r w:rsidR="004D08BA">
        <w:rPr>
          <w:lang w:val="en-CA"/>
        </w:rPr>
        <w:t>(e.g., Almond and Edlund 2007).</w:t>
      </w:r>
    </w:p>
    <w:p w:rsidR="006110DE" w:rsidRDefault="006110DE" w:rsidP="00952DB4">
      <w:pPr>
        <w:rPr>
          <w:lang w:val="en-CA"/>
        </w:rPr>
      </w:pPr>
      <w:r>
        <w:rPr>
          <w:lang w:val="en-CA"/>
        </w:rPr>
        <w:t>Another very important obse</w:t>
      </w:r>
      <w:r w:rsidR="004A645E">
        <w:rPr>
          <w:lang w:val="en-CA"/>
        </w:rPr>
        <w:t>rvation of stressed populations</w:t>
      </w:r>
      <w:r>
        <w:rPr>
          <w:lang w:val="en-CA"/>
        </w:rPr>
        <w:t xml:space="preserve"> is that post-cranial skeletal maturation is affected more severely than dental maturation (Cardoso 2007, Garn and Rohmann 1966, Lasker 1969, Roberts 1981).  Dry-bone archaeological studies where multiple maturational indicators have been analyzed often show this pattern (e.g., </w:t>
      </w:r>
      <w:r>
        <w:t xml:space="preserve">Prendergast Moore </w:t>
      </w:r>
      <w:r>
        <w:rPr>
          <w:i/>
        </w:rPr>
        <w:t>et al</w:t>
      </w:r>
      <w:r>
        <w:t>. 1986).</w:t>
      </w:r>
      <w:r>
        <w:rPr>
          <w:lang w:val="en-CA"/>
        </w:rPr>
        <w:t xml:space="preserve">  The effect of nutritional deficiencies on the development of the dentition is discussed in section 2.5.2.  In osteological research the use of dental age in sub-adults is often preferred to skeletal age when a population is assumed to be under stress (Ubelaker 1987, 1989).  In the absence of other evidence, when an individual shows much more advanced dental development when compared to skeletal age, it may be reasonable to consider that there may be so</w:t>
      </w:r>
      <w:r w:rsidR="004D08BA">
        <w:rPr>
          <w:lang w:val="en-CA"/>
        </w:rPr>
        <w:t>mething problematic occurring.</w:t>
      </w:r>
    </w:p>
    <w:p w:rsidR="006110DE" w:rsidRPr="001F3F84" w:rsidRDefault="006110DE" w:rsidP="00952DB4">
      <w:pPr>
        <w:rPr>
          <w:noProof/>
          <w:u w:val="single"/>
        </w:rPr>
      </w:pPr>
      <w:r w:rsidRPr="001F3F84">
        <w:rPr>
          <w:noProof/>
          <w:u w:val="single"/>
        </w:rPr>
        <w:t>Summary of human epiphyseal fusion</w:t>
      </w:r>
    </w:p>
    <w:p w:rsidR="006110DE" w:rsidRPr="00CE2792" w:rsidRDefault="00AE3FDA" w:rsidP="00952DB4">
      <w:pPr>
        <w:rPr>
          <w:noProof/>
        </w:rPr>
      </w:pPr>
      <w:r>
        <w:rPr>
          <w:noProof/>
        </w:rPr>
        <w:t xml:space="preserve">For </w:t>
      </w:r>
      <w:r w:rsidR="006110DE">
        <w:rPr>
          <w:noProof/>
        </w:rPr>
        <w:t xml:space="preserve">humans </w:t>
      </w:r>
      <w:r>
        <w:rPr>
          <w:noProof/>
        </w:rPr>
        <w:t>there is</w:t>
      </w:r>
      <w:r w:rsidR="00126BD7">
        <w:rPr>
          <w:noProof/>
        </w:rPr>
        <w:t xml:space="preserve"> a large body of data </w:t>
      </w:r>
      <w:r w:rsidR="006110DE">
        <w:rPr>
          <w:noProof/>
        </w:rPr>
        <w:t xml:space="preserve">charting the timing and pattern of epiphyseal fusion.  These data are derived from both radiographic and dry-bone studies which when combined have provided a reasonable degree of precision in estimation as well as demonstrating the types and level of variation between individuals.  Populations have been found to vary slightly with regards to </w:t>
      </w:r>
      <w:r w:rsidR="001935AE">
        <w:rPr>
          <w:noProof/>
        </w:rPr>
        <w:t xml:space="preserve">chronological timing of </w:t>
      </w:r>
      <w:r w:rsidR="006110DE">
        <w:rPr>
          <w:noProof/>
        </w:rPr>
        <w:t>fusion but not</w:t>
      </w:r>
      <w:r w:rsidR="00AD4C11">
        <w:rPr>
          <w:noProof/>
        </w:rPr>
        <w:t xml:space="preserve"> </w:t>
      </w:r>
      <w:r w:rsidR="00646C5D">
        <w:rPr>
          <w:noProof/>
        </w:rPr>
        <w:t>sequence</w:t>
      </w:r>
      <w:r w:rsidR="006110DE">
        <w:rPr>
          <w:noProof/>
        </w:rPr>
        <w:t>.  Most of this variation has been considered to be more likely a result of unforseen environmental factors than genetic ones.  Nutritional stress has an effect on the timing of fusion but not the overall pattern, with delays appearing to slow down the entire system.  Skeletal growth is more susceptible to nutritional stress than dental development.</w:t>
      </w:r>
    </w:p>
    <w:p w:rsidR="006110DE" w:rsidRPr="00912EFA" w:rsidRDefault="006110DE" w:rsidP="00D263E8">
      <w:pPr>
        <w:pStyle w:val="Heading3"/>
      </w:pPr>
      <w:bookmarkStart w:id="44" w:name="_Toc373477726"/>
      <w:bookmarkStart w:id="45" w:name="_Toc373480724"/>
      <w:r>
        <w:t>Epiphyseal fusion in chimpanzees</w:t>
      </w:r>
      <w:bookmarkEnd w:id="44"/>
      <w:bookmarkEnd w:id="45"/>
      <w:r>
        <w:t xml:space="preserve"> </w:t>
      </w:r>
    </w:p>
    <w:p w:rsidR="00DA5557" w:rsidRDefault="006110DE" w:rsidP="00952DB4">
      <w:pPr>
        <w:rPr>
          <w:noProof/>
        </w:rPr>
      </w:pPr>
      <w:r>
        <w:rPr>
          <w:noProof/>
        </w:rPr>
        <w:t xml:space="preserve">There have been </w:t>
      </w:r>
      <w:r w:rsidR="000E33EB">
        <w:rPr>
          <w:noProof/>
        </w:rPr>
        <w:t xml:space="preserve">both </w:t>
      </w:r>
      <w:r>
        <w:rPr>
          <w:noProof/>
        </w:rPr>
        <w:t xml:space="preserve">radiographic and dry-bone studies </w:t>
      </w:r>
      <w:r w:rsidR="000E33EB">
        <w:rPr>
          <w:noProof/>
        </w:rPr>
        <w:t>examining</w:t>
      </w:r>
      <w:r w:rsidR="00EF2CD2">
        <w:rPr>
          <w:noProof/>
        </w:rPr>
        <w:t xml:space="preserve"> epiphyseal fusion in</w:t>
      </w:r>
      <w:r>
        <w:rPr>
          <w:noProof/>
        </w:rPr>
        <w:t xml:space="preserve"> wild an</w:t>
      </w:r>
      <w:r w:rsidR="000E33EB">
        <w:rPr>
          <w:noProof/>
        </w:rPr>
        <w:t>d</w:t>
      </w:r>
      <w:r>
        <w:rPr>
          <w:noProof/>
        </w:rPr>
        <w:t xml:space="preserve"> captive chimpanzees</w:t>
      </w:r>
      <w:r w:rsidR="00DB6353">
        <w:rPr>
          <w:noProof/>
        </w:rPr>
        <w:t>, in addition to</w:t>
      </w:r>
      <w:r>
        <w:rPr>
          <w:noProof/>
        </w:rPr>
        <w:t xml:space="preserve"> one histological study (Kerley 1966).  These studies have varied in the breadth of epip</w:t>
      </w:r>
      <w:r w:rsidR="00C822AF">
        <w:rPr>
          <w:noProof/>
        </w:rPr>
        <w:t>hyses considered and sample</w:t>
      </w:r>
      <w:r>
        <w:rPr>
          <w:noProof/>
        </w:rPr>
        <w:t xml:space="preserve"> sizes used.  The </w:t>
      </w:r>
      <w:r w:rsidR="003A4063">
        <w:rPr>
          <w:noProof/>
        </w:rPr>
        <w:t>earliest work was done by Schult</w:t>
      </w:r>
      <w:r>
        <w:rPr>
          <w:noProof/>
        </w:rPr>
        <w:t>z (1940) who noted that long bone epiphyses fused between the ages of 7 and 11</w:t>
      </w:r>
      <w:r w:rsidR="0053699F">
        <w:rPr>
          <w:noProof/>
        </w:rPr>
        <w:t xml:space="preserve"> </w:t>
      </w:r>
      <w:r w:rsidR="000E33EB">
        <w:rPr>
          <w:noProof/>
        </w:rPr>
        <w:t>years</w:t>
      </w:r>
      <w:r>
        <w:rPr>
          <w:noProof/>
        </w:rPr>
        <w:t>.  Kerley</w:t>
      </w:r>
      <w:r w:rsidR="00F41086">
        <w:rPr>
          <w:noProof/>
        </w:rPr>
        <w:t>’s</w:t>
      </w:r>
      <w:r>
        <w:rPr>
          <w:noProof/>
        </w:rPr>
        <w:t xml:space="preserve"> (1966) histological </w:t>
      </w:r>
      <w:r w:rsidR="00F41086">
        <w:rPr>
          <w:noProof/>
        </w:rPr>
        <w:t xml:space="preserve">work used </w:t>
      </w:r>
      <w:r w:rsidR="00E763B5">
        <w:rPr>
          <w:noProof/>
        </w:rPr>
        <w:t>a sample</w:t>
      </w:r>
      <w:r>
        <w:rPr>
          <w:noProof/>
        </w:rPr>
        <w:t xml:space="preserve"> of known-age chimpanzees to observe epiphyseal maturation in 12 femora and 8 humerii.  </w:t>
      </w:r>
      <w:r w:rsidR="00363FB7">
        <w:rPr>
          <w:noProof/>
        </w:rPr>
        <w:t>Kerley</w:t>
      </w:r>
      <w:r w:rsidR="00AB7647">
        <w:rPr>
          <w:noProof/>
        </w:rPr>
        <w:t>’s</w:t>
      </w:r>
      <w:r w:rsidR="00363FB7">
        <w:rPr>
          <w:noProof/>
        </w:rPr>
        <w:t xml:space="preserve"> </w:t>
      </w:r>
      <w:r w:rsidR="00047E5B">
        <w:rPr>
          <w:noProof/>
        </w:rPr>
        <w:t xml:space="preserve">(1966) </w:t>
      </w:r>
      <w:r w:rsidR="00BF2911">
        <w:rPr>
          <w:noProof/>
        </w:rPr>
        <w:t xml:space="preserve">sample </w:t>
      </w:r>
      <w:r w:rsidR="00363FB7">
        <w:rPr>
          <w:noProof/>
        </w:rPr>
        <w:t xml:space="preserve">also provided </w:t>
      </w:r>
      <w:r w:rsidR="00C245BE">
        <w:rPr>
          <w:noProof/>
        </w:rPr>
        <w:t>radiographic</w:t>
      </w:r>
      <w:r w:rsidR="00363FB7">
        <w:rPr>
          <w:noProof/>
        </w:rPr>
        <w:t xml:space="preserve"> </w:t>
      </w:r>
      <w:r w:rsidR="00047E5B">
        <w:rPr>
          <w:noProof/>
        </w:rPr>
        <w:t xml:space="preserve">observations of </w:t>
      </w:r>
      <w:r w:rsidR="00AD1CDD">
        <w:rPr>
          <w:noProof/>
        </w:rPr>
        <w:t xml:space="preserve">epiphyseal fusion for other </w:t>
      </w:r>
      <w:r w:rsidR="00363FB7">
        <w:rPr>
          <w:noProof/>
        </w:rPr>
        <w:t>epiphyses which will be discussed below in the context of Bolter and Zihlman</w:t>
      </w:r>
      <w:r w:rsidR="00DB6353">
        <w:rPr>
          <w:noProof/>
        </w:rPr>
        <w:t>’s</w:t>
      </w:r>
      <w:r w:rsidR="00363FB7">
        <w:rPr>
          <w:noProof/>
        </w:rPr>
        <w:t xml:space="preserve"> (2012)</w:t>
      </w:r>
      <w:r w:rsidR="00DB6353">
        <w:rPr>
          <w:noProof/>
        </w:rPr>
        <w:t xml:space="preserve"> study</w:t>
      </w:r>
      <w:r w:rsidR="00363FB7">
        <w:rPr>
          <w:noProof/>
        </w:rPr>
        <w:t xml:space="preserve">.  </w:t>
      </w:r>
      <w:r>
        <w:rPr>
          <w:noProof/>
        </w:rPr>
        <w:t xml:space="preserve">Subsequent radiographic and dry-bone work has been completed for specific sites.  For </w:t>
      </w:r>
      <w:r>
        <w:rPr>
          <w:noProof/>
        </w:rPr>
        <w:lastRenderedPageBreak/>
        <w:t xml:space="preserve">example, radiographic studies of hand/wrist and foot epiphyseal fusion centres include Hamada </w:t>
      </w:r>
      <w:r>
        <w:rPr>
          <w:i/>
          <w:noProof/>
        </w:rPr>
        <w:t>et al.</w:t>
      </w:r>
      <w:r>
        <w:rPr>
          <w:noProof/>
        </w:rPr>
        <w:t xml:space="preserve"> (1998), Hamada and Chatani (2003), Nissen and Riesen (1949a,b), and Watts (1971, 1985) using captive populations. </w:t>
      </w:r>
      <w:r w:rsidR="00DD037A">
        <w:rPr>
          <w:noProof/>
        </w:rPr>
        <w:t xml:space="preserve"> </w:t>
      </w:r>
      <w:r w:rsidR="001033EE">
        <w:rPr>
          <w:noProof/>
        </w:rPr>
        <w:t>Table 2.3 provides</w:t>
      </w:r>
      <w:r w:rsidR="00B21F40">
        <w:rPr>
          <w:noProof/>
        </w:rPr>
        <w:t xml:space="preserve"> a list of studies that include</w:t>
      </w:r>
      <w:r w:rsidR="001033EE">
        <w:rPr>
          <w:noProof/>
        </w:rPr>
        <w:t xml:space="preserve"> epiphyseal fusion and the regions that were assessed.</w:t>
      </w:r>
    </w:p>
    <w:p w:rsidR="006110DE" w:rsidRDefault="00D557BE" w:rsidP="00D557BE">
      <w:pPr>
        <w:pStyle w:val="Caption"/>
      </w:pPr>
      <w:bookmarkStart w:id="46" w:name="_Toc373180104"/>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w:t>
      </w:r>
      <w:r w:rsidR="008943E4">
        <w:rPr>
          <w:b/>
        </w:rPr>
        <w:fldChar w:fldCharType="end"/>
      </w:r>
      <w:r w:rsidR="001F3F84">
        <w:t xml:space="preserve"> </w:t>
      </w:r>
      <w:r w:rsidR="00A01B57">
        <w:t>Previous studies of</w:t>
      </w:r>
      <w:r w:rsidR="006110DE">
        <w:t xml:space="preserve"> </w:t>
      </w:r>
      <w:r w:rsidR="006110DE">
        <w:rPr>
          <w:i/>
        </w:rPr>
        <w:t xml:space="preserve">Pan </w:t>
      </w:r>
      <w:proofErr w:type="gramStart"/>
      <w:r w:rsidR="006110DE">
        <w:rPr>
          <w:i/>
        </w:rPr>
        <w:t>troglodytes</w:t>
      </w:r>
      <w:proofErr w:type="gramEnd"/>
      <w:r w:rsidR="006110DE">
        <w:t xml:space="preserve"> epiphyseal fusion</w:t>
      </w:r>
      <w:r w:rsidR="001F3F84">
        <w:t>.</w:t>
      </w:r>
      <w:bookmarkEnd w:id="46"/>
    </w:p>
    <w:tbl>
      <w:tblPr>
        <w:tblW w:w="9147" w:type="dxa"/>
        <w:jc w:val="center"/>
        <w:tblLook w:val="04A0" w:firstRow="1" w:lastRow="0" w:firstColumn="1" w:lastColumn="0" w:noHBand="0" w:noVBand="1"/>
      </w:tblPr>
      <w:tblGrid>
        <w:gridCol w:w="3193"/>
        <w:gridCol w:w="2697"/>
        <w:gridCol w:w="1813"/>
        <w:gridCol w:w="1444"/>
      </w:tblGrid>
      <w:tr w:rsidR="008A46E2" w:rsidRPr="008A46E2" w:rsidTr="001B6F6C">
        <w:trPr>
          <w:cantSplit/>
          <w:trHeight w:val="315"/>
          <w:jc w:val="center"/>
        </w:trPr>
        <w:tc>
          <w:tcPr>
            <w:tcW w:w="3193" w:type="dxa"/>
            <w:tcBorders>
              <w:top w:val="single" w:sz="4" w:space="0" w:color="auto"/>
              <w:bottom w:val="single" w:sz="4" w:space="0" w:color="auto"/>
            </w:tcBorders>
            <w:shd w:val="clear" w:color="auto" w:fill="auto"/>
            <w:noWrap/>
            <w:vAlign w:val="center"/>
            <w:hideMark/>
          </w:tcPr>
          <w:p w:rsidR="008A46E2" w:rsidRPr="008A46E2" w:rsidRDefault="001B6F6C">
            <w:pPr>
              <w:spacing w:before="0" w:line="240" w:lineRule="auto"/>
              <w:jc w:val="left"/>
              <w:rPr>
                <w:rFonts w:eastAsia="Times New Roman"/>
                <w:b/>
                <w:bCs/>
                <w:color w:val="000000"/>
                <w:lang w:val="en-GB" w:eastAsia="en-GB"/>
              </w:rPr>
            </w:pPr>
            <w:r>
              <w:rPr>
                <w:rFonts w:eastAsia="Times New Roman"/>
                <w:b/>
                <w:bCs/>
                <w:color w:val="000000"/>
                <w:lang w:val="en-GB" w:eastAsia="en-GB"/>
              </w:rPr>
              <w:t>s</w:t>
            </w:r>
            <w:r w:rsidR="008A46E2" w:rsidRPr="008A46E2">
              <w:rPr>
                <w:rFonts w:eastAsia="Times New Roman"/>
                <w:b/>
                <w:bCs/>
                <w:color w:val="000000"/>
                <w:lang w:val="en-GB" w:eastAsia="en-GB"/>
              </w:rPr>
              <w:t>keletal region</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1B6F6C" w:rsidP="0017711E">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8A46E2" w:rsidRPr="008A46E2">
              <w:rPr>
                <w:rFonts w:eastAsia="Times New Roman"/>
                <w:b/>
                <w:bCs/>
                <w:color w:val="000000"/>
                <w:lang w:val="en-GB" w:eastAsia="en-GB"/>
              </w:rPr>
              <w:t>tudy</w:t>
            </w:r>
          </w:p>
        </w:tc>
        <w:tc>
          <w:tcPr>
            <w:tcW w:w="1813" w:type="dxa"/>
            <w:tcBorders>
              <w:top w:val="single" w:sz="4" w:space="0" w:color="auto"/>
              <w:bottom w:val="single" w:sz="4" w:space="0" w:color="auto"/>
            </w:tcBorders>
            <w:shd w:val="clear" w:color="auto" w:fill="auto"/>
            <w:noWrap/>
            <w:vAlign w:val="center"/>
            <w:hideMark/>
          </w:tcPr>
          <w:p w:rsidR="00A35CA0" w:rsidRDefault="001B6F6C"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t</w:t>
            </w:r>
            <w:r w:rsidR="008A46E2" w:rsidRPr="008A46E2">
              <w:rPr>
                <w:rFonts w:eastAsia="Times New Roman"/>
                <w:b/>
                <w:bCs/>
                <w:color w:val="000000"/>
                <w:lang w:val="en-GB" w:eastAsia="en-GB"/>
              </w:rPr>
              <w:t>ype of study</w:t>
            </w:r>
          </w:p>
        </w:tc>
        <w:tc>
          <w:tcPr>
            <w:tcW w:w="1444" w:type="dxa"/>
            <w:tcBorders>
              <w:top w:val="single" w:sz="4" w:space="0" w:color="auto"/>
              <w:bottom w:val="single" w:sz="4" w:space="0" w:color="auto"/>
            </w:tcBorders>
            <w:shd w:val="clear" w:color="auto" w:fill="auto"/>
            <w:noWrap/>
            <w:vAlign w:val="center"/>
            <w:hideMark/>
          </w:tcPr>
          <w:p w:rsidR="00A35CA0" w:rsidRDefault="001B6F6C"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8A46E2" w:rsidRPr="008A46E2">
              <w:rPr>
                <w:rFonts w:eastAsia="Times New Roman"/>
                <w:b/>
                <w:bCs/>
                <w:color w:val="000000"/>
                <w:lang w:val="en-GB" w:eastAsia="en-GB"/>
              </w:rPr>
              <w:t>ample size</w:t>
            </w:r>
          </w:p>
        </w:tc>
      </w:tr>
      <w:tr w:rsidR="008A46E2" w:rsidRPr="008A46E2" w:rsidTr="00CA5FBB">
        <w:trPr>
          <w:cantSplit/>
          <w:trHeight w:val="315"/>
          <w:jc w:val="center"/>
        </w:trPr>
        <w:tc>
          <w:tcPr>
            <w:tcW w:w="3193" w:type="dxa"/>
            <w:tcBorders>
              <w:top w:val="single" w:sz="4" w:space="0" w:color="auto"/>
              <w:bottom w:val="single" w:sz="4" w:space="0" w:color="auto"/>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hand/wrist</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Gavan 1953</w:t>
            </w:r>
          </w:p>
        </w:tc>
        <w:tc>
          <w:tcPr>
            <w:tcW w:w="1813"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radiographic</w:t>
            </w:r>
          </w:p>
        </w:tc>
        <w:tc>
          <w:tcPr>
            <w:tcW w:w="1444"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16</w:t>
            </w:r>
          </w:p>
        </w:tc>
      </w:tr>
      <w:tr w:rsidR="008A46E2" w:rsidRPr="008A46E2" w:rsidTr="00CA5FBB">
        <w:trPr>
          <w:cantSplit/>
          <w:trHeight w:val="315"/>
          <w:jc w:val="center"/>
        </w:trPr>
        <w:tc>
          <w:tcPr>
            <w:tcW w:w="3193" w:type="dxa"/>
            <w:tcBorders>
              <w:top w:val="single" w:sz="4" w:space="0" w:color="auto"/>
              <w:bottom w:val="nil"/>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hand/wrist and foot</w:t>
            </w:r>
          </w:p>
        </w:tc>
        <w:tc>
          <w:tcPr>
            <w:tcW w:w="2697" w:type="dxa"/>
            <w:tcBorders>
              <w:top w:val="single" w:sz="4" w:space="0" w:color="auto"/>
              <w:left w:val="nil"/>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 xml:space="preserve">Hamada </w:t>
            </w:r>
            <w:r w:rsidRPr="008A46E2">
              <w:rPr>
                <w:rFonts w:eastAsia="Times New Roman"/>
                <w:i/>
                <w:iCs/>
                <w:color w:val="000000"/>
                <w:lang w:val="en-GB" w:eastAsia="en-GB"/>
              </w:rPr>
              <w:t>et al.</w:t>
            </w:r>
            <w:r w:rsidRPr="008A46E2">
              <w:rPr>
                <w:rFonts w:eastAsia="Times New Roman"/>
                <w:color w:val="000000"/>
                <w:lang w:val="en-GB" w:eastAsia="en-GB"/>
              </w:rPr>
              <w:t xml:space="preserve"> 1998</w:t>
            </w:r>
          </w:p>
        </w:tc>
        <w:tc>
          <w:tcPr>
            <w:tcW w:w="1813" w:type="dxa"/>
            <w:tcBorders>
              <w:top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radiographic</w:t>
            </w:r>
          </w:p>
        </w:tc>
        <w:tc>
          <w:tcPr>
            <w:tcW w:w="1444" w:type="dxa"/>
            <w:tcBorders>
              <w:top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65</w:t>
            </w:r>
          </w:p>
        </w:tc>
      </w:tr>
      <w:tr w:rsidR="008A46E2" w:rsidRPr="008A46E2" w:rsidTr="00CA5FBB">
        <w:trPr>
          <w:cantSplit/>
          <w:trHeight w:val="315"/>
          <w:jc w:val="center"/>
        </w:trPr>
        <w:tc>
          <w:tcPr>
            <w:tcW w:w="3193" w:type="dxa"/>
            <w:tcBorders>
              <w:top w:val="nil"/>
              <w:bottom w:val="nil"/>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 </w:t>
            </w:r>
          </w:p>
        </w:tc>
        <w:tc>
          <w:tcPr>
            <w:tcW w:w="2697" w:type="dxa"/>
            <w:tcBorders>
              <w:left w:val="nil"/>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Hamada and Chatani 2003</w:t>
            </w:r>
          </w:p>
        </w:tc>
        <w:tc>
          <w:tcPr>
            <w:tcW w:w="1813" w:type="dxa"/>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radiographic</w:t>
            </w:r>
          </w:p>
        </w:tc>
        <w:tc>
          <w:tcPr>
            <w:tcW w:w="1444" w:type="dxa"/>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12</w:t>
            </w:r>
          </w:p>
        </w:tc>
      </w:tr>
      <w:tr w:rsidR="008A46E2" w:rsidRPr="008A46E2" w:rsidTr="00CA5FBB">
        <w:trPr>
          <w:cantSplit/>
          <w:trHeight w:val="315"/>
          <w:jc w:val="center"/>
        </w:trPr>
        <w:tc>
          <w:tcPr>
            <w:tcW w:w="3193" w:type="dxa"/>
            <w:tcBorders>
              <w:top w:val="nil"/>
              <w:bottom w:val="nil"/>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 </w:t>
            </w:r>
          </w:p>
        </w:tc>
        <w:tc>
          <w:tcPr>
            <w:tcW w:w="2697" w:type="dxa"/>
            <w:tcBorders>
              <w:left w:val="nil"/>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Nissen and Riesen 1949a,b</w:t>
            </w:r>
          </w:p>
        </w:tc>
        <w:tc>
          <w:tcPr>
            <w:tcW w:w="1813" w:type="dxa"/>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radiographic</w:t>
            </w:r>
          </w:p>
        </w:tc>
        <w:tc>
          <w:tcPr>
            <w:tcW w:w="1444" w:type="dxa"/>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16</w:t>
            </w:r>
          </w:p>
        </w:tc>
      </w:tr>
      <w:tr w:rsidR="008A46E2" w:rsidRPr="008A46E2" w:rsidTr="00CA5FBB">
        <w:trPr>
          <w:cantSplit/>
          <w:trHeight w:val="315"/>
          <w:jc w:val="center"/>
        </w:trPr>
        <w:tc>
          <w:tcPr>
            <w:tcW w:w="3193" w:type="dxa"/>
            <w:tcBorders>
              <w:top w:val="nil"/>
              <w:bottom w:val="single" w:sz="4" w:space="0" w:color="auto"/>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 </w:t>
            </w:r>
          </w:p>
        </w:tc>
        <w:tc>
          <w:tcPr>
            <w:tcW w:w="2697" w:type="dxa"/>
            <w:tcBorders>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Watts 1971, 1985</w:t>
            </w:r>
          </w:p>
        </w:tc>
        <w:tc>
          <w:tcPr>
            <w:tcW w:w="1813" w:type="dxa"/>
            <w:tcBorders>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radiographic</w:t>
            </w:r>
          </w:p>
        </w:tc>
        <w:tc>
          <w:tcPr>
            <w:tcW w:w="1444" w:type="dxa"/>
            <w:tcBorders>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w:t>
            </w:r>
            <w:r w:rsidR="00775BDF" w:rsidRPr="00775BDF">
              <w:rPr>
                <w:rFonts w:eastAsia="Times New Roman"/>
                <w:color w:val="000000"/>
                <w:vertAlign w:val="superscript"/>
                <w:lang w:val="en-GB" w:eastAsia="en-GB"/>
              </w:rPr>
              <w:t>1.</w:t>
            </w:r>
          </w:p>
        </w:tc>
      </w:tr>
      <w:tr w:rsidR="008A46E2" w:rsidRPr="008A46E2" w:rsidTr="00CA5FBB">
        <w:trPr>
          <w:cantSplit/>
          <w:trHeight w:val="315"/>
          <w:jc w:val="center"/>
        </w:trPr>
        <w:tc>
          <w:tcPr>
            <w:tcW w:w="3193" w:type="dxa"/>
            <w:tcBorders>
              <w:top w:val="single" w:sz="4" w:space="0" w:color="auto"/>
              <w:bottom w:val="single" w:sz="4" w:space="0" w:color="auto"/>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olecranon, proximal and distal humerus</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Schultz 1940</w:t>
            </w:r>
          </w:p>
        </w:tc>
        <w:tc>
          <w:tcPr>
            <w:tcW w:w="1813"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dry-bone</w:t>
            </w:r>
          </w:p>
        </w:tc>
        <w:tc>
          <w:tcPr>
            <w:tcW w:w="1444"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63</w:t>
            </w:r>
          </w:p>
        </w:tc>
      </w:tr>
      <w:tr w:rsidR="008A46E2" w:rsidRPr="008A46E2" w:rsidTr="00CA5FBB">
        <w:trPr>
          <w:cantSplit/>
          <w:trHeight w:val="315"/>
          <w:jc w:val="center"/>
        </w:trPr>
        <w:tc>
          <w:tcPr>
            <w:tcW w:w="3193" w:type="dxa"/>
            <w:tcBorders>
              <w:top w:val="single" w:sz="4" w:space="0" w:color="auto"/>
              <w:bottom w:val="single" w:sz="4" w:space="0" w:color="auto"/>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distal epiphyses of limb bones</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Winkler 1996</w:t>
            </w:r>
          </w:p>
        </w:tc>
        <w:tc>
          <w:tcPr>
            <w:tcW w:w="1813"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dry-bone</w:t>
            </w:r>
          </w:p>
        </w:tc>
        <w:tc>
          <w:tcPr>
            <w:tcW w:w="1444"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10</w:t>
            </w:r>
          </w:p>
        </w:tc>
      </w:tr>
      <w:tr w:rsidR="008A46E2" w:rsidRPr="008A46E2" w:rsidTr="00CA5FBB">
        <w:trPr>
          <w:cantSplit/>
          <w:trHeight w:val="315"/>
          <w:jc w:val="center"/>
        </w:trPr>
        <w:tc>
          <w:tcPr>
            <w:tcW w:w="3193" w:type="dxa"/>
            <w:tcBorders>
              <w:top w:val="single" w:sz="4" w:space="0" w:color="auto"/>
              <w:bottom w:val="single" w:sz="4" w:space="0" w:color="auto"/>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histology of distal humerus, acetabulum and acromial process</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Kerley 1966</w:t>
            </w:r>
          </w:p>
        </w:tc>
        <w:tc>
          <w:tcPr>
            <w:tcW w:w="1813"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histological</w:t>
            </w:r>
          </w:p>
        </w:tc>
        <w:tc>
          <w:tcPr>
            <w:tcW w:w="1444"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30</w:t>
            </w:r>
          </w:p>
        </w:tc>
      </w:tr>
      <w:tr w:rsidR="008A46E2" w:rsidRPr="008A46E2" w:rsidTr="00CA5FBB">
        <w:trPr>
          <w:cantSplit/>
          <w:trHeight w:val="315"/>
          <w:jc w:val="center"/>
        </w:trPr>
        <w:tc>
          <w:tcPr>
            <w:tcW w:w="3193" w:type="dxa"/>
            <w:tcBorders>
              <w:top w:val="single" w:sz="4" w:space="0" w:color="auto"/>
              <w:bottom w:val="nil"/>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multiple post-cranial fusion sites</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Bolter and Zihlman 2012</w:t>
            </w:r>
          </w:p>
        </w:tc>
        <w:tc>
          <w:tcPr>
            <w:tcW w:w="1813"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dry-bone</w:t>
            </w:r>
          </w:p>
        </w:tc>
        <w:tc>
          <w:tcPr>
            <w:tcW w:w="1444"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10</w:t>
            </w:r>
          </w:p>
        </w:tc>
      </w:tr>
      <w:tr w:rsidR="008A46E2" w:rsidRPr="008A46E2" w:rsidTr="00CA5FBB">
        <w:trPr>
          <w:cantSplit/>
          <w:trHeight w:val="337"/>
          <w:jc w:val="center"/>
        </w:trPr>
        <w:tc>
          <w:tcPr>
            <w:tcW w:w="3193" w:type="dxa"/>
            <w:tcBorders>
              <w:top w:val="nil"/>
              <w:bottom w:val="nil"/>
            </w:tcBorders>
            <w:shd w:val="clear" w:color="auto" w:fill="auto"/>
            <w:noWrap/>
            <w:vAlign w:val="center"/>
            <w:hideMark/>
          </w:tcPr>
          <w:p w:rsidR="008A46E2" w:rsidRPr="008A46E2" w:rsidRDefault="005B33F8" w:rsidP="004D08BA">
            <w:pPr>
              <w:spacing w:before="0" w:line="240" w:lineRule="auto"/>
              <w:jc w:val="left"/>
              <w:rPr>
                <w:rFonts w:eastAsia="Times New Roman"/>
                <w:color w:val="000000"/>
                <w:lang w:val="en-GB" w:eastAsia="en-GB"/>
              </w:rPr>
            </w:pPr>
            <w:r>
              <w:rPr>
                <w:rFonts w:eastAsia="Times New Roman"/>
                <w:color w:val="000000"/>
                <w:lang w:val="en-GB" w:eastAsia="en-GB"/>
              </w:rPr>
              <w:t>(more than one region of the skeleton)</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Kerley 1966</w:t>
            </w:r>
          </w:p>
        </w:tc>
        <w:tc>
          <w:tcPr>
            <w:tcW w:w="1813" w:type="dxa"/>
            <w:tcBorders>
              <w:top w:val="single" w:sz="4" w:space="0" w:color="auto"/>
              <w:bottom w:val="single" w:sz="4" w:space="0" w:color="auto"/>
            </w:tcBorders>
            <w:shd w:val="clear" w:color="auto" w:fill="auto"/>
            <w:noWrap/>
            <w:vAlign w:val="center"/>
            <w:hideMark/>
          </w:tcPr>
          <w:p w:rsidR="00A35CA0" w:rsidRDefault="00871462"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radiographic</w:t>
            </w:r>
          </w:p>
        </w:tc>
        <w:tc>
          <w:tcPr>
            <w:tcW w:w="1444" w:type="dxa"/>
            <w:tcBorders>
              <w:top w:val="single" w:sz="4" w:space="0" w:color="auto"/>
              <w:bottom w:val="single" w:sz="4" w:space="0" w:color="auto"/>
            </w:tcBorders>
            <w:shd w:val="clear" w:color="auto" w:fill="auto"/>
            <w:noWrap/>
            <w:vAlign w:val="center"/>
            <w:hideMark/>
          </w:tcPr>
          <w:p w:rsidR="00A35CA0" w:rsidRDefault="008776A1"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w:t>
            </w:r>
            <w:r w:rsidR="00871462">
              <w:rPr>
                <w:rFonts w:eastAsia="Times New Roman"/>
                <w:color w:val="000000"/>
                <w:lang w:val="en-GB" w:eastAsia="en-GB"/>
              </w:rPr>
              <w:t>0</w:t>
            </w:r>
          </w:p>
        </w:tc>
      </w:tr>
      <w:tr w:rsidR="008A46E2" w:rsidRPr="008A46E2" w:rsidTr="00CA5FBB">
        <w:trPr>
          <w:cantSplit/>
          <w:trHeight w:val="315"/>
          <w:jc w:val="center"/>
        </w:trPr>
        <w:tc>
          <w:tcPr>
            <w:tcW w:w="3193" w:type="dxa"/>
            <w:tcBorders>
              <w:top w:val="nil"/>
              <w:bottom w:val="nil"/>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 </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King 2004</w:t>
            </w:r>
          </w:p>
        </w:tc>
        <w:tc>
          <w:tcPr>
            <w:tcW w:w="1813"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dry-bone</w:t>
            </w:r>
          </w:p>
        </w:tc>
        <w:tc>
          <w:tcPr>
            <w:tcW w:w="1444"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86</w:t>
            </w:r>
          </w:p>
        </w:tc>
      </w:tr>
      <w:tr w:rsidR="008A46E2" w:rsidRPr="008A46E2" w:rsidTr="00CA5FBB">
        <w:trPr>
          <w:cantSplit/>
          <w:trHeight w:val="315"/>
          <w:jc w:val="center"/>
        </w:trPr>
        <w:tc>
          <w:tcPr>
            <w:tcW w:w="3193" w:type="dxa"/>
            <w:tcBorders>
              <w:top w:val="nil"/>
              <w:bottom w:val="single" w:sz="4" w:space="0" w:color="auto"/>
            </w:tcBorders>
            <w:shd w:val="clear" w:color="auto" w:fill="auto"/>
            <w:noWrap/>
            <w:vAlign w:val="center"/>
            <w:hideMark/>
          </w:tcPr>
          <w:p w:rsidR="008A46E2" w:rsidRPr="008A46E2" w:rsidRDefault="008A46E2" w:rsidP="004D08BA">
            <w:pPr>
              <w:spacing w:before="0" w:line="240" w:lineRule="auto"/>
              <w:jc w:val="left"/>
              <w:rPr>
                <w:rFonts w:eastAsia="Times New Roman"/>
                <w:color w:val="000000"/>
                <w:lang w:val="en-GB" w:eastAsia="en-GB"/>
              </w:rPr>
            </w:pPr>
            <w:r w:rsidRPr="008A46E2">
              <w:rPr>
                <w:rFonts w:eastAsia="Times New Roman"/>
                <w:color w:val="000000"/>
                <w:lang w:val="en-GB" w:eastAsia="en-GB"/>
              </w:rPr>
              <w:t> </w:t>
            </w:r>
          </w:p>
        </w:tc>
        <w:tc>
          <w:tcPr>
            <w:tcW w:w="2697" w:type="dxa"/>
            <w:tcBorders>
              <w:top w:val="single" w:sz="4" w:space="0" w:color="auto"/>
              <w:left w:val="nil"/>
              <w:bottom w:val="single" w:sz="4" w:space="0" w:color="auto"/>
            </w:tcBorders>
            <w:shd w:val="clear" w:color="auto" w:fill="auto"/>
            <w:noWrap/>
            <w:vAlign w:val="center"/>
            <w:hideMark/>
          </w:tcPr>
          <w:p w:rsidR="008A46E2" w:rsidRPr="008A46E2" w:rsidRDefault="008A46E2" w:rsidP="00960919">
            <w:pPr>
              <w:spacing w:before="0" w:line="240" w:lineRule="auto"/>
              <w:jc w:val="left"/>
              <w:rPr>
                <w:rFonts w:eastAsia="Times New Roman"/>
                <w:color w:val="000000"/>
                <w:lang w:val="en-GB" w:eastAsia="en-GB"/>
              </w:rPr>
            </w:pPr>
            <w:r w:rsidRPr="008A46E2">
              <w:rPr>
                <w:rFonts w:eastAsia="Times New Roman"/>
                <w:color w:val="000000"/>
                <w:lang w:val="en-GB" w:eastAsia="en-GB"/>
              </w:rPr>
              <w:t xml:space="preserve">Zihlman </w:t>
            </w:r>
            <w:r w:rsidRPr="008A46E2">
              <w:rPr>
                <w:rFonts w:eastAsia="Times New Roman"/>
                <w:i/>
                <w:iCs/>
                <w:color w:val="000000"/>
                <w:lang w:val="en-GB" w:eastAsia="en-GB"/>
              </w:rPr>
              <w:t>et al.</w:t>
            </w:r>
            <w:r w:rsidRPr="008A46E2">
              <w:rPr>
                <w:rFonts w:eastAsia="Times New Roman"/>
                <w:color w:val="000000"/>
                <w:lang w:val="en-GB" w:eastAsia="en-GB"/>
              </w:rPr>
              <w:t xml:space="preserve"> 2007</w:t>
            </w:r>
          </w:p>
        </w:tc>
        <w:tc>
          <w:tcPr>
            <w:tcW w:w="1813"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dry-bone</w:t>
            </w:r>
          </w:p>
        </w:tc>
        <w:tc>
          <w:tcPr>
            <w:tcW w:w="1444" w:type="dxa"/>
            <w:tcBorders>
              <w:top w:val="single" w:sz="4" w:space="0" w:color="auto"/>
              <w:bottom w:val="single" w:sz="4" w:space="0" w:color="auto"/>
            </w:tcBorders>
            <w:shd w:val="clear" w:color="auto" w:fill="auto"/>
            <w:noWrap/>
            <w:vAlign w:val="center"/>
            <w:hideMark/>
          </w:tcPr>
          <w:p w:rsidR="00A35CA0" w:rsidRDefault="008A46E2" w:rsidP="00CA5FBB">
            <w:pPr>
              <w:spacing w:before="0" w:line="240" w:lineRule="auto"/>
              <w:jc w:val="center"/>
              <w:rPr>
                <w:rFonts w:eastAsia="Times New Roman"/>
                <w:color w:val="000000"/>
                <w:sz w:val="24"/>
                <w:szCs w:val="24"/>
                <w:lang w:val="en-GB" w:eastAsia="en-GB"/>
              </w:rPr>
            </w:pPr>
            <w:r w:rsidRPr="008A46E2">
              <w:rPr>
                <w:rFonts w:eastAsia="Times New Roman"/>
                <w:color w:val="000000"/>
                <w:lang w:val="en-GB" w:eastAsia="en-GB"/>
              </w:rPr>
              <w:t>22</w:t>
            </w:r>
          </w:p>
        </w:tc>
      </w:tr>
    </w:tbl>
    <w:p w:rsidR="00A35CA0" w:rsidRDefault="00D557BE" w:rsidP="00CA5FBB">
      <w:pPr>
        <w:pStyle w:val="ListParagraph"/>
        <w:spacing w:before="120" w:line="240" w:lineRule="auto"/>
        <w:ind w:left="0"/>
        <w:jc w:val="left"/>
        <w:rPr>
          <w:noProof/>
          <w:sz w:val="20"/>
          <w:szCs w:val="20"/>
        </w:rPr>
      </w:pPr>
      <w:r>
        <w:rPr>
          <w:noProof/>
          <w:sz w:val="20"/>
          <w:szCs w:val="20"/>
        </w:rPr>
        <w:t xml:space="preserve">1. </w:t>
      </w:r>
      <w:r w:rsidR="00775BDF" w:rsidRPr="00775BDF">
        <w:rPr>
          <w:noProof/>
          <w:sz w:val="20"/>
          <w:szCs w:val="20"/>
        </w:rPr>
        <w:t xml:space="preserve">These </w:t>
      </w:r>
      <w:r w:rsidR="00297BD5">
        <w:rPr>
          <w:noProof/>
          <w:sz w:val="20"/>
          <w:szCs w:val="20"/>
        </w:rPr>
        <w:t xml:space="preserve">values </w:t>
      </w:r>
      <w:r w:rsidR="00775BDF" w:rsidRPr="00775BDF">
        <w:rPr>
          <w:noProof/>
          <w:sz w:val="20"/>
          <w:szCs w:val="20"/>
        </w:rPr>
        <w:t>have not been obtained.</w:t>
      </w:r>
    </w:p>
    <w:p w:rsidR="00255001" w:rsidRDefault="00604DEA" w:rsidP="00804B20">
      <w:pPr>
        <w:rPr>
          <w:b/>
          <w:color w:val="000000"/>
          <w:lang w:val="en-CA"/>
        </w:rPr>
      </w:pPr>
      <w:r>
        <w:rPr>
          <w:noProof/>
        </w:rPr>
        <w:t xml:space="preserve">It is evident from </w:t>
      </w:r>
      <w:r w:rsidR="00A17646">
        <w:rPr>
          <w:noProof/>
        </w:rPr>
        <w:t>T</w:t>
      </w:r>
      <w:r>
        <w:rPr>
          <w:noProof/>
        </w:rPr>
        <w:t>able 2.3 that the majority of past studies</w:t>
      </w:r>
      <w:r w:rsidR="00EC0F22">
        <w:rPr>
          <w:noProof/>
        </w:rPr>
        <w:t xml:space="preserve"> of speci</w:t>
      </w:r>
      <w:r w:rsidR="008328D3">
        <w:rPr>
          <w:noProof/>
        </w:rPr>
        <w:t>fic skeletal elements have focu</w:t>
      </w:r>
      <w:r w:rsidR="00EC0F22">
        <w:rPr>
          <w:noProof/>
        </w:rPr>
        <w:t xml:space="preserve">sed on hand/wrist and easily observable limb epiphyses.  The lack of diversity in different skeletal elements among different studies has meant that a cohesive picture of fusion cannot be ascertained by combining results.  There is also a mixture of radiographic and dry-bone </w:t>
      </w:r>
      <w:r w:rsidR="008C5545">
        <w:rPr>
          <w:noProof/>
        </w:rPr>
        <w:t>research</w:t>
      </w:r>
      <w:r w:rsidR="00EC0F22">
        <w:rPr>
          <w:noProof/>
        </w:rPr>
        <w:t>, with radiographic ob</w:t>
      </w:r>
      <w:r w:rsidR="00EC0F22" w:rsidRPr="00EC0F22">
        <w:rPr>
          <w:noProof/>
        </w:rPr>
        <w:t xml:space="preserve">servation exclusive to hand/wrist fusion.  The differing sources for the samples of each of these specific element studies also leaves open the possibility of </w:t>
      </w:r>
      <w:r w:rsidR="00EC0F22">
        <w:rPr>
          <w:noProof/>
        </w:rPr>
        <w:t xml:space="preserve">inconsistency between samples due to unanticipated environmental variables such as </w:t>
      </w:r>
      <w:r w:rsidR="00EC0F22" w:rsidRPr="00EC0F22">
        <w:rPr>
          <w:noProof/>
        </w:rPr>
        <w:t>nutritional stress.</w:t>
      </w:r>
    </w:p>
    <w:p w:rsidR="006367AB" w:rsidRDefault="005B33F8" w:rsidP="00804B20">
      <w:pPr>
        <w:rPr>
          <w:noProof/>
        </w:rPr>
      </w:pPr>
      <w:r>
        <w:rPr>
          <w:noProof/>
        </w:rPr>
        <w:t>There have been only four</w:t>
      </w:r>
      <w:r w:rsidR="00650A72">
        <w:rPr>
          <w:noProof/>
        </w:rPr>
        <w:t xml:space="preserve"> </w:t>
      </w:r>
      <w:r>
        <w:rPr>
          <w:noProof/>
        </w:rPr>
        <w:t>mutiple post-cranial f</w:t>
      </w:r>
      <w:r w:rsidR="00B21F40">
        <w:rPr>
          <w:noProof/>
        </w:rPr>
        <w:t>usion site studies, these being</w:t>
      </w:r>
      <w:r>
        <w:rPr>
          <w:noProof/>
        </w:rPr>
        <w:t xml:space="preserve"> </w:t>
      </w:r>
      <w:r w:rsidR="000738FB">
        <w:rPr>
          <w:noProof/>
        </w:rPr>
        <w:t>Bolter and Zi</w:t>
      </w:r>
      <w:r w:rsidR="006110DE">
        <w:rPr>
          <w:noProof/>
        </w:rPr>
        <w:t>h</w:t>
      </w:r>
      <w:r w:rsidR="000738FB">
        <w:rPr>
          <w:noProof/>
        </w:rPr>
        <w:t>l</w:t>
      </w:r>
      <w:r w:rsidR="006110DE">
        <w:rPr>
          <w:noProof/>
        </w:rPr>
        <w:t xml:space="preserve">man </w:t>
      </w:r>
      <w:r w:rsidR="00BE2B07">
        <w:rPr>
          <w:noProof/>
        </w:rPr>
        <w:t>(</w:t>
      </w:r>
      <w:r w:rsidR="006110DE">
        <w:rPr>
          <w:noProof/>
        </w:rPr>
        <w:t>2012</w:t>
      </w:r>
      <w:r w:rsidR="00BE2B07">
        <w:rPr>
          <w:noProof/>
        </w:rPr>
        <w:t>)</w:t>
      </w:r>
      <w:r w:rsidR="006110DE">
        <w:rPr>
          <w:noProof/>
        </w:rPr>
        <w:t>,</w:t>
      </w:r>
      <w:r w:rsidR="00FF4693">
        <w:rPr>
          <w:noProof/>
        </w:rPr>
        <w:t xml:space="preserve"> Kerley </w:t>
      </w:r>
      <w:r w:rsidR="00BE2B07">
        <w:rPr>
          <w:noProof/>
        </w:rPr>
        <w:t>(</w:t>
      </w:r>
      <w:r w:rsidR="00FF4693">
        <w:rPr>
          <w:noProof/>
        </w:rPr>
        <w:t>1966</w:t>
      </w:r>
      <w:r w:rsidR="00BE2B07">
        <w:rPr>
          <w:noProof/>
        </w:rPr>
        <w:t>)</w:t>
      </w:r>
      <w:r w:rsidR="00FF4693">
        <w:rPr>
          <w:noProof/>
        </w:rPr>
        <w:t xml:space="preserve">, </w:t>
      </w:r>
      <w:r w:rsidR="00B21F40">
        <w:rPr>
          <w:noProof/>
        </w:rPr>
        <w:t xml:space="preserve">King </w:t>
      </w:r>
      <w:r w:rsidR="00BE2B07">
        <w:rPr>
          <w:noProof/>
        </w:rPr>
        <w:t>(</w:t>
      </w:r>
      <w:r w:rsidR="00B21F40">
        <w:rPr>
          <w:noProof/>
        </w:rPr>
        <w:t>2004</w:t>
      </w:r>
      <w:r w:rsidR="00BE2B07">
        <w:rPr>
          <w:noProof/>
        </w:rPr>
        <w:t>)</w:t>
      </w:r>
      <w:r w:rsidR="006110DE">
        <w:rPr>
          <w:noProof/>
        </w:rPr>
        <w:t xml:space="preserve"> and Zihlman </w:t>
      </w:r>
      <w:r w:rsidR="006110DE">
        <w:rPr>
          <w:i/>
          <w:noProof/>
        </w:rPr>
        <w:t>et al</w:t>
      </w:r>
      <w:r w:rsidR="005C26F4">
        <w:rPr>
          <w:i/>
          <w:noProof/>
        </w:rPr>
        <w:t>.</w:t>
      </w:r>
      <w:r w:rsidR="006110DE">
        <w:rPr>
          <w:i/>
          <w:noProof/>
        </w:rPr>
        <w:t xml:space="preserve"> </w:t>
      </w:r>
      <w:r w:rsidR="00BE2B07">
        <w:rPr>
          <w:noProof/>
        </w:rPr>
        <w:t>(</w:t>
      </w:r>
      <w:r>
        <w:rPr>
          <w:noProof/>
        </w:rPr>
        <w:t>2007</w:t>
      </w:r>
      <w:r w:rsidR="00BE2B07">
        <w:rPr>
          <w:noProof/>
        </w:rPr>
        <w:t>)</w:t>
      </w:r>
      <w:r w:rsidR="006110DE">
        <w:rPr>
          <w:noProof/>
        </w:rPr>
        <w:t xml:space="preserve">.  </w:t>
      </w:r>
      <w:r w:rsidR="0085564C">
        <w:rPr>
          <w:noProof/>
        </w:rPr>
        <w:t>As noted previously, King (2004) was not concerned with producing a seriation of fusion events or estimating ages, but rather with placing chimpanzees in the context other primates using discriminant function analysis.  As such he made no contribution to describing the pattern of fusion in chimpanzees other than providing insights as to what should be expected given known patterns in other primates.</w:t>
      </w:r>
      <w:r w:rsidR="008506AA">
        <w:rPr>
          <w:noProof/>
        </w:rPr>
        <w:t xml:space="preserve">  </w:t>
      </w:r>
      <w:r w:rsidR="00297603">
        <w:rPr>
          <w:noProof/>
        </w:rPr>
        <w:t>C</w:t>
      </w:r>
      <w:r w:rsidR="008506AA">
        <w:rPr>
          <w:noProof/>
        </w:rPr>
        <w:t>himpanzees clustered apart from African monkey</w:t>
      </w:r>
      <w:r w:rsidR="00FF1665">
        <w:rPr>
          <w:noProof/>
        </w:rPr>
        <w:t>s</w:t>
      </w:r>
      <w:r w:rsidR="008506AA">
        <w:rPr>
          <w:noProof/>
        </w:rPr>
        <w:t xml:space="preserve"> and were distinct from gorillas.  The limitation of including both dentition and epiphyseal </w:t>
      </w:r>
      <w:r w:rsidR="008506AA">
        <w:rPr>
          <w:noProof/>
        </w:rPr>
        <w:lastRenderedPageBreak/>
        <w:t xml:space="preserve">fusion </w:t>
      </w:r>
      <w:r w:rsidR="005147B3">
        <w:rPr>
          <w:noProof/>
        </w:rPr>
        <w:t>in the analysis is</w:t>
      </w:r>
      <w:r w:rsidR="009F6EB8">
        <w:rPr>
          <w:noProof/>
        </w:rPr>
        <w:t xml:space="preserve"> </w:t>
      </w:r>
      <w:r w:rsidR="008506AA">
        <w:rPr>
          <w:noProof/>
        </w:rPr>
        <w:t xml:space="preserve">that it was not possible to determine if </w:t>
      </w:r>
      <w:r w:rsidR="00E308D1">
        <w:rPr>
          <w:noProof/>
        </w:rPr>
        <w:t>the</w:t>
      </w:r>
      <w:r w:rsidR="00C366F6">
        <w:rPr>
          <w:noProof/>
        </w:rPr>
        <w:t>se distinctions</w:t>
      </w:r>
      <w:r w:rsidR="00725B61">
        <w:rPr>
          <w:noProof/>
        </w:rPr>
        <w:t xml:space="preserve"> </w:t>
      </w:r>
      <w:r w:rsidR="00E308D1">
        <w:rPr>
          <w:noProof/>
        </w:rPr>
        <w:t xml:space="preserve">stemmed from </w:t>
      </w:r>
      <w:r w:rsidR="008506AA">
        <w:rPr>
          <w:noProof/>
        </w:rPr>
        <w:t>dental or epiphyseal fusion sequence</w:t>
      </w:r>
      <w:r w:rsidR="00E308D1">
        <w:rPr>
          <w:noProof/>
        </w:rPr>
        <w:t xml:space="preserve"> </w:t>
      </w:r>
      <w:r w:rsidR="00725B61">
        <w:rPr>
          <w:noProof/>
        </w:rPr>
        <w:t>differences</w:t>
      </w:r>
      <w:r w:rsidR="008506AA">
        <w:rPr>
          <w:noProof/>
        </w:rPr>
        <w:t>.</w:t>
      </w:r>
      <w:r w:rsidR="0085564C">
        <w:rPr>
          <w:noProof/>
        </w:rPr>
        <w:t xml:space="preserve">  </w:t>
      </w:r>
      <w:r w:rsidR="00FE608C">
        <w:rPr>
          <w:noProof/>
        </w:rPr>
        <w:t xml:space="preserve">With fusion patterns not explicitly defined in other species it is not possible to deduce fusion patterns in chimpanzees by these observations alone.  </w:t>
      </w:r>
    </w:p>
    <w:p w:rsidR="0085564C" w:rsidRDefault="003479C1" w:rsidP="00B83289">
      <w:pPr>
        <w:spacing w:before="120"/>
        <w:rPr>
          <w:noProof/>
        </w:rPr>
      </w:pPr>
      <w:r>
        <w:rPr>
          <w:noProof/>
        </w:rPr>
        <w:t>Of mu</w:t>
      </w:r>
      <w:r w:rsidR="00B21F40">
        <w:rPr>
          <w:noProof/>
        </w:rPr>
        <w:t>l</w:t>
      </w:r>
      <w:r>
        <w:rPr>
          <w:noProof/>
        </w:rPr>
        <w:t xml:space="preserve">tiple skeletal region studies, the study that provided information for the most comprehensive list of epiphyses was Kerley (1966) who </w:t>
      </w:r>
      <w:r w:rsidR="00076EB6">
        <w:rPr>
          <w:noProof/>
        </w:rPr>
        <w:t>listed state of fusion for 3</w:t>
      </w:r>
      <w:r w:rsidR="00BC7196">
        <w:rPr>
          <w:noProof/>
        </w:rPr>
        <w:t>1</w:t>
      </w:r>
      <w:r w:rsidR="00076EB6">
        <w:rPr>
          <w:noProof/>
        </w:rPr>
        <w:t xml:space="preserve"> different epiphyses</w:t>
      </w:r>
      <w:r w:rsidR="00115006">
        <w:rPr>
          <w:noProof/>
        </w:rPr>
        <w:t xml:space="preserve"> (</w:t>
      </w:r>
      <w:r w:rsidR="00A17646">
        <w:rPr>
          <w:noProof/>
        </w:rPr>
        <w:t>T</w:t>
      </w:r>
      <w:r w:rsidR="00115006">
        <w:rPr>
          <w:noProof/>
        </w:rPr>
        <w:t>able 2.4)</w:t>
      </w:r>
      <w:r w:rsidR="00076EB6">
        <w:rPr>
          <w:noProof/>
        </w:rPr>
        <w:t>.</w:t>
      </w:r>
      <w:r w:rsidR="000D60AE">
        <w:rPr>
          <w:noProof/>
        </w:rPr>
        <w:t xml:space="preserve">  However, the</w:t>
      </w:r>
      <w:r w:rsidR="00BC7196">
        <w:rPr>
          <w:noProof/>
        </w:rPr>
        <w:t xml:space="preserve"> determination of </w:t>
      </w:r>
      <w:r w:rsidR="000D60AE">
        <w:rPr>
          <w:noProof/>
        </w:rPr>
        <w:t>fusion sequences</w:t>
      </w:r>
      <w:r w:rsidR="00BC7196">
        <w:rPr>
          <w:noProof/>
        </w:rPr>
        <w:t xml:space="preserve"> in this study was fundamentally limited by sample size for younger age ranges</w:t>
      </w:r>
      <w:r w:rsidR="00FB0906">
        <w:rPr>
          <w:noProof/>
        </w:rPr>
        <w:t xml:space="preserve"> and the number of individuals used for assessing these epiphyses was only 10, as opposed to the entire sample used for histology which was 30</w:t>
      </w:r>
      <w:r w:rsidR="00BC7196">
        <w:rPr>
          <w:noProof/>
        </w:rPr>
        <w:t xml:space="preserve">.  For most epiphyses only one or two individuals was observed to be fusing and for 7 epiphyses no individuals were observed </w:t>
      </w:r>
      <w:r w:rsidR="00565EBD">
        <w:rPr>
          <w:noProof/>
        </w:rPr>
        <w:t xml:space="preserve">as </w:t>
      </w:r>
      <w:r w:rsidR="00BC7196">
        <w:rPr>
          <w:noProof/>
        </w:rPr>
        <w:t>fusing at all.  As such, Kerley’s (1966) data only provides very approximate ages for fusion of elements other than those of later stage</w:t>
      </w:r>
      <w:r w:rsidR="001D430A">
        <w:rPr>
          <w:noProof/>
        </w:rPr>
        <w:t>.  For those of later stages, typically only 5 or 6 individuals contributed data, although with a high degree of overlap sequences</w:t>
      </w:r>
      <w:r w:rsidR="00D36477">
        <w:rPr>
          <w:noProof/>
        </w:rPr>
        <w:t xml:space="preserve"> were not discernable.</w:t>
      </w:r>
    </w:p>
    <w:p w:rsidR="00722BEB" w:rsidRDefault="00D557BE" w:rsidP="00B83289">
      <w:pPr>
        <w:pStyle w:val="Caption"/>
        <w:spacing w:after="120"/>
      </w:pPr>
      <w:bookmarkStart w:id="47" w:name="_Toc373180105"/>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4</w:t>
      </w:r>
      <w:r w:rsidR="008943E4">
        <w:rPr>
          <w:b/>
        </w:rPr>
        <w:fldChar w:fldCharType="end"/>
      </w:r>
      <w:r w:rsidR="00722BEB">
        <w:t xml:space="preserve"> Fusion centres observed by Kerley (1966).</w:t>
      </w:r>
      <w:bookmarkEnd w:id="47"/>
    </w:p>
    <w:tbl>
      <w:tblPr>
        <w:tblW w:w="6563" w:type="dxa"/>
        <w:jc w:val="center"/>
        <w:tblLook w:val="04A0" w:firstRow="1" w:lastRow="0" w:firstColumn="1" w:lastColumn="0" w:noHBand="0" w:noVBand="1"/>
      </w:tblPr>
      <w:tblGrid>
        <w:gridCol w:w="3916"/>
        <w:gridCol w:w="2647"/>
      </w:tblGrid>
      <w:tr w:rsidR="00960919" w:rsidRPr="00722BEB" w:rsidTr="00960919">
        <w:trPr>
          <w:trHeight w:val="300"/>
          <w:jc w:val="center"/>
        </w:trPr>
        <w:tc>
          <w:tcPr>
            <w:tcW w:w="6563" w:type="dxa"/>
            <w:gridSpan w:val="2"/>
            <w:tcBorders>
              <w:top w:val="single" w:sz="4" w:space="0" w:color="auto"/>
              <w:bottom w:val="single" w:sz="4" w:space="0" w:color="auto"/>
            </w:tcBorders>
            <w:shd w:val="clear" w:color="auto" w:fill="auto"/>
            <w:noWrap/>
            <w:vAlign w:val="center"/>
            <w:hideMark/>
          </w:tcPr>
          <w:p w:rsidR="00960919" w:rsidRPr="005E3FA0" w:rsidRDefault="00F55543" w:rsidP="00960919">
            <w:pPr>
              <w:spacing w:before="0" w:line="240" w:lineRule="auto"/>
              <w:jc w:val="center"/>
              <w:rPr>
                <w:rFonts w:eastAsia="Times New Roman"/>
                <w:b/>
                <w:color w:val="000000"/>
                <w:lang w:val="en-GB" w:eastAsia="en-GB"/>
              </w:rPr>
            </w:pPr>
            <w:r>
              <w:rPr>
                <w:rFonts w:eastAsia="Times New Roman"/>
                <w:b/>
                <w:color w:val="000000"/>
                <w:lang w:val="en-GB" w:eastAsia="en-GB"/>
              </w:rPr>
              <w:t>f</w:t>
            </w:r>
            <w:r w:rsidR="00960919" w:rsidRPr="005E3FA0">
              <w:rPr>
                <w:rFonts w:eastAsia="Times New Roman"/>
                <w:b/>
                <w:color w:val="000000"/>
                <w:lang w:val="en-GB" w:eastAsia="en-GB"/>
              </w:rPr>
              <w:t>usion centres observed by Kerley (1966)</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proximal humerus</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lumbar vertebrae</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1E7116" w:rsidP="00960919">
            <w:pPr>
              <w:spacing w:before="0" w:line="240" w:lineRule="auto"/>
              <w:jc w:val="left"/>
              <w:rPr>
                <w:rFonts w:eastAsia="Times New Roman"/>
                <w:color w:val="000000"/>
                <w:lang w:val="en-GB" w:eastAsia="en-GB"/>
              </w:rPr>
            </w:pPr>
            <w:r>
              <w:rPr>
                <w:rFonts w:eastAsia="Times New Roman"/>
                <w:color w:val="000000"/>
                <w:lang w:val="en-GB" w:eastAsia="en-GB"/>
              </w:rPr>
              <w:t>distal humerus</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iliac crest</w:t>
            </w:r>
          </w:p>
        </w:tc>
      </w:tr>
      <w:tr w:rsidR="00722BEB" w:rsidRPr="00722BEB" w:rsidTr="00960919">
        <w:trPr>
          <w:trHeight w:val="360"/>
          <w:jc w:val="center"/>
        </w:trPr>
        <w:tc>
          <w:tcPr>
            <w:tcW w:w="3916" w:type="dxa"/>
            <w:tcBorders>
              <w:top w:val="nil"/>
              <w:bottom w:val="nil"/>
              <w:right w:val="nil"/>
            </w:tcBorders>
            <w:shd w:val="clear" w:color="auto" w:fill="auto"/>
            <w:noWrap/>
            <w:vAlign w:val="center"/>
            <w:hideMark/>
          </w:tcPr>
          <w:p w:rsidR="00722BEB" w:rsidRPr="00722BEB" w:rsidRDefault="006B4728" w:rsidP="00960919">
            <w:pPr>
              <w:spacing w:before="0" w:line="240" w:lineRule="auto"/>
              <w:jc w:val="left"/>
              <w:rPr>
                <w:rFonts w:eastAsia="Times New Roman"/>
                <w:color w:val="000000"/>
                <w:lang w:val="en-GB" w:eastAsia="en-GB"/>
              </w:rPr>
            </w:pPr>
            <w:r>
              <w:rPr>
                <w:noProof/>
              </w:rPr>
              <w:t xml:space="preserve">humeral </w:t>
            </w:r>
            <w:r w:rsidR="00722BEB" w:rsidRPr="00722BEB">
              <w:rPr>
                <w:rFonts w:eastAsia="Times New Roman"/>
                <w:color w:val="000000"/>
                <w:lang w:val="en-GB" w:eastAsia="en-GB"/>
              </w:rPr>
              <w:t>medial epicondyle</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triradiate</w:t>
            </w:r>
          </w:p>
        </w:tc>
      </w:tr>
      <w:tr w:rsidR="00722BEB" w:rsidRPr="00722BEB" w:rsidTr="00960919">
        <w:trPr>
          <w:trHeight w:val="36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proximal radius</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ischium</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distal radius</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femoral head</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proximal ulna</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greater trochanter</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distal ulna</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lesser trochanter</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metacarpal heads 2-5</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distal femur</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phalanges (hand)</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proximal tibia</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medial border of scapula</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distal tibia</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acromium</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proximal fibula</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coracoid</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distal fibula</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medial clavicle</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calcaneus</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ribs</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metatarsal heads 2-5</w:t>
            </w:r>
          </w:p>
        </w:tc>
      </w:tr>
      <w:tr w:rsidR="00722BEB" w:rsidRPr="00722BEB" w:rsidTr="00960919">
        <w:trPr>
          <w:trHeight w:val="300"/>
          <w:jc w:val="center"/>
        </w:trPr>
        <w:tc>
          <w:tcPr>
            <w:tcW w:w="3916" w:type="dxa"/>
            <w:tcBorders>
              <w:top w:val="nil"/>
              <w:bottom w:val="nil"/>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cervical vertebrae</w:t>
            </w:r>
          </w:p>
        </w:tc>
        <w:tc>
          <w:tcPr>
            <w:tcW w:w="2647" w:type="dxa"/>
            <w:tcBorders>
              <w:top w:val="nil"/>
              <w:left w:val="nil"/>
              <w:bottom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phalanges (foot)</w:t>
            </w:r>
          </w:p>
        </w:tc>
      </w:tr>
      <w:tr w:rsidR="00722BEB" w:rsidRPr="00722BEB" w:rsidTr="00960919">
        <w:trPr>
          <w:trHeight w:val="300"/>
          <w:jc w:val="center"/>
        </w:trPr>
        <w:tc>
          <w:tcPr>
            <w:tcW w:w="3916" w:type="dxa"/>
            <w:tcBorders>
              <w:top w:val="nil"/>
              <w:bottom w:val="single" w:sz="4" w:space="0" w:color="auto"/>
              <w:right w:val="nil"/>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thoracic vertebrae</w:t>
            </w:r>
          </w:p>
        </w:tc>
        <w:tc>
          <w:tcPr>
            <w:tcW w:w="2647" w:type="dxa"/>
            <w:tcBorders>
              <w:top w:val="nil"/>
              <w:left w:val="nil"/>
              <w:bottom w:val="single" w:sz="4" w:space="0" w:color="auto"/>
            </w:tcBorders>
            <w:shd w:val="clear" w:color="auto" w:fill="auto"/>
            <w:noWrap/>
            <w:vAlign w:val="center"/>
            <w:hideMark/>
          </w:tcPr>
          <w:p w:rsidR="00722BEB" w:rsidRPr="00722BEB" w:rsidRDefault="00722BEB" w:rsidP="00960919">
            <w:pPr>
              <w:spacing w:before="0" w:line="240" w:lineRule="auto"/>
              <w:jc w:val="left"/>
              <w:rPr>
                <w:rFonts w:eastAsia="Times New Roman"/>
                <w:color w:val="000000"/>
                <w:lang w:val="en-GB" w:eastAsia="en-GB"/>
              </w:rPr>
            </w:pPr>
            <w:r w:rsidRPr="00722BEB">
              <w:rPr>
                <w:rFonts w:eastAsia="Times New Roman"/>
                <w:color w:val="000000"/>
                <w:lang w:val="en-GB" w:eastAsia="en-GB"/>
              </w:rPr>
              <w:t> </w:t>
            </w:r>
          </w:p>
        </w:tc>
      </w:tr>
    </w:tbl>
    <w:p w:rsidR="00DA5557" w:rsidRDefault="00DD4A6D" w:rsidP="00804B20">
      <w:pPr>
        <w:rPr>
          <w:noProof/>
        </w:rPr>
      </w:pPr>
      <w:r>
        <w:rPr>
          <w:noProof/>
        </w:rPr>
        <w:t>Kerley’s (1966) data w</w:t>
      </w:r>
      <w:r w:rsidR="00931B61">
        <w:rPr>
          <w:noProof/>
        </w:rPr>
        <w:t>ere</w:t>
      </w:r>
      <w:r>
        <w:rPr>
          <w:noProof/>
        </w:rPr>
        <w:t xml:space="preserve"> very useful for suggesting which epi</w:t>
      </w:r>
      <w:r w:rsidR="0002764E">
        <w:rPr>
          <w:noProof/>
        </w:rPr>
        <w:t>physes fall later within the se</w:t>
      </w:r>
      <w:r>
        <w:rPr>
          <w:noProof/>
        </w:rPr>
        <w:t>q</w:t>
      </w:r>
      <w:r w:rsidR="0002764E">
        <w:rPr>
          <w:noProof/>
        </w:rPr>
        <w:t>u</w:t>
      </w:r>
      <w:r>
        <w:rPr>
          <w:noProof/>
        </w:rPr>
        <w:t xml:space="preserve">ence of fusion.  These epiphyses were clearly the proximal humerus, </w:t>
      </w:r>
      <w:r w:rsidR="005F6550">
        <w:rPr>
          <w:noProof/>
        </w:rPr>
        <w:t xml:space="preserve">the medial border of the scapula, the ischium, </w:t>
      </w:r>
      <w:r>
        <w:rPr>
          <w:noProof/>
        </w:rPr>
        <w:t xml:space="preserve">the iliac crest, and the medial clavicle.  </w:t>
      </w:r>
      <w:r w:rsidR="00931B61">
        <w:rPr>
          <w:noProof/>
        </w:rPr>
        <w:t xml:space="preserve">However, </w:t>
      </w:r>
      <w:r w:rsidR="0002764E">
        <w:rPr>
          <w:noProof/>
        </w:rPr>
        <w:t>Kerley’s sample was derived purely from captive individuals</w:t>
      </w:r>
      <w:r w:rsidR="00931B61">
        <w:rPr>
          <w:noProof/>
        </w:rPr>
        <w:t xml:space="preserve"> while</w:t>
      </w:r>
      <w:r w:rsidR="00565EBD">
        <w:rPr>
          <w:noProof/>
        </w:rPr>
        <w:t xml:space="preserve"> </w:t>
      </w:r>
      <w:r w:rsidR="0002764E">
        <w:rPr>
          <w:noProof/>
        </w:rPr>
        <w:t xml:space="preserve">Zihlman </w:t>
      </w:r>
      <w:r w:rsidR="0002764E">
        <w:rPr>
          <w:i/>
          <w:noProof/>
        </w:rPr>
        <w:t>et al</w:t>
      </w:r>
      <w:r w:rsidR="0002764E">
        <w:rPr>
          <w:noProof/>
        </w:rPr>
        <w:t xml:space="preserve">.’s (2007) more recent work has added </w:t>
      </w:r>
      <w:r w:rsidR="000F377D">
        <w:rPr>
          <w:noProof/>
        </w:rPr>
        <w:t>comparison with</w:t>
      </w:r>
      <w:r w:rsidR="00C029A5">
        <w:rPr>
          <w:noProof/>
        </w:rPr>
        <w:t xml:space="preserve"> wild </w:t>
      </w:r>
      <w:r w:rsidR="0002764E">
        <w:rPr>
          <w:noProof/>
        </w:rPr>
        <w:t>individuals</w:t>
      </w:r>
      <w:r w:rsidR="000F377D">
        <w:rPr>
          <w:noProof/>
        </w:rPr>
        <w:t xml:space="preserve"> for a more limited number of epiphyses</w:t>
      </w:r>
      <w:r w:rsidR="0002764E">
        <w:rPr>
          <w:noProof/>
        </w:rPr>
        <w:t>.</w:t>
      </w:r>
      <w:r w:rsidR="00E243BF">
        <w:rPr>
          <w:noProof/>
        </w:rPr>
        <w:t xml:space="preserve">  The epiphyses recorded by Zihlman </w:t>
      </w:r>
      <w:r w:rsidR="00E243BF">
        <w:rPr>
          <w:i/>
          <w:noProof/>
        </w:rPr>
        <w:t>et al</w:t>
      </w:r>
      <w:r w:rsidR="00E243BF">
        <w:rPr>
          <w:noProof/>
        </w:rPr>
        <w:t xml:space="preserve">. (2007) are shown in </w:t>
      </w:r>
      <w:r w:rsidR="00A17646">
        <w:rPr>
          <w:noProof/>
        </w:rPr>
        <w:t>T</w:t>
      </w:r>
      <w:r w:rsidR="00E243BF">
        <w:rPr>
          <w:noProof/>
        </w:rPr>
        <w:t>able 2.5.</w:t>
      </w:r>
    </w:p>
    <w:p w:rsidR="00A76448" w:rsidRPr="00930650" w:rsidRDefault="00D557BE" w:rsidP="00D557BE">
      <w:pPr>
        <w:pStyle w:val="Caption"/>
      </w:pPr>
      <w:bookmarkStart w:id="48" w:name="_Toc373180106"/>
      <w:proofErr w:type="gramStart"/>
      <w:r w:rsidRPr="00D557BE">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5</w:t>
      </w:r>
      <w:r w:rsidR="008943E4">
        <w:rPr>
          <w:b/>
        </w:rPr>
        <w:fldChar w:fldCharType="end"/>
      </w:r>
      <w:r w:rsidR="005B1734">
        <w:t xml:space="preserve"> F</w:t>
      </w:r>
      <w:r w:rsidR="00A76448">
        <w:t xml:space="preserve">usion sites recorded by </w:t>
      </w:r>
      <w:r w:rsidR="00A76448" w:rsidRPr="00AE7E3A">
        <w:t xml:space="preserve">Zihlman </w:t>
      </w:r>
      <w:r w:rsidR="00A76448" w:rsidRPr="00AE7E3A">
        <w:rPr>
          <w:i/>
        </w:rPr>
        <w:t>et al</w:t>
      </w:r>
      <w:r w:rsidR="00A76448">
        <w:rPr>
          <w:i/>
        </w:rPr>
        <w:t>.</w:t>
      </w:r>
      <w:r w:rsidR="00A76448" w:rsidRPr="00AE7E3A">
        <w:t xml:space="preserve"> (2007)</w:t>
      </w:r>
      <w:r w:rsidR="000D73B2">
        <w:t>.</w:t>
      </w:r>
      <w:bookmarkEnd w:id="48"/>
      <w:proofErr w:type="gramEnd"/>
    </w:p>
    <w:tbl>
      <w:tblPr>
        <w:tblW w:w="4833" w:type="dxa"/>
        <w:jc w:val="center"/>
        <w:tblInd w:w="744" w:type="dxa"/>
        <w:tblLook w:val="04A0" w:firstRow="1" w:lastRow="0" w:firstColumn="1" w:lastColumn="0" w:noHBand="0" w:noVBand="1"/>
      </w:tblPr>
      <w:tblGrid>
        <w:gridCol w:w="2828"/>
        <w:gridCol w:w="2005"/>
      </w:tblGrid>
      <w:tr w:rsidR="000D73B2" w:rsidRPr="00E82F59" w:rsidTr="00CA5FBB">
        <w:trPr>
          <w:trHeight w:val="300"/>
          <w:jc w:val="center"/>
        </w:trPr>
        <w:tc>
          <w:tcPr>
            <w:tcW w:w="2828" w:type="dxa"/>
            <w:tcBorders>
              <w:top w:val="single" w:sz="4" w:space="0" w:color="auto"/>
              <w:bottom w:val="single" w:sz="4" w:space="0" w:color="auto"/>
            </w:tcBorders>
            <w:shd w:val="clear" w:color="auto" w:fill="auto"/>
            <w:noWrap/>
            <w:vAlign w:val="center"/>
            <w:hideMark/>
          </w:tcPr>
          <w:p w:rsidR="000D73B2" w:rsidRPr="0025059E" w:rsidRDefault="00016663" w:rsidP="00016663">
            <w:pPr>
              <w:spacing w:before="0" w:line="240" w:lineRule="auto"/>
              <w:jc w:val="center"/>
              <w:rPr>
                <w:rFonts w:eastAsia="Times New Roman"/>
                <w:b/>
                <w:color w:val="000000"/>
                <w:lang w:val="en-GB" w:eastAsia="en-GB"/>
              </w:rPr>
            </w:pPr>
            <w:r>
              <w:rPr>
                <w:rFonts w:eastAsia="Times New Roman"/>
                <w:b/>
                <w:color w:val="000000"/>
                <w:lang w:val="en-GB" w:eastAsia="en-GB"/>
              </w:rPr>
              <w:t>b</w:t>
            </w:r>
            <w:r w:rsidR="000D73B2" w:rsidRPr="0025059E">
              <w:rPr>
                <w:rFonts w:eastAsia="Times New Roman"/>
                <w:b/>
                <w:color w:val="000000"/>
                <w:lang w:val="en-GB" w:eastAsia="en-GB"/>
              </w:rPr>
              <w:t>one</w:t>
            </w:r>
          </w:p>
        </w:tc>
        <w:tc>
          <w:tcPr>
            <w:tcW w:w="2005" w:type="dxa"/>
            <w:tcBorders>
              <w:top w:val="single" w:sz="4" w:space="0" w:color="auto"/>
              <w:bottom w:val="single" w:sz="4" w:space="0" w:color="auto"/>
            </w:tcBorders>
            <w:shd w:val="clear" w:color="auto" w:fill="auto"/>
            <w:noWrap/>
            <w:vAlign w:val="center"/>
            <w:hideMark/>
          </w:tcPr>
          <w:p w:rsidR="000D73B2" w:rsidRPr="0025059E" w:rsidRDefault="00016663" w:rsidP="00016663">
            <w:pPr>
              <w:spacing w:before="0" w:line="240" w:lineRule="auto"/>
              <w:jc w:val="center"/>
              <w:rPr>
                <w:rFonts w:eastAsia="Times New Roman"/>
                <w:b/>
                <w:color w:val="000000"/>
                <w:lang w:val="en-GB" w:eastAsia="en-GB"/>
              </w:rPr>
            </w:pPr>
            <w:r>
              <w:rPr>
                <w:rFonts w:eastAsia="Times New Roman"/>
                <w:b/>
                <w:color w:val="000000"/>
                <w:lang w:val="en-GB" w:eastAsia="en-GB"/>
              </w:rPr>
              <w:t>e</w:t>
            </w:r>
            <w:r w:rsidR="000D73B2" w:rsidRPr="0025059E">
              <w:rPr>
                <w:rFonts w:eastAsia="Times New Roman"/>
                <w:b/>
                <w:color w:val="000000"/>
                <w:lang w:val="en-GB" w:eastAsia="en-GB"/>
              </w:rPr>
              <w:t>piphysis</w:t>
            </w:r>
          </w:p>
        </w:tc>
      </w:tr>
      <w:tr w:rsidR="000D73B2" w:rsidRPr="00E82F59" w:rsidTr="00CA5FBB">
        <w:trPr>
          <w:trHeight w:val="300"/>
          <w:jc w:val="center"/>
        </w:trPr>
        <w:tc>
          <w:tcPr>
            <w:tcW w:w="2828" w:type="dxa"/>
            <w:vMerge w:val="restart"/>
            <w:tcBorders>
              <w:top w:val="single" w:sz="4" w:space="0" w:color="auto"/>
            </w:tcBorders>
            <w:shd w:val="clear" w:color="auto" w:fill="auto"/>
            <w:noWrap/>
            <w:vAlign w:val="center"/>
            <w:hideMark/>
          </w:tcPr>
          <w:p w:rsidR="000D73B2" w:rsidRPr="00E82F59" w:rsidRDefault="000D73B2" w:rsidP="00016663">
            <w:pPr>
              <w:spacing w:before="0" w:line="240" w:lineRule="auto"/>
              <w:jc w:val="center"/>
              <w:rPr>
                <w:rFonts w:eastAsia="Times New Roman"/>
                <w:color w:val="000000"/>
                <w:lang w:val="en-GB" w:eastAsia="en-GB"/>
              </w:rPr>
            </w:pPr>
            <w:r w:rsidRPr="00E82F59">
              <w:rPr>
                <w:rFonts w:eastAsia="Times New Roman"/>
                <w:color w:val="000000"/>
                <w:lang w:val="en-GB" w:eastAsia="en-GB"/>
              </w:rPr>
              <w:t>pelvis</w:t>
            </w:r>
          </w:p>
        </w:tc>
        <w:tc>
          <w:tcPr>
            <w:tcW w:w="2005" w:type="dxa"/>
            <w:tcBorders>
              <w:top w:val="single" w:sz="4" w:space="0" w:color="auto"/>
              <w:bottom w:val="nil"/>
            </w:tcBorders>
            <w:shd w:val="clear" w:color="auto" w:fill="auto"/>
            <w:noWrap/>
            <w:vAlign w:val="center"/>
            <w:hideMark/>
          </w:tcPr>
          <w:p w:rsidR="000D73B2" w:rsidRPr="00E82F59" w:rsidRDefault="000D73B2" w:rsidP="000D73B2">
            <w:pPr>
              <w:spacing w:before="0" w:line="240" w:lineRule="auto"/>
              <w:jc w:val="left"/>
              <w:rPr>
                <w:rFonts w:eastAsia="Times New Roman"/>
                <w:color w:val="000000"/>
                <w:lang w:val="en-GB" w:eastAsia="en-GB"/>
              </w:rPr>
            </w:pPr>
            <w:r w:rsidRPr="00E82F59">
              <w:rPr>
                <w:rFonts w:eastAsia="Times New Roman"/>
                <w:color w:val="000000"/>
                <w:lang w:eastAsia="en-GB"/>
              </w:rPr>
              <w:t>ischio-pubic ramus</w:t>
            </w:r>
          </w:p>
        </w:tc>
      </w:tr>
      <w:tr w:rsidR="000D73B2" w:rsidRPr="00E82F59" w:rsidTr="00CA5FBB">
        <w:trPr>
          <w:trHeight w:val="315"/>
          <w:jc w:val="center"/>
        </w:trPr>
        <w:tc>
          <w:tcPr>
            <w:tcW w:w="2828" w:type="dxa"/>
            <w:vMerge/>
            <w:shd w:val="clear" w:color="auto" w:fill="auto"/>
            <w:noWrap/>
            <w:vAlign w:val="center"/>
            <w:hideMark/>
          </w:tcPr>
          <w:p w:rsidR="000D73B2" w:rsidRPr="00E82F59" w:rsidRDefault="000D73B2" w:rsidP="00016663">
            <w:pPr>
              <w:spacing w:before="0" w:line="240" w:lineRule="auto"/>
              <w:jc w:val="center"/>
              <w:rPr>
                <w:rFonts w:eastAsia="Times New Roman"/>
                <w:color w:val="000000"/>
                <w:lang w:val="en-GB" w:eastAsia="en-GB"/>
              </w:rPr>
            </w:pPr>
          </w:p>
        </w:tc>
        <w:tc>
          <w:tcPr>
            <w:tcW w:w="2005" w:type="dxa"/>
            <w:tcBorders>
              <w:top w:val="nil"/>
              <w:bottom w:val="nil"/>
            </w:tcBorders>
            <w:shd w:val="clear" w:color="auto" w:fill="auto"/>
            <w:noWrap/>
            <w:vAlign w:val="center"/>
            <w:hideMark/>
          </w:tcPr>
          <w:p w:rsidR="000D73B2" w:rsidRPr="00E82F59" w:rsidRDefault="000D73B2" w:rsidP="000D73B2">
            <w:pPr>
              <w:spacing w:before="0" w:line="240" w:lineRule="auto"/>
              <w:jc w:val="left"/>
              <w:rPr>
                <w:rFonts w:eastAsia="Times New Roman"/>
                <w:color w:val="000000"/>
                <w:lang w:val="en-GB" w:eastAsia="en-GB"/>
              </w:rPr>
            </w:pPr>
            <w:r w:rsidRPr="00E82F59">
              <w:rPr>
                <w:rFonts w:eastAsia="Times New Roman"/>
                <w:color w:val="000000"/>
                <w:lang w:val="en-GB" w:eastAsia="en-GB"/>
              </w:rPr>
              <w:t>ilium to pubis</w:t>
            </w:r>
          </w:p>
        </w:tc>
      </w:tr>
      <w:tr w:rsidR="000D73B2" w:rsidRPr="00E82F59" w:rsidTr="00CA5FBB">
        <w:trPr>
          <w:trHeight w:val="300"/>
          <w:jc w:val="center"/>
        </w:trPr>
        <w:tc>
          <w:tcPr>
            <w:tcW w:w="2828" w:type="dxa"/>
            <w:vMerge/>
            <w:shd w:val="clear" w:color="auto" w:fill="auto"/>
            <w:noWrap/>
            <w:vAlign w:val="center"/>
            <w:hideMark/>
          </w:tcPr>
          <w:p w:rsidR="000D73B2" w:rsidRPr="00E82F59" w:rsidRDefault="000D73B2" w:rsidP="00016663">
            <w:pPr>
              <w:spacing w:before="0" w:line="240" w:lineRule="auto"/>
              <w:jc w:val="center"/>
              <w:rPr>
                <w:rFonts w:eastAsia="Times New Roman"/>
                <w:color w:val="000000"/>
                <w:lang w:val="en-GB" w:eastAsia="en-GB"/>
              </w:rPr>
            </w:pPr>
          </w:p>
        </w:tc>
        <w:tc>
          <w:tcPr>
            <w:tcW w:w="2005" w:type="dxa"/>
            <w:tcBorders>
              <w:top w:val="nil"/>
              <w:bottom w:val="nil"/>
            </w:tcBorders>
            <w:shd w:val="clear" w:color="auto" w:fill="auto"/>
            <w:noWrap/>
            <w:vAlign w:val="center"/>
            <w:hideMark/>
          </w:tcPr>
          <w:p w:rsidR="000D73B2" w:rsidRPr="00E82F59" w:rsidRDefault="000D73B2" w:rsidP="000D73B2">
            <w:pPr>
              <w:spacing w:before="0" w:line="240" w:lineRule="auto"/>
              <w:jc w:val="left"/>
              <w:rPr>
                <w:rFonts w:eastAsia="Times New Roman"/>
                <w:color w:val="000000"/>
                <w:lang w:val="en-GB" w:eastAsia="en-GB"/>
              </w:rPr>
            </w:pPr>
            <w:r w:rsidRPr="00E82F59">
              <w:rPr>
                <w:rFonts w:eastAsia="Times New Roman"/>
                <w:color w:val="000000"/>
                <w:lang w:val="en-GB" w:eastAsia="en-GB"/>
              </w:rPr>
              <w:t>ilium to ischium</w:t>
            </w:r>
          </w:p>
        </w:tc>
      </w:tr>
      <w:tr w:rsidR="000D73B2" w:rsidRPr="00E82F59" w:rsidTr="00CA5FBB">
        <w:trPr>
          <w:trHeight w:val="315"/>
          <w:jc w:val="center"/>
        </w:trPr>
        <w:tc>
          <w:tcPr>
            <w:tcW w:w="2828" w:type="dxa"/>
            <w:vMerge/>
            <w:tcBorders>
              <w:bottom w:val="single" w:sz="4" w:space="0" w:color="auto"/>
            </w:tcBorders>
            <w:shd w:val="clear" w:color="auto" w:fill="auto"/>
            <w:noWrap/>
            <w:vAlign w:val="center"/>
            <w:hideMark/>
          </w:tcPr>
          <w:p w:rsidR="000D73B2" w:rsidRPr="00E82F59" w:rsidRDefault="000D73B2" w:rsidP="00016663">
            <w:pPr>
              <w:spacing w:before="0" w:line="240" w:lineRule="auto"/>
              <w:jc w:val="center"/>
              <w:rPr>
                <w:rFonts w:eastAsia="Times New Roman"/>
                <w:color w:val="000000"/>
                <w:lang w:val="en-GB" w:eastAsia="en-GB"/>
              </w:rPr>
            </w:pPr>
          </w:p>
        </w:tc>
        <w:tc>
          <w:tcPr>
            <w:tcW w:w="2005" w:type="dxa"/>
            <w:tcBorders>
              <w:top w:val="nil"/>
              <w:bottom w:val="single" w:sz="4" w:space="0" w:color="auto"/>
            </w:tcBorders>
            <w:shd w:val="clear" w:color="auto" w:fill="auto"/>
            <w:noWrap/>
            <w:vAlign w:val="center"/>
            <w:hideMark/>
          </w:tcPr>
          <w:p w:rsidR="000D73B2" w:rsidRPr="00E82F59" w:rsidRDefault="000D73B2" w:rsidP="000D73B2">
            <w:pPr>
              <w:spacing w:before="0" w:line="240" w:lineRule="auto"/>
              <w:jc w:val="left"/>
              <w:rPr>
                <w:rFonts w:eastAsia="Times New Roman"/>
                <w:color w:val="000000"/>
                <w:lang w:val="en-GB" w:eastAsia="en-GB"/>
              </w:rPr>
            </w:pPr>
            <w:r w:rsidRPr="00E82F59">
              <w:rPr>
                <w:rFonts w:eastAsia="Times New Roman"/>
                <w:color w:val="000000"/>
                <w:lang w:val="en-GB" w:eastAsia="en-GB"/>
              </w:rPr>
              <w:t>pubis to ischium</w:t>
            </w:r>
          </w:p>
        </w:tc>
      </w:tr>
      <w:tr w:rsidR="000D73B2" w:rsidRPr="00E82F59" w:rsidTr="00CA5FBB">
        <w:trPr>
          <w:trHeight w:val="315"/>
          <w:jc w:val="center"/>
        </w:trPr>
        <w:tc>
          <w:tcPr>
            <w:tcW w:w="2828" w:type="dxa"/>
            <w:vMerge w:val="restart"/>
            <w:tcBorders>
              <w:top w:val="single" w:sz="4" w:space="0" w:color="auto"/>
            </w:tcBorders>
            <w:shd w:val="clear" w:color="auto" w:fill="auto"/>
            <w:noWrap/>
            <w:vAlign w:val="center"/>
            <w:hideMark/>
          </w:tcPr>
          <w:p w:rsidR="000D73B2" w:rsidRPr="00E82F59" w:rsidRDefault="000D73B2" w:rsidP="00016663">
            <w:pPr>
              <w:spacing w:before="0" w:line="240" w:lineRule="auto"/>
              <w:jc w:val="center"/>
              <w:rPr>
                <w:rFonts w:eastAsia="Times New Roman"/>
                <w:color w:val="000000"/>
                <w:lang w:val="en-GB" w:eastAsia="en-GB"/>
              </w:rPr>
            </w:pPr>
            <w:r w:rsidRPr="00E82F59">
              <w:rPr>
                <w:rFonts w:eastAsia="Times New Roman"/>
                <w:color w:val="000000"/>
                <w:lang w:val="en-GB" w:eastAsia="en-GB"/>
              </w:rPr>
              <w:t>humerus</w:t>
            </w:r>
          </w:p>
        </w:tc>
        <w:tc>
          <w:tcPr>
            <w:tcW w:w="2005" w:type="dxa"/>
            <w:tcBorders>
              <w:top w:val="single" w:sz="4" w:space="0" w:color="auto"/>
              <w:bottom w:val="nil"/>
            </w:tcBorders>
            <w:shd w:val="clear" w:color="auto" w:fill="auto"/>
            <w:noWrap/>
            <w:vAlign w:val="center"/>
            <w:hideMark/>
          </w:tcPr>
          <w:p w:rsidR="000D73B2" w:rsidRPr="00E82F59" w:rsidRDefault="000D73B2" w:rsidP="000D73B2">
            <w:pPr>
              <w:spacing w:before="0" w:line="240" w:lineRule="auto"/>
              <w:jc w:val="left"/>
              <w:rPr>
                <w:rFonts w:eastAsia="Times New Roman"/>
                <w:color w:val="000000"/>
                <w:lang w:val="en-GB" w:eastAsia="en-GB"/>
              </w:rPr>
            </w:pPr>
            <w:r w:rsidRPr="00E82F59">
              <w:rPr>
                <w:rFonts w:eastAsia="Times New Roman"/>
                <w:color w:val="000000"/>
                <w:lang w:val="en-GB" w:eastAsia="en-GB"/>
              </w:rPr>
              <w:t>proximal</w:t>
            </w:r>
          </w:p>
        </w:tc>
      </w:tr>
      <w:tr w:rsidR="000D73B2" w:rsidRPr="00E82F59" w:rsidTr="00CA5FBB">
        <w:trPr>
          <w:trHeight w:val="300"/>
          <w:jc w:val="center"/>
        </w:trPr>
        <w:tc>
          <w:tcPr>
            <w:tcW w:w="2828" w:type="dxa"/>
            <w:vMerge/>
            <w:shd w:val="clear" w:color="auto" w:fill="auto"/>
            <w:noWrap/>
            <w:vAlign w:val="center"/>
            <w:hideMark/>
          </w:tcPr>
          <w:p w:rsidR="000D73B2" w:rsidRPr="00E82F59" w:rsidRDefault="000D73B2" w:rsidP="00016663">
            <w:pPr>
              <w:spacing w:before="0" w:line="240" w:lineRule="auto"/>
              <w:jc w:val="center"/>
              <w:rPr>
                <w:rFonts w:eastAsia="Times New Roman"/>
                <w:color w:val="000000"/>
                <w:lang w:val="en-GB" w:eastAsia="en-GB"/>
              </w:rPr>
            </w:pPr>
          </w:p>
        </w:tc>
        <w:tc>
          <w:tcPr>
            <w:tcW w:w="2005" w:type="dxa"/>
            <w:tcBorders>
              <w:top w:val="nil"/>
              <w:bottom w:val="nil"/>
            </w:tcBorders>
            <w:shd w:val="clear" w:color="auto" w:fill="auto"/>
            <w:noWrap/>
            <w:vAlign w:val="center"/>
            <w:hideMark/>
          </w:tcPr>
          <w:p w:rsidR="000D73B2" w:rsidRPr="00E82F59" w:rsidRDefault="000D73B2" w:rsidP="000D73B2">
            <w:pPr>
              <w:spacing w:before="0" w:line="240" w:lineRule="auto"/>
              <w:jc w:val="left"/>
              <w:rPr>
                <w:rFonts w:eastAsia="Times New Roman"/>
                <w:color w:val="000000"/>
                <w:vertAlign w:val="superscript"/>
                <w:lang w:val="en-GB" w:eastAsia="en-GB"/>
              </w:rPr>
            </w:pPr>
            <w:r>
              <w:rPr>
                <w:rFonts w:eastAsia="Times New Roman"/>
                <w:color w:val="000000"/>
                <w:lang w:val="en-GB" w:eastAsia="en-GB"/>
              </w:rPr>
              <w:t>m</w:t>
            </w:r>
            <w:r w:rsidRPr="00E82F59">
              <w:rPr>
                <w:rFonts w:eastAsia="Times New Roman"/>
                <w:color w:val="000000"/>
                <w:lang w:val="en-GB" w:eastAsia="en-GB"/>
              </w:rPr>
              <w:t>edial</w:t>
            </w:r>
            <w:r>
              <w:rPr>
                <w:rFonts w:eastAsia="Times New Roman"/>
                <w:color w:val="000000"/>
                <w:vertAlign w:val="superscript"/>
                <w:lang w:val="en-GB" w:eastAsia="en-GB"/>
              </w:rPr>
              <w:t>1.</w:t>
            </w:r>
          </w:p>
        </w:tc>
      </w:tr>
      <w:tr w:rsidR="000D73B2" w:rsidRPr="00E82F59" w:rsidTr="00CA5FBB">
        <w:trPr>
          <w:trHeight w:val="315"/>
          <w:jc w:val="center"/>
        </w:trPr>
        <w:tc>
          <w:tcPr>
            <w:tcW w:w="2828" w:type="dxa"/>
            <w:vMerge/>
            <w:tcBorders>
              <w:bottom w:val="single" w:sz="4" w:space="0" w:color="auto"/>
            </w:tcBorders>
            <w:shd w:val="clear" w:color="auto" w:fill="auto"/>
            <w:noWrap/>
            <w:vAlign w:val="center"/>
            <w:hideMark/>
          </w:tcPr>
          <w:p w:rsidR="000D73B2" w:rsidRPr="00E82F59" w:rsidRDefault="000D73B2" w:rsidP="00016663">
            <w:pPr>
              <w:spacing w:before="0" w:line="240" w:lineRule="auto"/>
              <w:jc w:val="center"/>
              <w:rPr>
                <w:rFonts w:eastAsia="Times New Roman"/>
                <w:color w:val="000000"/>
                <w:lang w:val="en-GB" w:eastAsia="en-GB"/>
              </w:rPr>
            </w:pPr>
          </w:p>
        </w:tc>
        <w:tc>
          <w:tcPr>
            <w:tcW w:w="2005" w:type="dxa"/>
            <w:tcBorders>
              <w:top w:val="nil"/>
              <w:bottom w:val="single" w:sz="4" w:space="0" w:color="auto"/>
            </w:tcBorders>
            <w:shd w:val="clear" w:color="auto" w:fill="auto"/>
            <w:noWrap/>
            <w:vAlign w:val="center"/>
            <w:hideMark/>
          </w:tcPr>
          <w:p w:rsidR="000D73B2" w:rsidRPr="00E82F59" w:rsidRDefault="000D73B2" w:rsidP="000D73B2">
            <w:pPr>
              <w:spacing w:before="0" w:line="240" w:lineRule="auto"/>
              <w:jc w:val="left"/>
              <w:rPr>
                <w:rFonts w:eastAsia="Times New Roman"/>
                <w:color w:val="000000"/>
                <w:lang w:val="en-GB" w:eastAsia="en-GB"/>
              </w:rPr>
            </w:pPr>
            <w:r>
              <w:rPr>
                <w:rFonts w:eastAsia="Times New Roman"/>
                <w:color w:val="000000"/>
                <w:lang w:val="en-GB" w:eastAsia="en-GB"/>
              </w:rPr>
              <w:t>d</w:t>
            </w:r>
            <w:r w:rsidRPr="00E82F59">
              <w:rPr>
                <w:rFonts w:eastAsia="Times New Roman"/>
                <w:color w:val="000000"/>
                <w:lang w:val="en-GB" w:eastAsia="en-GB"/>
              </w:rPr>
              <w:t>istal</w:t>
            </w:r>
          </w:p>
        </w:tc>
      </w:tr>
      <w:tr w:rsidR="005873E0" w:rsidRPr="00E82F59" w:rsidTr="00016663">
        <w:trPr>
          <w:trHeight w:val="315"/>
          <w:jc w:val="center"/>
        </w:trPr>
        <w:tc>
          <w:tcPr>
            <w:tcW w:w="2828" w:type="dxa"/>
            <w:vMerge w:val="restart"/>
            <w:tcBorders>
              <w:top w:val="single" w:sz="4" w:space="0" w:color="auto"/>
            </w:tcBorders>
            <w:shd w:val="clear" w:color="auto" w:fill="auto"/>
            <w:noWrap/>
            <w:vAlign w:val="center"/>
            <w:hideMark/>
          </w:tcPr>
          <w:p w:rsidR="005873E0" w:rsidRPr="00E82F59" w:rsidRDefault="005873E0" w:rsidP="00016663">
            <w:pPr>
              <w:spacing w:before="0" w:line="240" w:lineRule="auto"/>
              <w:jc w:val="center"/>
              <w:rPr>
                <w:rFonts w:eastAsia="Times New Roman"/>
                <w:color w:val="000000"/>
                <w:lang w:val="en-GB" w:eastAsia="en-GB"/>
              </w:rPr>
            </w:pPr>
            <w:r w:rsidRPr="00E82F59">
              <w:rPr>
                <w:rFonts w:eastAsia="Times New Roman"/>
                <w:color w:val="000000"/>
                <w:lang w:val="en-GB" w:eastAsia="en-GB"/>
              </w:rPr>
              <w:t>radius, ulna, tibia, fibula</w:t>
            </w:r>
          </w:p>
        </w:tc>
        <w:tc>
          <w:tcPr>
            <w:tcW w:w="2005" w:type="dxa"/>
            <w:tcBorders>
              <w:top w:val="single" w:sz="4" w:space="0" w:color="auto"/>
              <w:bottom w:val="nil"/>
            </w:tcBorders>
            <w:shd w:val="clear" w:color="auto" w:fill="auto"/>
            <w:noWrap/>
            <w:vAlign w:val="center"/>
            <w:hideMark/>
          </w:tcPr>
          <w:p w:rsidR="005873E0" w:rsidRPr="00E82F59" w:rsidRDefault="005873E0" w:rsidP="00A57CC1">
            <w:pPr>
              <w:spacing w:before="0" w:line="240" w:lineRule="auto"/>
              <w:jc w:val="left"/>
              <w:rPr>
                <w:rFonts w:eastAsia="Times New Roman"/>
                <w:color w:val="000000"/>
                <w:lang w:val="en-GB" w:eastAsia="en-GB"/>
              </w:rPr>
            </w:pPr>
            <w:r w:rsidRPr="00E82F59">
              <w:rPr>
                <w:rFonts w:eastAsia="Times New Roman"/>
                <w:color w:val="000000"/>
                <w:lang w:val="en-GB" w:eastAsia="en-GB"/>
              </w:rPr>
              <w:t>proximal</w:t>
            </w:r>
          </w:p>
        </w:tc>
      </w:tr>
      <w:tr w:rsidR="005873E0" w:rsidRPr="00E82F59" w:rsidTr="00016663">
        <w:trPr>
          <w:trHeight w:val="315"/>
          <w:jc w:val="center"/>
        </w:trPr>
        <w:tc>
          <w:tcPr>
            <w:tcW w:w="2828" w:type="dxa"/>
            <w:vMerge/>
            <w:tcBorders>
              <w:bottom w:val="single" w:sz="4" w:space="0" w:color="auto"/>
            </w:tcBorders>
            <w:shd w:val="clear" w:color="auto" w:fill="auto"/>
            <w:noWrap/>
            <w:vAlign w:val="center"/>
            <w:hideMark/>
          </w:tcPr>
          <w:p w:rsidR="005873E0" w:rsidRPr="00E82F59" w:rsidRDefault="005873E0" w:rsidP="00016663">
            <w:pPr>
              <w:spacing w:before="0" w:line="240" w:lineRule="auto"/>
              <w:jc w:val="center"/>
              <w:rPr>
                <w:rFonts w:eastAsia="Times New Roman"/>
                <w:color w:val="000000"/>
                <w:lang w:val="en-GB" w:eastAsia="en-GB"/>
              </w:rPr>
            </w:pPr>
          </w:p>
        </w:tc>
        <w:tc>
          <w:tcPr>
            <w:tcW w:w="2005" w:type="dxa"/>
            <w:tcBorders>
              <w:top w:val="nil"/>
              <w:bottom w:val="single" w:sz="4" w:space="0" w:color="auto"/>
            </w:tcBorders>
            <w:shd w:val="clear" w:color="auto" w:fill="auto"/>
            <w:noWrap/>
            <w:vAlign w:val="center"/>
            <w:hideMark/>
          </w:tcPr>
          <w:p w:rsidR="005873E0" w:rsidRPr="00E82F59" w:rsidRDefault="005873E0" w:rsidP="00A57CC1">
            <w:pPr>
              <w:spacing w:before="0" w:line="240" w:lineRule="auto"/>
              <w:jc w:val="left"/>
              <w:rPr>
                <w:rFonts w:eastAsia="Times New Roman"/>
                <w:color w:val="000000"/>
                <w:lang w:val="en-GB" w:eastAsia="en-GB"/>
              </w:rPr>
            </w:pPr>
            <w:r>
              <w:rPr>
                <w:rFonts w:eastAsia="Times New Roman"/>
                <w:color w:val="000000"/>
                <w:lang w:val="en-GB" w:eastAsia="en-GB"/>
              </w:rPr>
              <w:t>d</w:t>
            </w:r>
            <w:r w:rsidRPr="00E82F59">
              <w:rPr>
                <w:rFonts w:eastAsia="Times New Roman"/>
                <w:color w:val="000000"/>
                <w:lang w:val="en-GB" w:eastAsia="en-GB"/>
              </w:rPr>
              <w:t>istal</w:t>
            </w:r>
          </w:p>
        </w:tc>
      </w:tr>
      <w:tr w:rsidR="005873E0" w:rsidRPr="00E82F59" w:rsidTr="00016663">
        <w:trPr>
          <w:trHeight w:val="315"/>
          <w:jc w:val="center"/>
        </w:trPr>
        <w:tc>
          <w:tcPr>
            <w:tcW w:w="2828" w:type="dxa"/>
            <w:vMerge w:val="restart"/>
            <w:tcBorders>
              <w:top w:val="single" w:sz="4" w:space="0" w:color="auto"/>
            </w:tcBorders>
            <w:shd w:val="clear" w:color="auto" w:fill="auto"/>
            <w:noWrap/>
            <w:vAlign w:val="center"/>
          </w:tcPr>
          <w:p w:rsidR="005873E0" w:rsidRPr="00E82F59" w:rsidRDefault="005873E0" w:rsidP="00016663">
            <w:pPr>
              <w:spacing w:before="0" w:line="240" w:lineRule="auto"/>
              <w:jc w:val="center"/>
              <w:rPr>
                <w:rFonts w:eastAsia="Times New Roman"/>
                <w:color w:val="000000"/>
                <w:lang w:val="en-GB" w:eastAsia="en-GB"/>
              </w:rPr>
            </w:pPr>
            <w:r>
              <w:rPr>
                <w:rFonts w:eastAsia="Times New Roman"/>
                <w:color w:val="000000"/>
                <w:lang w:val="en-GB" w:eastAsia="en-GB"/>
              </w:rPr>
              <w:t>f</w:t>
            </w:r>
            <w:r w:rsidRPr="00E82F59">
              <w:rPr>
                <w:rFonts w:eastAsia="Times New Roman"/>
                <w:color w:val="000000"/>
                <w:lang w:val="en-GB" w:eastAsia="en-GB"/>
              </w:rPr>
              <w:t>emur</w:t>
            </w:r>
          </w:p>
        </w:tc>
        <w:tc>
          <w:tcPr>
            <w:tcW w:w="2005" w:type="dxa"/>
            <w:tcBorders>
              <w:top w:val="single" w:sz="4" w:space="0" w:color="auto"/>
            </w:tcBorders>
            <w:shd w:val="clear" w:color="auto" w:fill="auto"/>
            <w:noWrap/>
            <w:vAlign w:val="center"/>
          </w:tcPr>
          <w:p w:rsidR="005873E0" w:rsidRPr="00E82F59" w:rsidRDefault="005873E0" w:rsidP="00A57CC1">
            <w:pPr>
              <w:spacing w:before="0" w:line="240" w:lineRule="auto"/>
              <w:jc w:val="left"/>
              <w:rPr>
                <w:rFonts w:eastAsia="Times New Roman"/>
                <w:color w:val="000000"/>
                <w:lang w:val="en-GB" w:eastAsia="en-GB"/>
              </w:rPr>
            </w:pPr>
            <w:r w:rsidRPr="00E82F59">
              <w:rPr>
                <w:rFonts w:eastAsia="Times New Roman"/>
                <w:color w:val="000000"/>
                <w:lang w:val="en-GB" w:eastAsia="en-GB"/>
              </w:rPr>
              <w:t>greater trochanter</w:t>
            </w:r>
          </w:p>
        </w:tc>
      </w:tr>
      <w:tr w:rsidR="005873E0" w:rsidRPr="00E82F59" w:rsidTr="00016663">
        <w:trPr>
          <w:trHeight w:val="315"/>
          <w:jc w:val="center"/>
        </w:trPr>
        <w:tc>
          <w:tcPr>
            <w:tcW w:w="2828" w:type="dxa"/>
            <w:vMerge/>
            <w:shd w:val="clear" w:color="auto" w:fill="auto"/>
            <w:noWrap/>
            <w:vAlign w:val="center"/>
          </w:tcPr>
          <w:p w:rsidR="005873E0" w:rsidRPr="00E82F59" w:rsidRDefault="005873E0" w:rsidP="00A57CC1">
            <w:pPr>
              <w:spacing w:before="0" w:line="240" w:lineRule="auto"/>
              <w:jc w:val="left"/>
              <w:rPr>
                <w:rFonts w:eastAsia="Times New Roman"/>
                <w:color w:val="000000"/>
                <w:lang w:val="en-GB" w:eastAsia="en-GB"/>
              </w:rPr>
            </w:pPr>
          </w:p>
        </w:tc>
        <w:tc>
          <w:tcPr>
            <w:tcW w:w="2005" w:type="dxa"/>
            <w:shd w:val="clear" w:color="auto" w:fill="auto"/>
            <w:noWrap/>
            <w:vAlign w:val="center"/>
          </w:tcPr>
          <w:p w:rsidR="005873E0" w:rsidRPr="00E82F59" w:rsidRDefault="005873E0" w:rsidP="00A57CC1">
            <w:pPr>
              <w:spacing w:before="0" w:line="240" w:lineRule="auto"/>
              <w:jc w:val="left"/>
              <w:rPr>
                <w:rFonts w:eastAsia="Times New Roman"/>
                <w:color w:val="000000"/>
                <w:lang w:val="en-GB" w:eastAsia="en-GB"/>
              </w:rPr>
            </w:pPr>
            <w:r w:rsidRPr="00E82F59">
              <w:rPr>
                <w:rFonts w:eastAsia="Times New Roman"/>
                <w:color w:val="000000"/>
                <w:lang w:val="en-GB" w:eastAsia="en-GB"/>
              </w:rPr>
              <w:t>lesser trochanter</w:t>
            </w:r>
          </w:p>
        </w:tc>
      </w:tr>
      <w:tr w:rsidR="005873E0" w:rsidRPr="00E82F59" w:rsidTr="00016663">
        <w:trPr>
          <w:trHeight w:val="315"/>
          <w:jc w:val="center"/>
        </w:trPr>
        <w:tc>
          <w:tcPr>
            <w:tcW w:w="2828" w:type="dxa"/>
            <w:vMerge/>
            <w:tcBorders>
              <w:bottom w:val="single" w:sz="4" w:space="0" w:color="auto"/>
            </w:tcBorders>
            <w:shd w:val="clear" w:color="auto" w:fill="auto"/>
            <w:noWrap/>
            <w:vAlign w:val="center"/>
          </w:tcPr>
          <w:p w:rsidR="005873E0" w:rsidRPr="00E82F59" w:rsidRDefault="005873E0" w:rsidP="00A57CC1">
            <w:pPr>
              <w:spacing w:before="0" w:line="240" w:lineRule="auto"/>
              <w:jc w:val="left"/>
              <w:rPr>
                <w:rFonts w:eastAsia="Times New Roman"/>
                <w:color w:val="000000"/>
                <w:lang w:val="en-GB" w:eastAsia="en-GB"/>
              </w:rPr>
            </w:pPr>
          </w:p>
        </w:tc>
        <w:tc>
          <w:tcPr>
            <w:tcW w:w="2005" w:type="dxa"/>
            <w:tcBorders>
              <w:bottom w:val="single" w:sz="4" w:space="0" w:color="auto"/>
            </w:tcBorders>
            <w:shd w:val="clear" w:color="auto" w:fill="auto"/>
            <w:noWrap/>
            <w:vAlign w:val="center"/>
          </w:tcPr>
          <w:p w:rsidR="005873E0" w:rsidRPr="00E82F59" w:rsidRDefault="005873E0" w:rsidP="00A57CC1">
            <w:pPr>
              <w:spacing w:before="0" w:line="240" w:lineRule="auto"/>
              <w:jc w:val="left"/>
              <w:rPr>
                <w:rFonts w:eastAsia="Times New Roman"/>
                <w:color w:val="000000"/>
                <w:lang w:val="en-GB" w:eastAsia="en-GB"/>
              </w:rPr>
            </w:pPr>
            <w:r>
              <w:rPr>
                <w:rFonts w:eastAsia="Times New Roman"/>
                <w:color w:val="000000"/>
                <w:lang w:val="en-GB" w:eastAsia="en-GB"/>
              </w:rPr>
              <w:t>d</w:t>
            </w:r>
            <w:r w:rsidRPr="00E82F59">
              <w:rPr>
                <w:rFonts w:eastAsia="Times New Roman"/>
                <w:color w:val="000000"/>
                <w:lang w:val="en-GB" w:eastAsia="en-GB"/>
              </w:rPr>
              <w:t>istal</w:t>
            </w:r>
          </w:p>
        </w:tc>
      </w:tr>
    </w:tbl>
    <w:p w:rsidR="00930650" w:rsidRPr="002E42F7" w:rsidRDefault="00053C21" w:rsidP="00053C21">
      <w:pPr>
        <w:spacing w:before="120" w:line="240" w:lineRule="auto"/>
        <w:ind w:left="2184" w:hanging="57"/>
        <w:rPr>
          <w:noProof/>
          <w:sz w:val="20"/>
          <w:szCs w:val="20"/>
        </w:rPr>
      </w:pPr>
      <w:r>
        <w:rPr>
          <w:noProof/>
          <w:sz w:val="20"/>
          <w:szCs w:val="20"/>
        </w:rPr>
        <w:t xml:space="preserve">1. </w:t>
      </w:r>
      <w:r w:rsidR="00930650" w:rsidRPr="002E42F7">
        <w:rPr>
          <w:noProof/>
          <w:sz w:val="20"/>
          <w:szCs w:val="20"/>
        </w:rPr>
        <w:t>It is assumed here that medial implies the</w:t>
      </w:r>
      <w:r w:rsidR="006B4728">
        <w:rPr>
          <w:noProof/>
          <w:sz w:val="20"/>
          <w:szCs w:val="20"/>
        </w:rPr>
        <w:t xml:space="preserve"> </w:t>
      </w:r>
      <w:r w:rsidR="006B4728" w:rsidRPr="006B4728">
        <w:rPr>
          <w:noProof/>
          <w:sz w:val="20"/>
          <w:szCs w:val="20"/>
        </w:rPr>
        <w:t>humeral</w:t>
      </w:r>
      <w:r w:rsidR="00930650" w:rsidRPr="002E42F7">
        <w:rPr>
          <w:noProof/>
          <w:sz w:val="20"/>
          <w:szCs w:val="20"/>
        </w:rPr>
        <w:t xml:space="preserve"> medial epicondyle.</w:t>
      </w:r>
    </w:p>
    <w:p w:rsidR="005914CE" w:rsidRPr="00174935" w:rsidRDefault="00494A18" w:rsidP="00930650">
      <w:pPr>
        <w:rPr>
          <w:noProof/>
        </w:rPr>
      </w:pPr>
      <w:r>
        <w:rPr>
          <w:noProof/>
        </w:rPr>
        <w:t>Zi</w:t>
      </w:r>
      <w:r w:rsidR="000F377D">
        <w:rPr>
          <w:noProof/>
        </w:rPr>
        <w:t>h</w:t>
      </w:r>
      <w:r>
        <w:rPr>
          <w:noProof/>
        </w:rPr>
        <w:t>l</w:t>
      </w:r>
      <w:r w:rsidR="000F377D">
        <w:rPr>
          <w:noProof/>
        </w:rPr>
        <w:t xml:space="preserve">man </w:t>
      </w:r>
      <w:r w:rsidR="000F377D">
        <w:rPr>
          <w:i/>
          <w:noProof/>
        </w:rPr>
        <w:t>et al</w:t>
      </w:r>
      <w:r w:rsidR="000F377D">
        <w:rPr>
          <w:noProof/>
        </w:rPr>
        <w:t>.’</w:t>
      </w:r>
      <w:r w:rsidR="00565EBD">
        <w:rPr>
          <w:noProof/>
        </w:rPr>
        <w:t>s (2007)</w:t>
      </w:r>
      <w:r w:rsidR="00B81930">
        <w:rPr>
          <w:noProof/>
        </w:rPr>
        <w:t xml:space="preserve"> sample consiste</w:t>
      </w:r>
      <w:r w:rsidR="000F377D">
        <w:rPr>
          <w:noProof/>
        </w:rPr>
        <w:t>d of 22 individuals,</w:t>
      </w:r>
      <w:r w:rsidR="00B81930">
        <w:rPr>
          <w:noProof/>
        </w:rPr>
        <w:t xml:space="preserve"> although</w:t>
      </w:r>
      <w:r w:rsidR="000F377D">
        <w:rPr>
          <w:noProof/>
        </w:rPr>
        <w:t xml:space="preserve"> those that had observable fusion and dental</w:t>
      </w:r>
      <w:r w:rsidR="0073581B">
        <w:rPr>
          <w:noProof/>
        </w:rPr>
        <w:t xml:space="preserve"> </w:t>
      </w:r>
      <w:r w:rsidR="00EB36F5">
        <w:rPr>
          <w:noProof/>
        </w:rPr>
        <w:t xml:space="preserve">features reduced the measured sample to </w:t>
      </w:r>
      <w:r w:rsidR="000F377D">
        <w:rPr>
          <w:noProof/>
        </w:rPr>
        <w:t>9</w:t>
      </w:r>
      <w:r w:rsidR="0073581B">
        <w:rPr>
          <w:noProof/>
        </w:rPr>
        <w:t xml:space="preserve">.  </w:t>
      </w:r>
      <w:r w:rsidR="000F377D">
        <w:rPr>
          <w:noProof/>
        </w:rPr>
        <w:t>The estimated age of these individual</w:t>
      </w:r>
      <w:r w:rsidR="00547A58">
        <w:rPr>
          <w:noProof/>
        </w:rPr>
        <w:t xml:space="preserve">s </w:t>
      </w:r>
      <w:r w:rsidR="006B505D">
        <w:rPr>
          <w:noProof/>
        </w:rPr>
        <w:t>relied</w:t>
      </w:r>
      <w:r w:rsidR="000F377D">
        <w:rPr>
          <w:noProof/>
        </w:rPr>
        <w:t xml:space="preserve"> on tooth emergence</w:t>
      </w:r>
      <w:r w:rsidR="006B505D">
        <w:rPr>
          <w:noProof/>
        </w:rPr>
        <w:t xml:space="preserve"> which only provided ranges of estimated age</w:t>
      </w:r>
      <w:r w:rsidR="000F377D">
        <w:rPr>
          <w:noProof/>
        </w:rPr>
        <w:t>.  These data did provide some basic dental landmarks by which point fusion had occurred for certain epiphyses</w:t>
      </w:r>
      <w:r w:rsidR="00E8255D">
        <w:rPr>
          <w:noProof/>
        </w:rPr>
        <w:t xml:space="preserve"> based on single individuals</w:t>
      </w:r>
      <w:r w:rsidR="000F377D">
        <w:rPr>
          <w:noProof/>
        </w:rPr>
        <w:t xml:space="preserve">.  </w:t>
      </w:r>
      <w:r w:rsidR="009E0B3C">
        <w:rPr>
          <w:noProof/>
        </w:rPr>
        <w:t xml:space="preserve">For example, </w:t>
      </w:r>
      <w:r w:rsidR="00E8255D">
        <w:rPr>
          <w:noProof/>
        </w:rPr>
        <w:t xml:space="preserve">for one individual </w:t>
      </w:r>
      <w:r w:rsidR="000266FF">
        <w:rPr>
          <w:noProof/>
        </w:rPr>
        <w:t xml:space="preserve">that had </w:t>
      </w:r>
      <w:r w:rsidR="009E0B3C">
        <w:rPr>
          <w:noProof/>
        </w:rPr>
        <w:t>emergence of th</w:t>
      </w:r>
      <w:r w:rsidR="000266FF">
        <w:rPr>
          <w:noProof/>
        </w:rPr>
        <w:t xml:space="preserve">e </w:t>
      </w:r>
      <w:r w:rsidR="004C7307">
        <w:rPr>
          <w:noProof/>
        </w:rPr>
        <w:t>permanent</w:t>
      </w:r>
      <w:r w:rsidR="000266FF">
        <w:rPr>
          <w:noProof/>
        </w:rPr>
        <w:t xml:space="preserve"> canine (approximate age</w:t>
      </w:r>
      <w:r w:rsidR="009E0B3C">
        <w:rPr>
          <w:noProof/>
        </w:rPr>
        <w:t xml:space="preserve"> 10.5 to 12.5</w:t>
      </w:r>
      <w:r w:rsidR="00AE019B">
        <w:rPr>
          <w:noProof/>
        </w:rPr>
        <w:t xml:space="preserve"> years</w:t>
      </w:r>
      <w:r w:rsidR="009E0B3C">
        <w:rPr>
          <w:noProof/>
        </w:rPr>
        <w:t xml:space="preserve">) the triradiate, proximal femur, and </w:t>
      </w:r>
      <w:r w:rsidR="001E7116">
        <w:rPr>
          <w:noProof/>
        </w:rPr>
        <w:t xml:space="preserve">distal humerus </w:t>
      </w:r>
      <w:r w:rsidR="009E0B3C">
        <w:rPr>
          <w:noProof/>
        </w:rPr>
        <w:t xml:space="preserve">had </w:t>
      </w:r>
      <w:r w:rsidR="00585FD7">
        <w:rPr>
          <w:noProof/>
        </w:rPr>
        <w:t xml:space="preserve">all </w:t>
      </w:r>
      <w:r w:rsidR="009E0B3C">
        <w:rPr>
          <w:noProof/>
        </w:rPr>
        <w:t xml:space="preserve">fused.  </w:t>
      </w:r>
      <w:r w:rsidR="00E8255D">
        <w:rPr>
          <w:noProof/>
        </w:rPr>
        <w:t>The basic trends that these data could produce were limited to the obervations</w:t>
      </w:r>
      <w:r w:rsidR="005914CE">
        <w:rPr>
          <w:noProof/>
        </w:rPr>
        <w:t xml:space="preserve"> in </w:t>
      </w:r>
      <w:r w:rsidR="00A17646">
        <w:rPr>
          <w:noProof/>
        </w:rPr>
        <w:t>T</w:t>
      </w:r>
      <w:r w:rsidR="005914CE">
        <w:rPr>
          <w:noProof/>
        </w:rPr>
        <w:t>able 2.6.</w:t>
      </w:r>
    </w:p>
    <w:p w:rsidR="000C4486" w:rsidRDefault="00D557BE" w:rsidP="00D557BE">
      <w:pPr>
        <w:pStyle w:val="Caption"/>
      </w:pPr>
      <w:bookmarkStart w:id="49" w:name="_Toc373180107"/>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6</w:t>
      </w:r>
      <w:r w:rsidR="008943E4">
        <w:rPr>
          <w:b/>
        </w:rPr>
        <w:fldChar w:fldCharType="end"/>
      </w:r>
      <w:r w:rsidR="000C4486" w:rsidRPr="005873E0">
        <w:rPr>
          <w:b/>
          <w:color w:val="000000" w:themeColor="text1"/>
        </w:rPr>
        <w:t xml:space="preserve"> </w:t>
      </w:r>
      <w:r w:rsidR="000C4486" w:rsidRPr="005873E0">
        <w:rPr>
          <w:color w:val="000000" w:themeColor="text1"/>
        </w:rPr>
        <w:t>Zihlman</w:t>
      </w:r>
      <w:r w:rsidR="000C4486">
        <w:rPr>
          <w:rFonts w:eastAsia="Times New Roman"/>
          <w:i/>
        </w:rPr>
        <w:t xml:space="preserve"> et al</w:t>
      </w:r>
      <w:r w:rsidR="000C4486">
        <w:rPr>
          <w:rFonts w:eastAsia="Times New Roman"/>
        </w:rPr>
        <w:t>.’s</w:t>
      </w:r>
      <w:r w:rsidR="000C4486">
        <w:t xml:space="preserve"> (2007) skeletal maturity in wild chimpanzees</w:t>
      </w:r>
      <w:bookmarkEnd w:id="49"/>
      <w:r w:rsidR="00CF23C8">
        <w:t>.</w:t>
      </w:r>
    </w:p>
    <w:tbl>
      <w:tblPr>
        <w:tblW w:w="5260" w:type="dxa"/>
        <w:jc w:val="center"/>
        <w:tblLook w:val="04A0" w:firstRow="1" w:lastRow="0" w:firstColumn="1" w:lastColumn="0" w:noHBand="0" w:noVBand="1"/>
      </w:tblPr>
      <w:tblGrid>
        <w:gridCol w:w="2850"/>
        <w:gridCol w:w="2410"/>
      </w:tblGrid>
      <w:tr w:rsidR="006848C1" w:rsidRPr="006848C1" w:rsidTr="00CA5FBB">
        <w:trPr>
          <w:cantSplit/>
          <w:trHeight w:val="345"/>
          <w:jc w:val="center"/>
        </w:trPr>
        <w:tc>
          <w:tcPr>
            <w:tcW w:w="2850" w:type="dxa"/>
            <w:tcBorders>
              <w:top w:val="single" w:sz="4" w:space="0" w:color="auto"/>
              <w:bottom w:val="single" w:sz="4" w:space="0" w:color="auto"/>
            </w:tcBorders>
            <w:shd w:val="clear" w:color="auto" w:fill="auto"/>
            <w:noWrap/>
            <w:vAlign w:val="center"/>
            <w:hideMark/>
          </w:tcPr>
          <w:p w:rsidR="00A35CA0" w:rsidRDefault="007E5C26"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A17646" w:rsidRPr="006848C1">
              <w:rPr>
                <w:rFonts w:eastAsia="Times New Roman"/>
                <w:b/>
                <w:bCs/>
                <w:color w:val="000000"/>
                <w:lang w:val="en-GB" w:eastAsia="en-GB"/>
              </w:rPr>
              <w:t xml:space="preserve">keletal </w:t>
            </w:r>
            <w:r w:rsidR="006848C1" w:rsidRPr="006848C1">
              <w:rPr>
                <w:rFonts w:eastAsia="Times New Roman"/>
                <w:b/>
                <w:bCs/>
                <w:color w:val="000000"/>
                <w:lang w:val="en-GB" w:eastAsia="en-GB"/>
              </w:rPr>
              <w:t>element</w:t>
            </w:r>
          </w:p>
        </w:tc>
        <w:tc>
          <w:tcPr>
            <w:tcW w:w="2410" w:type="dxa"/>
            <w:tcBorders>
              <w:top w:val="single" w:sz="4" w:space="0" w:color="auto"/>
              <w:bottom w:val="single" w:sz="4" w:space="0" w:color="auto"/>
            </w:tcBorders>
            <w:shd w:val="clear" w:color="auto" w:fill="auto"/>
            <w:noWrap/>
            <w:vAlign w:val="center"/>
            <w:hideMark/>
          </w:tcPr>
          <w:p w:rsidR="00A35CA0" w:rsidRDefault="007E5C26"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w</w:t>
            </w:r>
            <w:r w:rsidR="00A17646" w:rsidRPr="006848C1">
              <w:rPr>
                <w:rFonts w:eastAsia="Times New Roman"/>
                <w:b/>
                <w:bCs/>
                <w:color w:val="000000"/>
                <w:lang w:val="en-GB" w:eastAsia="en-GB"/>
              </w:rPr>
              <w:t xml:space="preserve">ild </w:t>
            </w:r>
            <w:r w:rsidR="006848C1" w:rsidRPr="006848C1">
              <w:rPr>
                <w:rFonts w:eastAsia="Times New Roman"/>
                <w:b/>
                <w:bCs/>
                <w:color w:val="000000"/>
                <w:lang w:val="en-GB" w:eastAsia="en-GB"/>
              </w:rPr>
              <w:t>(years)</w:t>
            </w:r>
          </w:p>
        </w:tc>
      </w:tr>
      <w:tr w:rsidR="00A17646" w:rsidRPr="006848C1" w:rsidTr="007E5C26">
        <w:trPr>
          <w:cantSplit/>
          <w:trHeight w:val="375"/>
          <w:jc w:val="center"/>
        </w:trPr>
        <w:tc>
          <w:tcPr>
            <w:tcW w:w="2850" w:type="dxa"/>
            <w:vMerge w:val="restart"/>
            <w:tcBorders>
              <w:top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lang w:val="en-GB" w:eastAsia="en-GB"/>
              </w:rPr>
            </w:pPr>
            <w:r w:rsidRPr="006848C1">
              <w:rPr>
                <w:rFonts w:eastAsia="Times New Roman"/>
                <w:color w:val="000000"/>
                <w:lang w:val="en-GB" w:eastAsia="en-GB"/>
              </w:rPr>
              <w:t>distal humerus fully fused</w:t>
            </w:r>
          </w:p>
        </w:tc>
        <w:tc>
          <w:tcPr>
            <w:tcW w:w="2410" w:type="dxa"/>
            <w:tcBorders>
              <w:top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female</w:t>
            </w:r>
            <w:r>
              <w:rPr>
                <w:rFonts w:eastAsia="Times New Roman"/>
                <w:color w:val="000000"/>
                <w:vertAlign w:val="superscript"/>
                <w:lang w:val="en-GB" w:eastAsia="en-GB"/>
              </w:rPr>
              <w:t>1.</w:t>
            </w:r>
            <w:r w:rsidRPr="006848C1">
              <w:rPr>
                <w:rFonts w:eastAsia="Times New Roman"/>
                <w:color w:val="000000"/>
                <w:lang w:val="en-GB" w:eastAsia="en-GB"/>
              </w:rPr>
              <w:t>: before 12.5</w:t>
            </w:r>
          </w:p>
        </w:tc>
      </w:tr>
      <w:tr w:rsidR="00A17646" w:rsidRPr="006848C1" w:rsidTr="00CA5FBB">
        <w:trPr>
          <w:cantSplit/>
          <w:trHeight w:val="315"/>
          <w:jc w:val="center"/>
        </w:trPr>
        <w:tc>
          <w:tcPr>
            <w:tcW w:w="2850" w:type="dxa"/>
            <w:vMerge/>
            <w:tcBorders>
              <w:bottom w:val="single" w:sz="4" w:space="0" w:color="auto"/>
            </w:tcBorders>
            <w:shd w:val="clear" w:color="auto" w:fill="auto"/>
            <w:noWrap/>
            <w:vAlign w:val="center"/>
            <w:hideMark/>
          </w:tcPr>
          <w:p w:rsidR="00A35CA0" w:rsidRDefault="00A35CA0" w:rsidP="00CA5FBB">
            <w:pPr>
              <w:spacing w:before="0" w:line="240" w:lineRule="auto"/>
              <w:jc w:val="left"/>
              <w:rPr>
                <w:rFonts w:eastAsia="Times New Roman"/>
                <w:color w:val="000000"/>
                <w:lang w:val="en-GB" w:eastAsia="en-GB"/>
              </w:rPr>
            </w:pPr>
          </w:p>
        </w:tc>
        <w:tc>
          <w:tcPr>
            <w:tcW w:w="2410" w:type="dxa"/>
            <w:tcBorders>
              <w:bottom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male</w:t>
            </w:r>
            <w:r w:rsidRPr="006848C1">
              <w:rPr>
                <w:rFonts w:eastAsia="Times New Roman"/>
                <w:color w:val="000000"/>
                <w:lang w:val="en-GB" w:eastAsia="en-GB"/>
              </w:rPr>
              <w:t>: before 13.5</w:t>
            </w:r>
          </w:p>
        </w:tc>
      </w:tr>
      <w:tr w:rsidR="00A17646" w:rsidRPr="006848C1" w:rsidTr="00CA5FBB">
        <w:trPr>
          <w:cantSplit/>
          <w:trHeight w:val="375"/>
          <w:jc w:val="center"/>
        </w:trPr>
        <w:tc>
          <w:tcPr>
            <w:tcW w:w="2850" w:type="dxa"/>
            <w:vMerge w:val="restart"/>
            <w:tcBorders>
              <w:top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lang w:val="en-GB" w:eastAsia="en-GB"/>
              </w:rPr>
            </w:pPr>
            <w:r w:rsidRPr="006848C1">
              <w:rPr>
                <w:rFonts w:eastAsia="Times New Roman"/>
                <w:color w:val="000000"/>
                <w:lang w:val="en-GB" w:eastAsia="en-GB"/>
              </w:rPr>
              <w:t>acetabulum fully fused</w:t>
            </w:r>
          </w:p>
        </w:tc>
        <w:tc>
          <w:tcPr>
            <w:tcW w:w="2410" w:type="dxa"/>
            <w:tcBorders>
              <w:top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female</w:t>
            </w:r>
            <w:r>
              <w:rPr>
                <w:rFonts w:eastAsia="Times New Roman"/>
                <w:color w:val="000000"/>
                <w:vertAlign w:val="superscript"/>
                <w:lang w:val="en-GB" w:eastAsia="en-GB"/>
              </w:rPr>
              <w:t>2.</w:t>
            </w:r>
            <w:r w:rsidRPr="006848C1">
              <w:rPr>
                <w:rFonts w:eastAsia="Times New Roman"/>
                <w:color w:val="000000"/>
                <w:lang w:val="en-GB" w:eastAsia="en-GB"/>
              </w:rPr>
              <w:t>: before 12.5</w:t>
            </w:r>
          </w:p>
        </w:tc>
      </w:tr>
      <w:tr w:rsidR="00A17646" w:rsidRPr="006848C1" w:rsidTr="00CA5FBB">
        <w:trPr>
          <w:cantSplit/>
          <w:trHeight w:val="315"/>
          <w:jc w:val="center"/>
        </w:trPr>
        <w:tc>
          <w:tcPr>
            <w:tcW w:w="2850" w:type="dxa"/>
            <w:vMerge/>
            <w:tcBorders>
              <w:bottom w:val="single" w:sz="4" w:space="0" w:color="auto"/>
            </w:tcBorders>
            <w:shd w:val="clear" w:color="auto" w:fill="auto"/>
            <w:noWrap/>
            <w:vAlign w:val="center"/>
            <w:hideMark/>
          </w:tcPr>
          <w:p w:rsidR="00A35CA0" w:rsidRDefault="00A35CA0" w:rsidP="00CA5FBB">
            <w:pPr>
              <w:spacing w:before="0" w:line="240" w:lineRule="auto"/>
              <w:jc w:val="left"/>
              <w:rPr>
                <w:rFonts w:eastAsia="Times New Roman"/>
                <w:color w:val="000000"/>
                <w:lang w:val="en-GB" w:eastAsia="en-GB"/>
              </w:rPr>
            </w:pPr>
          </w:p>
        </w:tc>
        <w:tc>
          <w:tcPr>
            <w:tcW w:w="2410" w:type="dxa"/>
            <w:tcBorders>
              <w:bottom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male</w:t>
            </w:r>
            <w:r w:rsidRPr="006848C1">
              <w:rPr>
                <w:rFonts w:eastAsia="Times New Roman"/>
                <w:color w:val="000000"/>
                <w:lang w:val="en-GB" w:eastAsia="en-GB"/>
              </w:rPr>
              <w:t>: before 14.5</w:t>
            </w:r>
          </w:p>
        </w:tc>
      </w:tr>
      <w:tr w:rsidR="00A17646" w:rsidRPr="006848C1" w:rsidTr="00CA5FBB">
        <w:trPr>
          <w:cantSplit/>
          <w:trHeight w:val="315"/>
          <w:jc w:val="center"/>
        </w:trPr>
        <w:tc>
          <w:tcPr>
            <w:tcW w:w="2850" w:type="dxa"/>
            <w:vMerge w:val="restart"/>
            <w:tcBorders>
              <w:top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lang w:val="en-GB" w:eastAsia="en-GB"/>
              </w:rPr>
            </w:pPr>
            <w:r w:rsidRPr="006848C1">
              <w:rPr>
                <w:rFonts w:eastAsia="Times New Roman"/>
                <w:color w:val="000000"/>
                <w:lang w:val="en-GB" w:eastAsia="en-GB"/>
              </w:rPr>
              <w:t>distal femur fully fused</w:t>
            </w:r>
          </w:p>
        </w:tc>
        <w:tc>
          <w:tcPr>
            <w:tcW w:w="2410" w:type="dxa"/>
            <w:tcBorders>
              <w:top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female</w:t>
            </w:r>
            <w:r w:rsidRPr="006848C1">
              <w:rPr>
                <w:rFonts w:eastAsia="Times New Roman"/>
                <w:color w:val="000000"/>
                <w:lang w:val="en-GB" w:eastAsia="en-GB"/>
              </w:rPr>
              <w:t>: before 16.5</w:t>
            </w:r>
          </w:p>
        </w:tc>
      </w:tr>
      <w:tr w:rsidR="00A17646" w:rsidRPr="006848C1" w:rsidTr="00CA5FBB">
        <w:trPr>
          <w:cantSplit/>
          <w:trHeight w:val="315"/>
          <w:jc w:val="center"/>
        </w:trPr>
        <w:tc>
          <w:tcPr>
            <w:tcW w:w="2850" w:type="dxa"/>
            <w:vMerge/>
            <w:tcBorders>
              <w:bottom w:val="single" w:sz="4" w:space="0" w:color="auto"/>
            </w:tcBorders>
            <w:shd w:val="clear" w:color="auto" w:fill="auto"/>
            <w:noWrap/>
            <w:vAlign w:val="center"/>
            <w:hideMark/>
          </w:tcPr>
          <w:p w:rsidR="00A35CA0" w:rsidRDefault="00A35CA0" w:rsidP="00CA5FBB">
            <w:pPr>
              <w:spacing w:before="0" w:line="240" w:lineRule="auto"/>
              <w:jc w:val="left"/>
              <w:rPr>
                <w:rFonts w:eastAsia="Times New Roman"/>
                <w:color w:val="000000"/>
                <w:lang w:val="en-GB" w:eastAsia="en-GB"/>
              </w:rPr>
            </w:pPr>
          </w:p>
        </w:tc>
        <w:tc>
          <w:tcPr>
            <w:tcW w:w="2410" w:type="dxa"/>
            <w:tcBorders>
              <w:bottom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male</w:t>
            </w:r>
            <w:r w:rsidRPr="006848C1">
              <w:rPr>
                <w:rFonts w:eastAsia="Times New Roman"/>
                <w:color w:val="000000"/>
                <w:lang w:val="en-GB" w:eastAsia="en-GB"/>
              </w:rPr>
              <w:t>: before 14.5</w:t>
            </w:r>
          </w:p>
        </w:tc>
      </w:tr>
      <w:tr w:rsidR="00A17646" w:rsidRPr="006848C1" w:rsidTr="00CA5FBB">
        <w:trPr>
          <w:cantSplit/>
          <w:trHeight w:val="375"/>
          <w:jc w:val="center"/>
        </w:trPr>
        <w:tc>
          <w:tcPr>
            <w:tcW w:w="2850" w:type="dxa"/>
            <w:vMerge w:val="restart"/>
            <w:tcBorders>
              <w:top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lang w:val="en-GB" w:eastAsia="en-GB"/>
              </w:rPr>
            </w:pPr>
            <w:r w:rsidRPr="006848C1">
              <w:rPr>
                <w:rFonts w:eastAsia="Times New Roman"/>
                <w:color w:val="000000"/>
                <w:lang w:val="en-GB" w:eastAsia="en-GB"/>
              </w:rPr>
              <w:t>humeral head fully fused</w:t>
            </w:r>
          </w:p>
        </w:tc>
        <w:tc>
          <w:tcPr>
            <w:tcW w:w="2410" w:type="dxa"/>
            <w:tcBorders>
              <w:top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female</w:t>
            </w:r>
            <w:r w:rsidRPr="006848C1">
              <w:rPr>
                <w:rFonts w:eastAsia="Times New Roman"/>
                <w:color w:val="000000"/>
                <w:lang w:val="en-GB" w:eastAsia="en-GB"/>
              </w:rPr>
              <w:t>: before 16.5</w:t>
            </w:r>
          </w:p>
        </w:tc>
      </w:tr>
      <w:tr w:rsidR="00A17646" w:rsidRPr="006848C1" w:rsidTr="00CA5FBB">
        <w:trPr>
          <w:cantSplit/>
          <w:trHeight w:val="375"/>
          <w:jc w:val="center"/>
        </w:trPr>
        <w:tc>
          <w:tcPr>
            <w:tcW w:w="2850" w:type="dxa"/>
            <w:vMerge/>
            <w:tcBorders>
              <w:bottom w:val="single" w:sz="4" w:space="0" w:color="auto"/>
            </w:tcBorders>
            <w:shd w:val="clear" w:color="auto" w:fill="auto"/>
            <w:noWrap/>
            <w:vAlign w:val="center"/>
            <w:hideMark/>
          </w:tcPr>
          <w:p w:rsidR="00A35CA0" w:rsidRDefault="00A35CA0" w:rsidP="00CA5FBB">
            <w:pPr>
              <w:spacing w:before="0" w:line="240" w:lineRule="auto"/>
              <w:jc w:val="left"/>
              <w:rPr>
                <w:rFonts w:eastAsia="Times New Roman"/>
                <w:color w:val="000000"/>
                <w:lang w:val="en-GB" w:eastAsia="en-GB"/>
              </w:rPr>
            </w:pPr>
          </w:p>
        </w:tc>
        <w:tc>
          <w:tcPr>
            <w:tcW w:w="2410" w:type="dxa"/>
            <w:tcBorders>
              <w:bottom w:val="single" w:sz="4" w:space="0" w:color="auto"/>
            </w:tcBorders>
            <w:shd w:val="clear" w:color="auto" w:fill="auto"/>
            <w:noWrap/>
            <w:vAlign w:val="center"/>
            <w:hideMark/>
          </w:tcPr>
          <w:p w:rsidR="00A35CA0" w:rsidRDefault="00A17646"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male</w:t>
            </w:r>
            <w:r w:rsidRPr="006848C1">
              <w:rPr>
                <w:rFonts w:eastAsia="Times New Roman"/>
                <w:color w:val="000000"/>
                <w:lang w:val="en-GB" w:eastAsia="en-GB"/>
              </w:rPr>
              <w:t>: before 14.5</w:t>
            </w:r>
          </w:p>
        </w:tc>
      </w:tr>
    </w:tbl>
    <w:p w:rsidR="00A35CA0" w:rsidRDefault="00A303DE" w:rsidP="00CA5FBB">
      <w:pPr>
        <w:pStyle w:val="ListParagraph"/>
        <w:numPr>
          <w:ilvl w:val="0"/>
          <w:numId w:val="40"/>
        </w:numPr>
        <w:spacing w:before="120" w:line="240" w:lineRule="auto"/>
        <w:ind w:left="714" w:hanging="357"/>
        <w:jc w:val="center"/>
        <w:rPr>
          <w:rFonts w:eastAsia="Times New Roman"/>
          <w:color w:val="000000"/>
          <w:sz w:val="20"/>
          <w:lang w:val="en-GB" w:eastAsia="en-GB"/>
        </w:rPr>
      </w:pPr>
      <w:r>
        <w:rPr>
          <w:rFonts w:eastAsia="Times New Roman"/>
          <w:color w:val="000000"/>
          <w:sz w:val="20"/>
          <w:lang w:val="en-GB" w:eastAsia="en-GB"/>
        </w:rPr>
        <w:t>M</w:t>
      </w:r>
      <w:r w:rsidRPr="00464D49">
        <w:rPr>
          <w:rFonts w:eastAsia="Times New Roman"/>
          <w:color w:val="000000"/>
          <w:sz w:val="20"/>
          <w:lang w:val="en-GB" w:eastAsia="en-GB"/>
        </w:rPr>
        <w:t>issing data for one of the three individuals sampled (aged 10.5)</w:t>
      </w:r>
    </w:p>
    <w:p w:rsidR="00A35CA0" w:rsidRDefault="00A303DE" w:rsidP="00CA5FBB">
      <w:pPr>
        <w:pStyle w:val="ListParagraph"/>
        <w:numPr>
          <w:ilvl w:val="0"/>
          <w:numId w:val="40"/>
        </w:numPr>
        <w:spacing w:before="120" w:line="240" w:lineRule="auto"/>
        <w:ind w:left="714" w:hanging="357"/>
        <w:jc w:val="center"/>
        <w:rPr>
          <w:rFonts w:eastAsia="Times New Roman"/>
          <w:color w:val="000000"/>
          <w:sz w:val="20"/>
          <w:lang w:val="en-GB" w:eastAsia="en-GB"/>
        </w:rPr>
      </w:pPr>
      <w:r>
        <w:rPr>
          <w:rFonts w:eastAsia="Times New Roman"/>
          <w:color w:val="000000"/>
          <w:sz w:val="20"/>
          <w:lang w:val="en-GB" w:eastAsia="en-GB"/>
        </w:rPr>
        <w:t>M</w:t>
      </w:r>
      <w:r w:rsidRPr="00464D49">
        <w:rPr>
          <w:rFonts w:eastAsia="Times New Roman"/>
          <w:color w:val="000000"/>
          <w:sz w:val="20"/>
          <w:lang w:val="en-GB" w:eastAsia="en-GB"/>
        </w:rPr>
        <w:t>issing data for one of the three individuals sampled (aged 10.5)</w:t>
      </w:r>
    </w:p>
    <w:p w:rsidR="00E243BF" w:rsidRPr="0002764E" w:rsidRDefault="00AA5899" w:rsidP="00207A2A">
      <w:pPr>
        <w:rPr>
          <w:noProof/>
        </w:rPr>
      </w:pPr>
      <w:r>
        <w:rPr>
          <w:noProof/>
        </w:rPr>
        <w:lastRenderedPageBreak/>
        <w:t xml:space="preserve">Bolter and Zihlman (2012) </w:t>
      </w:r>
      <w:r w:rsidR="002A2E48">
        <w:rPr>
          <w:noProof/>
        </w:rPr>
        <w:t xml:space="preserve">provided further data from 5 captive individuals, used for a comparison with </w:t>
      </w:r>
      <w:r w:rsidR="002A2E48">
        <w:rPr>
          <w:i/>
          <w:noProof/>
        </w:rPr>
        <w:t>Pan paniscus</w:t>
      </w:r>
      <w:r w:rsidR="002A2E48">
        <w:rPr>
          <w:noProof/>
        </w:rPr>
        <w:t xml:space="preserve">.  They also provided a comparative table for the epiphyses observed including </w:t>
      </w:r>
      <w:r w:rsidR="00E243BF">
        <w:rPr>
          <w:noProof/>
        </w:rPr>
        <w:t>Kerley (1966).  Th</w:t>
      </w:r>
      <w:r w:rsidR="002A2E48">
        <w:rPr>
          <w:noProof/>
        </w:rPr>
        <w:t xml:space="preserve">is comparison is reproduced in </w:t>
      </w:r>
      <w:r w:rsidR="00E243BF">
        <w:rPr>
          <w:noProof/>
        </w:rPr>
        <w:t xml:space="preserve">below in </w:t>
      </w:r>
      <w:r w:rsidR="00A17646">
        <w:rPr>
          <w:noProof/>
        </w:rPr>
        <w:t xml:space="preserve">Table </w:t>
      </w:r>
      <w:r w:rsidR="00E243BF">
        <w:rPr>
          <w:noProof/>
        </w:rPr>
        <w:t>2.</w:t>
      </w:r>
      <w:r w:rsidR="00001A9C">
        <w:rPr>
          <w:noProof/>
        </w:rPr>
        <w:t>7</w:t>
      </w:r>
      <w:r w:rsidR="00E243BF">
        <w:rPr>
          <w:noProof/>
        </w:rPr>
        <w:t>.</w:t>
      </w:r>
    </w:p>
    <w:p w:rsidR="00022E30" w:rsidRPr="00D557BE" w:rsidRDefault="00D557BE" w:rsidP="00D557BE">
      <w:pPr>
        <w:pStyle w:val="Caption"/>
        <w:keepNext/>
        <w:jc w:val="left"/>
      </w:pPr>
      <w:bookmarkStart w:id="50" w:name="_Toc373180108"/>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7</w:t>
      </w:r>
      <w:r w:rsidR="008943E4">
        <w:rPr>
          <w:b/>
        </w:rPr>
        <w:fldChar w:fldCharType="end"/>
      </w:r>
      <w:r w:rsidR="009C2841">
        <w:t xml:space="preserve"> </w:t>
      </w:r>
      <w:r w:rsidR="00022E30" w:rsidRPr="00022E30">
        <w:t>Reproduced comparison of</w:t>
      </w:r>
      <w:r w:rsidR="00CF23C8">
        <w:t xml:space="preserve"> estimated</w:t>
      </w:r>
      <w:r w:rsidR="007F716A">
        <w:t xml:space="preserve"> ages for fusion</w:t>
      </w:r>
      <w:r w:rsidR="008E578C">
        <w:t xml:space="preserve"> events</w:t>
      </w:r>
      <w:r w:rsidR="007F716A">
        <w:t xml:space="preserve"> </w:t>
      </w:r>
      <w:r w:rsidR="008E578C">
        <w:t>in</w:t>
      </w:r>
      <w:r w:rsidR="00022E30" w:rsidRPr="00022E30">
        <w:t xml:space="preserve"> Bo</w:t>
      </w:r>
      <w:r w:rsidR="000738FB">
        <w:t>lter and Zih</w:t>
      </w:r>
      <w:r w:rsidR="00022E30" w:rsidRPr="00022E30">
        <w:t xml:space="preserve">lman (2012), Kerley (1966), and Zihlman </w:t>
      </w:r>
      <w:r w:rsidR="00022E30" w:rsidRPr="00022E30">
        <w:rPr>
          <w:i/>
        </w:rPr>
        <w:t>et al</w:t>
      </w:r>
      <w:r w:rsidR="007F716A">
        <w:rPr>
          <w:i/>
        </w:rPr>
        <w:t>.</w:t>
      </w:r>
      <w:r w:rsidR="00022E30" w:rsidRPr="00022E30">
        <w:t xml:space="preserve"> (2007) </w:t>
      </w:r>
      <w:r w:rsidR="008E578C">
        <w:t xml:space="preserve">as presented by </w:t>
      </w:r>
      <w:r w:rsidR="00022E30" w:rsidRPr="00022E30">
        <w:t>Bolter and Zihlman (2012)</w:t>
      </w:r>
      <w:r w:rsidR="008943E4" w:rsidRPr="00CA5FBB">
        <w:t>.</w:t>
      </w:r>
      <w:bookmarkEnd w:id="50"/>
    </w:p>
    <w:tbl>
      <w:tblPr>
        <w:tblW w:w="9498" w:type="dxa"/>
        <w:tblInd w:w="-34" w:type="dxa"/>
        <w:tblBorders>
          <w:top w:val="single" w:sz="4" w:space="0" w:color="auto"/>
          <w:bottom w:val="single" w:sz="4" w:space="0" w:color="auto"/>
        </w:tblBorders>
        <w:tblLook w:val="04A0" w:firstRow="1" w:lastRow="0" w:firstColumn="1" w:lastColumn="0" w:noHBand="0" w:noVBand="1"/>
      </w:tblPr>
      <w:tblGrid>
        <w:gridCol w:w="2552"/>
        <w:gridCol w:w="2126"/>
        <w:gridCol w:w="2268"/>
        <w:gridCol w:w="2552"/>
      </w:tblGrid>
      <w:tr w:rsidR="00022E30" w:rsidRPr="009116C6" w:rsidTr="00970138">
        <w:trPr>
          <w:trHeight w:val="300"/>
        </w:trPr>
        <w:tc>
          <w:tcPr>
            <w:tcW w:w="2552" w:type="dxa"/>
            <w:tcBorders>
              <w:top w:val="single" w:sz="4" w:space="0" w:color="auto"/>
              <w:bottom w:val="single" w:sz="4" w:space="0" w:color="auto"/>
            </w:tcBorders>
            <w:shd w:val="clear" w:color="auto" w:fill="auto"/>
            <w:noWrap/>
            <w:vAlign w:val="center"/>
            <w:hideMark/>
          </w:tcPr>
          <w:p w:rsidR="00022E30" w:rsidRPr="009116C6" w:rsidRDefault="00132F3C" w:rsidP="00207A2A">
            <w:pPr>
              <w:spacing w:before="0" w:line="240" w:lineRule="auto"/>
              <w:jc w:val="center"/>
              <w:rPr>
                <w:rFonts w:eastAsia="Times New Roman"/>
                <w:b/>
                <w:bCs/>
                <w:color w:val="000000"/>
                <w:lang w:val="en-GB" w:eastAsia="en-GB"/>
              </w:rPr>
            </w:pPr>
            <w:r>
              <w:rPr>
                <w:rFonts w:eastAsia="Times New Roman"/>
                <w:b/>
                <w:bCs/>
                <w:color w:val="000000"/>
                <w:lang w:val="en-GB" w:eastAsia="en-GB"/>
              </w:rPr>
              <w:t>skeletal element</w:t>
            </w:r>
          </w:p>
        </w:tc>
        <w:tc>
          <w:tcPr>
            <w:tcW w:w="2126" w:type="dxa"/>
            <w:tcBorders>
              <w:top w:val="single" w:sz="4" w:space="0" w:color="auto"/>
              <w:bottom w:val="single" w:sz="4" w:space="0" w:color="auto"/>
            </w:tcBorders>
            <w:shd w:val="clear" w:color="auto" w:fill="auto"/>
            <w:noWrap/>
            <w:vAlign w:val="center"/>
            <w:hideMark/>
          </w:tcPr>
          <w:p w:rsidR="00022E30" w:rsidRPr="009116C6" w:rsidRDefault="00022E30" w:rsidP="00E11C67">
            <w:pPr>
              <w:spacing w:before="0" w:line="240" w:lineRule="auto"/>
              <w:jc w:val="center"/>
              <w:rPr>
                <w:rFonts w:eastAsia="Times New Roman"/>
                <w:b/>
                <w:bCs/>
                <w:color w:val="000000"/>
                <w:lang w:val="en-GB" w:eastAsia="en-GB"/>
              </w:rPr>
            </w:pPr>
            <w:r w:rsidRPr="009116C6">
              <w:rPr>
                <w:rFonts w:eastAsia="Times New Roman"/>
                <w:b/>
                <w:bCs/>
                <w:color w:val="000000"/>
                <w:lang w:val="en-GB" w:eastAsia="en-GB"/>
              </w:rPr>
              <w:t xml:space="preserve">Bolter and Zihlman 2012, captive, age in years, </w:t>
            </w:r>
            <w:r w:rsidR="00E11C67">
              <w:rPr>
                <w:rFonts w:eastAsia="Times New Roman"/>
                <w:b/>
                <w:bCs/>
                <w:i/>
                <w:color w:val="000000"/>
                <w:lang w:val="en-GB" w:eastAsia="en-GB"/>
              </w:rPr>
              <w:t xml:space="preserve">N </w:t>
            </w:r>
            <w:r w:rsidRPr="009116C6">
              <w:rPr>
                <w:rFonts w:eastAsia="Times New Roman"/>
                <w:b/>
                <w:bCs/>
                <w:color w:val="000000"/>
                <w:lang w:val="en-GB" w:eastAsia="en-GB"/>
              </w:rPr>
              <w:t>=</w:t>
            </w:r>
            <w:r w:rsidR="00E11C67">
              <w:rPr>
                <w:rFonts w:eastAsia="Times New Roman"/>
                <w:b/>
                <w:bCs/>
                <w:color w:val="000000"/>
                <w:lang w:val="en-GB" w:eastAsia="en-GB"/>
              </w:rPr>
              <w:t xml:space="preserve"> </w:t>
            </w:r>
            <w:r w:rsidRPr="009116C6">
              <w:rPr>
                <w:rFonts w:eastAsia="Times New Roman"/>
                <w:b/>
                <w:bCs/>
                <w:color w:val="000000"/>
                <w:lang w:val="en-GB" w:eastAsia="en-GB"/>
              </w:rPr>
              <w:t>5</w:t>
            </w:r>
          </w:p>
        </w:tc>
        <w:tc>
          <w:tcPr>
            <w:tcW w:w="2268" w:type="dxa"/>
            <w:tcBorders>
              <w:top w:val="single" w:sz="4" w:space="0" w:color="auto"/>
              <w:bottom w:val="single" w:sz="4" w:space="0" w:color="auto"/>
            </w:tcBorders>
            <w:shd w:val="clear" w:color="auto" w:fill="auto"/>
            <w:noWrap/>
            <w:vAlign w:val="center"/>
            <w:hideMark/>
          </w:tcPr>
          <w:p w:rsidR="00022E30" w:rsidRPr="009116C6" w:rsidRDefault="00022E30" w:rsidP="00E11C67">
            <w:pPr>
              <w:spacing w:before="0" w:line="240" w:lineRule="auto"/>
              <w:jc w:val="center"/>
              <w:rPr>
                <w:rFonts w:eastAsia="Times New Roman"/>
                <w:b/>
                <w:bCs/>
                <w:color w:val="000000"/>
                <w:lang w:val="en-GB" w:eastAsia="en-GB"/>
              </w:rPr>
            </w:pPr>
            <w:r w:rsidRPr="009116C6">
              <w:rPr>
                <w:rFonts w:eastAsia="Times New Roman"/>
                <w:b/>
                <w:bCs/>
                <w:color w:val="000000"/>
                <w:lang w:val="en-GB" w:eastAsia="en-GB"/>
              </w:rPr>
              <w:t xml:space="preserve">Kerley 1966, captives from Yerkes, age in year, </w:t>
            </w:r>
            <w:r w:rsidR="00E11C67">
              <w:rPr>
                <w:rFonts w:eastAsia="Times New Roman"/>
                <w:b/>
                <w:bCs/>
                <w:i/>
                <w:color w:val="000000"/>
                <w:lang w:val="en-GB" w:eastAsia="en-GB"/>
              </w:rPr>
              <w:t xml:space="preserve">N </w:t>
            </w:r>
            <w:r w:rsidRPr="009116C6">
              <w:rPr>
                <w:rFonts w:eastAsia="Times New Roman"/>
                <w:b/>
                <w:bCs/>
                <w:color w:val="000000"/>
                <w:lang w:val="en-GB" w:eastAsia="en-GB"/>
              </w:rPr>
              <w:t>=</w:t>
            </w:r>
            <w:r w:rsidR="00E11C67">
              <w:rPr>
                <w:rFonts w:eastAsia="Times New Roman"/>
                <w:b/>
                <w:bCs/>
                <w:color w:val="000000"/>
                <w:lang w:val="en-GB" w:eastAsia="en-GB"/>
              </w:rPr>
              <w:t xml:space="preserve"> </w:t>
            </w:r>
            <w:r w:rsidRPr="009116C6">
              <w:rPr>
                <w:rFonts w:eastAsia="Times New Roman"/>
                <w:b/>
                <w:bCs/>
                <w:color w:val="000000"/>
                <w:lang w:val="en-GB" w:eastAsia="en-GB"/>
              </w:rPr>
              <w:t>10</w:t>
            </w:r>
            <w:r w:rsidRPr="00B645DF">
              <w:rPr>
                <w:rFonts w:eastAsia="Times New Roman"/>
                <w:b/>
                <w:bCs/>
                <w:color w:val="000000"/>
                <w:vertAlign w:val="superscript"/>
                <w:lang w:val="en-GB" w:eastAsia="en-GB"/>
              </w:rPr>
              <w:t>1.</w:t>
            </w:r>
          </w:p>
        </w:tc>
        <w:tc>
          <w:tcPr>
            <w:tcW w:w="2552" w:type="dxa"/>
            <w:tcBorders>
              <w:top w:val="single" w:sz="4" w:space="0" w:color="auto"/>
              <w:bottom w:val="single" w:sz="4" w:space="0" w:color="auto"/>
            </w:tcBorders>
            <w:shd w:val="clear" w:color="auto" w:fill="auto"/>
            <w:noWrap/>
            <w:vAlign w:val="center"/>
            <w:hideMark/>
          </w:tcPr>
          <w:p w:rsidR="00022E30" w:rsidRPr="009116C6" w:rsidRDefault="00022E30" w:rsidP="00E11C67">
            <w:pPr>
              <w:spacing w:before="0" w:line="240" w:lineRule="auto"/>
              <w:jc w:val="center"/>
              <w:rPr>
                <w:rFonts w:eastAsia="Times New Roman"/>
                <w:b/>
                <w:bCs/>
                <w:color w:val="000000"/>
                <w:lang w:val="en-GB" w:eastAsia="en-GB"/>
              </w:rPr>
            </w:pPr>
            <w:r w:rsidRPr="009116C6">
              <w:rPr>
                <w:rFonts w:eastAsia="Times New Roman"/>
                <w:b/>
                <w:bCs/>
                <w:color w:val="000000"/>
                <w:lang w:val="en-GB" w:eastAsia="en-GB"/>
              </w:rPr>
              <w:t xml:space="preserve">Zihlman </w:t>
            </w:r>
            <w:r w:rsidRPr="009116C6">
              <w:rPr>
                <w:rFonts w:eastAsia="Times New Roman"/>
                <w:b/>
                <w:bCs/>
                <w:i/>
                <w:iCs/>
                <w:color w:val="000000"/>
                <w:lang w:val="en-GB" w:eastAsia="en-GB"/>
              </w:rPr>
              <w:t>et al</w:t>
            </w:r>
            <w:r w:rsidRPr="009116C6">
              <w:rPr>
                <w:rFonts w:eastAsia="Times New Roman"/>
                <w:b/>
                <w:bCs/>
                <w:color w:val="000000"/>
                <w:lang w:val="en-GB" w:eastAsia="en-GB"/>
              </w:rPr>
              <w:t xml:space="preserve">. 2007, wild from Tai National Park, age in years, </w:t>
            </w:r>
            <w:r w:rsidR="00E11C67">
              <w:rPr>
                <w:rFonts w:eastAsia="Times New Roman"/>
                <w:b/>
                <w:bCs/>
                <w:i/>
                <w:color w:val="000000"/>
                <w:lang w:val="en-GB" w:eastAsia="en-GB"/>
              </w:rPr>
              <w:t xml:space="preserve">N </w:t>
            </w:r>
            <w:r w:rsidRPr="009116C6">
              <w:rPr>
                <w:rFonts w:eastAsia="Times New Roman"/>
                <w:b/>
                <w:bCs/>
                <w:color w:val="000000"/>
                <w:lang w:val="en-GB" w:eastAsia="en-GB"/>
              </w:rPr>
              <w:t>=</w:t>
            </w:r>
            <w:r w:rsidR="00E11C67">
              <w:rPr>
                <w:rFonts w:eastAsia="Times New Roman"/>
                <w:b/>
                <w:bCs/>
                <w:color w:val="000000"/>
                <w:lang w:val="en-GB" w:eastAsia="en-GB"/>
              </w:rPr>
              <w:t xml:space="preserve"> </w:t>
            </w:r>
            <w:r w:rsidRPr="009116C6">
              <w:rPr>
                <w:rFonts w:eastAsia="Times New Roman"/>
                <w:b/>
                <w:bCs/>
                <w:color w:val="000000"/>
                <w:lang w:val="en-GB" w:eastAsia="en-GB"/>
              </w:rPr>
              <w:t>9</w:t>
            </w:r>
          </w:p>
        </w:tc>
      </w:tr>
      <w:tr w:rsidR="00022E30" w:rsidRPr="009116C6" w:rsidTr="00970138">
        <w:trPr>
          <w:trHeight w:val="300"/>
        </w:trPr>
        <w:tc>
          <w:tcPr>
            <w:tcW w:w="2552" w:type="dxa"/>
            <w:tcBorders>
              <w:top w:val="single" w:sz="4" w:space="0" w:color="auto"/>
            </w:tcBorders>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ischio-pubic ramus</w:t>
            </w:r>
          </w:p>
        </w:tc>
        <w:tc>
          <w:tcPr>
            <w:tcW w:w="2126" w:type="dxa"/>
            <w:tcBorders>
              <w:top w:val="single" w:sz="4" w:space="0" w:color="auto"/>
            </w:tcBorders>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&lt;0.83 years</w:t>
            </w:r>
          </w:p>
        </w:tc>
        <w:tc>
          <w:tcPr>
            <w:tcW w:w="2268" w:type="dxa"/>
            <w:tcBorders>
              <w:top w:val="single" w:sz="4" w:space="0" w:color="auto"/>
            </w:tcBorders>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n/a</w:t>
            </w:r>
          </w:p>
        </w:tc>
        <w:tc>
          <w:tcPr>
            <w:tcW w:w="2552" w:type="dxa"/>
            <w:tcBorders>
              <w:top w:val="single" w:sz="4" w:space="0" w:color="auto"/>
            </w:tcBorders>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0.74&lt;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&lt;3.76</w:t>
            </w:r>
          </w:p>
        </w:tc>
      </w:tr>
      <w:tr w:rsidR="00022E30" w:rsidRPr="009116C6" w:rsidTr="00970138">
        <w:trPr>
          <w:trHeight w:val="30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distal humerus</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&lt;6.74</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6–7</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7.96b&lt;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&lt;10</w:t>
            </w:r>
          </w:p>
        </w:tc>
      </w:tr>
      <w:tr w:rsidR="00022E30" w:rsidRPr="009116C6" w:rsidTr="00970138">
        <w:trPr>
          <w:trHeight w:val="36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acetabulum</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&lt;6.74</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7</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5.19&lt;</w:t>
            </w:r>
            <w:r w:rsidR="004F400E">
              <w:rPr>
                <w:rFonts w:eastAsia="Times New Roman"/>
                <w:color w:val="000000"/>
                <w:lang w:val="en-GB" w:eastAsia="en-GB"/>
              </w:rPr>
              <w:t xml:space="preserve"> </w:t>
            </w:r>
            <w:r w:rsidRPr="009C2841">
              <w:rPr>
                <w:rFonts w:eastAsia="Times New Roman"/>
                <w:i/>
                <w:color w:val="000000"/>
                <w:lang w:val="en-GB" w:eastAsia="en-GB"/>
              </w:rPr>
              <w:t>x</w:t>
            </w:r>
            <w:r w:rsidRPr="009116C6">
              <w:rPr>
                <w:rFonts w:eastAsia="Times New Roman"/>
                <w:color w:val="000000"/>
                <w:vertAlign w:val="superscript"/>
                <w:lang w:val="en-GB" w:eastAsia="en-GB"/>
              </w:rPr>
              <w:t>c</w:t>
            </w:r>
            <w:r w:rsidR="004F400E">
              <w:rPr>
                <w:rFonts w:eastAsia="Times New Roman"/>
                <w:color w:val="000000"/>
                <w:vertAlign w:val="superscript"/>
                <w:lang w:val="en-GB" w:eastAsia="en-GB"/>
              </w:rPr>
              <w:t xml:space="preserve"> </w:t>
            </w:r>
            <w:r w:rsidRPr="009116C6">
              <w:rPr>
                <w:rFonts w:eastAsia="Times New Roman"/>
                <w:color w:val="000000"/>
                <w:lang w:val="en-GB" w:eastAsia="en-GB"/>
              </w:rPr>
              <w:t>&lt;11.38</w:t>
            </w:r>
          </w:p>
        </w:tc>
      </w:tr>
      <w:tr w:rsidR="00022E30" w:rsidRPr="009116C6" w:rsidTr="00970138">
        <w:trPr>
          <w:trHeight w:val="36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proximal radius</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7.3</w:t>
            </w:r>
            <w:r w:rsidRPr="009116C6">
              <w:rPr>
                <w:rFonts w:eastAsia="Times New Roman"/>
                <w:color w:val="000000"/>
                <w:vertAlign w:val="superscript"/>
                <w:lang w:val="en-GB" w:eastAsia="en-GB"/>
              </w:rPr>
              <w:t>d</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9</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11.38&lt;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&lt;12</w:t>
            </w:r>
          </w:p>
        </w:tc>
      </w:tr>
      <w:tr w:rsidR="00022E30" w:rsidRPr="009116C6" w:rsidTr="00970138">
        <w:trPr>
          <w:trHeight w:val="30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coracoid</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7.3&lt;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&lt;8.54</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9</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10&lt;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&lt;11.38</w:t>
            </w:r>
          </w:p>
        </w:tc>
      </w:tr>
      <w:tr w:rsidR="00022E30" w:rsidRPr="009116C6" w:rsidTr="00970138">
        <w:trPr>
          <w:trHeight w:val="30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proximal femur</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7.3&lt;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&lt;8.54</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9</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11.38&lt;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&lt;12</w:t>
            </w:r>
          </w:p>
        </w:tc>
      </w:tr>
      <w:tr w:rsidR="00022E30" w:rsidRPr="009116C6" w:rsidTr="00970138">
        <w:trPr>
          <w:trHeight w:val="30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distal tibia</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&lt;8.54</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9</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11.38&lt;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&lt;12</w:t>
            </w:r>
          </w:p>
        </w:tc>
      </w:tr>
      <w:tr w:rsidR="00022E30" w:rsidRPr="009116C6" w:rsidTr="00970138">
        <w:trPr>
          <w:trHeight w:val="30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proximal tibia</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8.54</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9-14</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&gt;12</w:t>
            </w:r>
          </w:p>
        </w:tc>
      </w:tr>
      <w:tr w:rsidR="00022E30" w:rsidRPr="009116C6" w:rsidTr="00970138">
        <w:trPr>
          <w:trHeight w:val="30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humeral head</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8.54&lt;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&lt;11.68</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9-14</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&gt;12</w:t>
            </w:r>
          </w:p>
        </w:tc>
      </w:tr>
      <w:tr w:rsidR="00022E30" w:rsidRPr="009116C6" w:rsidTr="00970138">
        <w:trPr>
          <w:trHeight w:val="30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acromial process</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8.54&lt;</w:t>
            </w:r>
            <w:r w:rsidR="004F400E">
              <w:rPr>
                <w:rFonts w:eastAsia="Times New Roman"/>
                <w:color w:val="000000"/>
                <w:lang w:val="en-GB" w:eastAsia="en-GB"/>
              </w:rPr>
              <w:t xml:space="preserve"> </w:t>
            </w:r>
            <w:r w:rsidRPr="009C2841">
              <w:rPr>
                <w:rFonts w:eastAsia="Times New Roman"/>
                <w:i/>
                <w:color w:val="000000"/>
                <w:lang w:val="en-GB" w:eastAsia="en-GB"/>
              </w:rPr>
              <w:t>x</w:t>
            </w:r>
            <w:r w:rsidR="004F400E">
              <w:rPr>
                <w:rFonts w:eastAsia="Times New Roman"/>
                <w:i/>
                <w:color w:val="000000"/>
                <w:lang w:val="en-GB" w:eastAsia="en-GB"/>
              </w:rPr>
              <w:t xml:space="preserve"> </w:t>
            </w:r>
            <w:r w:rsidRPr="009116C6">
              <w:rPr>
                <w:rFonts w:eastAsia="Times New Roman"/>
                <w:color w:val="000000"/>
                <w:lang w:val="en-GB" w:eastAsia="en-GB"/>
              </w:rPr>
              <w:t>&lt;11.68</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&lt;10</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&gt;12</w:t>
            </w:r>
          </w:p>
        </w:tc>
      </w:tr>
      <w:tr w:rsidR="00022E30" w:rsidRPr="009116C6" w:rsidTr="00970138">
        <w:trPr>
          <w:trHeight w:val="300"/>
        </w:trPr>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iliac crest</w:t>
            </w:r>
          </w:p>
        </w:tc>
        <w:tc>
          <w:tcPr>
            <w:tcW w:w="2126"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11.68</w:t>
            </w:r>
          </w:p>
        </w:tc>
        <w:tc>
          <w:tcPr>
            <w:tcW w:w="2268"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partial 9-14</w:t>
            </w:r>
          </w:p>
        </w:tc>
        <w:tc>
          <w:tcPr>
            <w:tcW w:w="2552" w:type="dxa"/>
            <w:shd w:val="clear" w:color="auto" w:fill="auto"/>
            <w:noWrap/>
            <w:vAlign w:val="center"/>
            <w:hideMark/>
          </w:tcPr>
          <w:p w:rsidR="00022E30" w:rsidRPr="009116C6" w:rsidRDefault="00022E30" w:rsidP="00207A2A">
            <w:pPr>
              <w:spacing w:before="0" w:line="240" w:lineRule="auto"/>
              <w:jc w:val="center"/>
              <w:rPr>
                <w:rFonts w:eastAsia="Times New Roman"/>
                <w:color w:val="000000"/>
                <w:lang w:val="en-GB" w:eastAsia="en-GB"/>
              </w:rPr>
            </w:pPr>
            <w:r w:rsidRPr="009116C6">
              <w:rPr>
                <w:rFonts w:eastAsia="Times New Roman"/>
                <w:color w:val="000000"/>
                <w:lang w:val="en-GB" w:eastAsia="en-GB"/>
              </w:rPr>
              <w:t>&gt;12</w:t>
            </w:r>
          </w:p>
        </w:tc>
      </w:tr>
    </w:tbl>
    <w:p w:rsidR="00A35CA0" w:rsidRDefault="00022E30" w:rsidP="00CA5FBB">
      <w:pPr>
        <w:pStyle w:val="ListParagraph"/>
        <w:numPr>
          <w:ilvl w:val="0"/>
          <w:numId w:val="39"/>
        </w:numPr>
        <w:spacing w:before="120" w:line="240" w:lineRule="auto"/>
        <w:ind w:left="284" w:hanging="284"/>
        <w:rPr>
          <w:noProof/>
          <w:sz w:val="20"/>
          <w:szCs w:val="20"/>
        </w:rPr>
      </w:pPr>
      <w:r w:rsidRPr="00B645DF">
        <w:rPr>
          <w:noProof/>
          <w:sz w:val="20"/>
          <w:szCs w:val="20"/>
        </w:rPr>
        <w:t>Bolter and Zihlman’s (2012) comparison was with the same size present for these epiphyses only.  Kerley (1966) had small amounts of data for epiphyses that Bolter and Zihlman (2012) did not analyse, although these were very limited to only a few individuals.</w:t>
      </w:r>
    </w:p>
    <w:p w:rsidR="00325D0B" w:rsidRDefault="00AA5899" w:rsidP="00B04D50">
      <w:pPr>
        <w:rPr>
          <w:noProof/>
        </w:rPr>
      </w:pPr>
      <w:r>
        <w:rPr>
          <w:noProof/>
        </w:rPr>
        <w:t xml:space="preserve">Zihlman </w:t>
      </w:r>
      <w:r>
        <w:rPr>
          <w:i/>
          <w:noProof/>
        </w:rPr>
        <w:t>et al</w:t>
      </w:r>
      <w:r>
        <w:rPr>
          <w:noProof/>
        </w:rPr>
        <w:t>. (2007) suggested that older ages of fusion were being observed in their sample.  It could be argued given the ranges presented by Kerley (1966) and Bolter and</w:t>
      </w:r>
      <w:r w:rsidR="00546C2F">
        <w:rPr>
          <w:noProof/>
        </w:rPr>
        <w:t xml:space="preserve"> Zihlman (2012) that the ‘real world’ population ranges for captive and wild </w:t>
      </w:r>
      <w:r>
        <w:rPr>
          <w:noProof/>
        </w:rPr>
        <w:t>could easily overlap</w:t>
      </w:r>
      <w:r w:rsidR="00546C2F">
        <w:rPr>
          <w:noProof/>
        </w:rPr>
        <w:t>.  W</w:t>
      </w:r>
      <w:r>
        <w:rPr>
          <w:noProof/>
        </w:rPr>
        <w:t xml:space="preserve">ith </w:t>
      </w:r>
      <w:r w:rsidR="00546C2F">
        <w:rPr>
          <w:noProof/>
        </w:rPr>
        <w:t>such small sample sizes</w:t>
      </w:r>
      <w:r>
        <w:rPr>
          <w:noProof/>
        </w:rPr>
        <w:t xml:space="preserve"> </w:t>
      </w:r>
      <w:r w:rsidR="00755709">
        <w:rPr>
          <w:noProof/>
        </w:rPr>
        <w:t xml:space="preserve">there were </w:t>
      </w:r>
      <w:r>
        <w:rPr>
          <w:noProof/>
        </w:rPr>
        <w:t xml:space="preserve">no statistical means to test </w:t>
      </w:r>
      <w:r w:rsidR="00546C2F">
        <w:rPr>
          <w:noProof/>
        </w:rPr>
        <w:t>these</w:t>
      </w:r>
      <w:r>
        <w:rPr>
          <w:noProof/>
        </w:rPr>
        <w:t xml:space="preserve"> assertion</w:t>
      </w:r>
      <w:r w:rsidR="00546C2F">
        <w:rPr>
          <w:noProof/>
        </w:rPr>
        <w:t>s</w:t>
      </w:r>
      <w:r>
        <w:rPr>
          <w:noProof/>
        </w:rPr>
        <w:t xml:space="preserve">.  </w:t>
      </w:r>
      <w:r w:rsidR="00E05B1D">
        <w:rPr>
          <w:noProof/>
        </w:rPr>
        <w:t xml:space="preserve">It is worth noting that Bolter and Zihlman’s (2012) captive sample </w:t>
      </w:r>
      <w:r w:rsidR="00717A9D">
        <w:rPr>
          <w:noProof/>
        </w:rPr>
        <w:t>produced</w:t>
      </w:r>
      <w:r w:rsidR="00E05B1D">
        <w:rPr>
          <w:noProof/>
        </w:rPr>
        <w:t xml:space="preserve"> ranges younger than Kerley’s (1966) captive sample</w:t>
      </w:r>
      <w:r w:rsidR="00473BB2">
        <w:rPr>
          <w:noProof/>
        </w:rPr>
        <w:t>, potentially indicating the level of variability</w:t>
      </w:r>
      <w:r w:rsidR="00451F22">
        <w:rPr>
          <w:noProof/>
        </w:rPr>
        <w:t xml:space="preserve"> between small-</w:t>
      </w:r>
      <w:r w:rsidR="00473BB2">
        <w:rPr>
          <w:noProof/>
        </w:rPr>
        <w:t>sample studies</w:t>
      </w:r>
      <w:r w:rsidR="00E05B1D">
        <w:rPr>
          <w:noProof/>
        </w:rPr>
        <w:t>.</w:t>
      </w:r>
    </w:p>
    <w:p w:rsidR="00E05B1D" w:rsidRDefault="00325D0B" w:rsidP="00B04D50">
      <w:pPr>
        <w:rPr>
          <w:noProof/>
        </w:rPr>
      </w:pPr>
      <w:r>
        <w:rPr>
          <w:noProof/>
        </w:rPr>
        <w:t>It is worth noting</w:t>
      </w:r>
      <w:r w:rsidR="00340E9E">
        <w:rPr>
          <w:noProof/>
        </w:rPr>
        <w:t xml:space="preserve"> the level of</w:t>
      </w:r>
      <w:r>
        <w:rPr>
          <w:noProof/>
        </w:rPr>
        <w:t xml:space="preserve"> agreement between specific element studies and the mutiple skeletal region studies considered above</w:t>
      </w:r>
      <w:r w:rsidR="00340E9E">
        <w:rPr>
          <w:noProof/>
        </w:rPr>
        <w:t>.  T</w:t>
      </w:r>
      <w:r>
        <w:rPr>
          <w:noProof/>
        </w:rPr>
        <w:t xml:space="preserve">he timings observed </w:t>
      </w:r>
      <w:r w:rsidR="00340E9E">
        <w:rPr>
          <w:noProof/>
        </w:rPr>
        <w:t xml:space="preserve">in these radiographic studies </w:t>
      </w:r>
      <w:r>
        <w:rPr>
          <w:noProof/>
        </w:rPr>
        <w:t xml:space="preserve">are generally consistent with the captive range presented in Bolter and Zihlman (2012) and Kerley (1966).  Radiographic studies have always </w:t>
      </w:r>
      <w:r w:rsidR="00781CD9">
        <w:rPr>
          <w:noProof/>
        </w:rPr>
        <w:t xml:space="preserve">only </w:t>
      </w:r>
      <w:r>
        <w:rPr>
          <w:noProof/>
        </w:rPr>
        <w:t>considered captive individuals.</w:t>
      </w:r>
    </w:p>
    <w:p w:rsidR="00DA5557" w:rsidRDefault="00DA5557">
      <w:pPr>
        <w:spacing w:before="0" w:after="200" w:line="276" w:lineRule="auto"/>
        <w:jc w:val="left"/>
        <w:rPr>
          <w:noProof/>
          <w:u w:val="single"/>
        </w:rPr>
      </w:pPr>
      <w:r>
        <w:rPr>
          <w:noProof/>
          <w:u w:val="single"/>
        </w:rPr>
        <w:br w:type="page"/>
      </w:r>
    </w:p>
    <w:p w:rsidR="00F15418" w:rsidRPr="009C2841" w:rsidRDefault="009C2841" w:rsidP="00B04D50">
      <w:pPr>
        <w:rPr>
          <w:noProof/>
          <w:u w:val="single"/>
        </w:rPr>
      </w:pPr>
      <w:r>
        <w:rPr>
          <w:noProof/>
          <w:u w:val="single"/>
        </w:rPr>
        <w:lastRenderedPageBreak/>
        <w:t>Sex differences</w:t>
      </w:r>
    </w:p>
    <w:p w:rsidR="00F15418" w:rsidRPr="0077114F" w:rsidRDefault="001D0D63" w:rsidP="00B04D50">
      <w:pPr>
        <w:rPr>
          <w:noProof/>
        </w:rPr>
      </w:pPr>
      <w:r w:rsidRPr="0077114F">
        <w:rPr>
          <w:noProof/>
        </w:rPr>
        <w:t>Prior studies have not considered sex difference</w:t>
      </w:r>
      <w:r w:rsidR="008E675C">
        <w:rPr>
          <w:noProof/>
        </w:rPr>
        <w:t xml:space="preserve">s </w:t>
      </w:r>
      <w:r w:rsidRPr="0077114F">
        <w:rPr>
          <w:noProof/>
        </w:rPr>
        <w:t xml:space="preserve">either for the specific elements observed in radiographic studies, or in the multiple skeletal region studies with the exception of Zihlman </w:t>
      </w:r>
      <w:r w:rsidRPr="0077114F">
        <w:rPr>
          <w:i/>
          <w:noProof/>
        </w:rPr>
        <w:t>et al</w:t>
      </w:r>
      <w:r w:rsidRPr="0077114F">
        <w:rPr>
          <w:noProof/>
        </w:rPr>
        <w:t>. (2007).  They noted differences in chronological age of fusion for the epiphyses observed.  It is likely that sample size limitations have prevented meaningful comparisons by sex.  The ranges of fusion in terms of years likely overlap and sufficient</w:t>
      </w:r>
      <w:r w:rsidR="003C5DE9">
        <w:rPr>
          <w:noProof/>
        </w:rPr>
        <w:t>ly</w:t>
      </w:r>
      <w:r w:rsidRPr="0077114F">
        <w:rPr>
          <w:noProof/>
        </w:rPr>
        <w:t xml:space="preserve"> large samples</w:t>
      </w:r>
      <w:r w:rsidR="003C5DE9">
        <w:rPr>
          <w:noProof/>
        </w:rPr>
        <w:t xml:space="preserve"> are</w:t>
      </w:r>
      <w:r w:rsidRPr="0077114F">
        <w:rPr>
          <w:noProof/>
        </w:rPr>
        <w:t xml:space="preserve"> required.  </w:t>
      </w:r>
      <w:r w:rsidR="00F15418" w:rsidRPr="0077114F">
        <w:rPr>
          <w:noProof/>
        </w:rPr>
        <w:t>There is no comprehensive analysis suggesting differe</w:t>
      </w:r>
      <w:r w:rsidR="00D36477">
        <w:rPr>
          <w:noProof/>
        </w:rPr>
        <w:t>nces in sequence between sexes.</w:t>
      </w:r>
    </w:p>
    <w:p w:rsidR="00F15418" w:rsidRPr="009C2841" w:rsidRDefault="009C2841" w:rsidP="00B04D50">
      <w:pPr>
        <w:rPr>
          <w:noProof/>
          <w:u w:val="single"/>
        </w:rPr>
      </w:pPr>
      <w:r>
        <w:rPr>
          <w:noProof/>
          <w:u w:val="single"/>
        </w:rPr>
        <w:t>Summary</w:t>
      </w:r>
    </w:p>
    <w:p w:rsidR="00492313" w:rsidRPr="00B04D50" w:rsidRDefault="00E05B1D" w:rsidP="00B04D50">
      <w:pPr>
        <w:rPr>
          <w:noProof/>
        </w:rPr>
      </w:pPr>
      <w:r>
        <w:rPr>
          <w:noProof/>
        </w:rPr>
        <w:t xml:space="preserve">To summarize chimpanzee epiphyseal fusion data, there exist data providing </w:t>
      </w:r>
      <w:r w:rsidR="006301F1">
        <w:rPr>
          <w:noProof/>
        </w:rPr>
        <w:t>probable</w:t>
      </w:r>
      <w:r w:rsidR="00C53D5D">
        <w:rPr>
          <w:noProof/>
        </w:rPr>
        <w:t xml:space="preserve"> </w:t>
      </w:r>
      <w:r>
        <w:rPr>
          <w:noProof/>
        </w:rPr>
        <w:t xml:space="preserve">ranges of time for fusion of specific elements.  Hand/wrist fusion timing has been studied </w:t>
      </w:r>
      <w:r w:rsidR="00176FA3">
        <w:rPr>
          <w:noProof/>
        </w:rPr>
        <w:t xml:space="preserve">relatively extensively and estimations of timing may be obtained from the aforementioned radiographic studies in </w:t>
      </w:r>
      <w:r w:rsidR="00A17646">
        <w:rPr>
          <w:noProof/>
        </w:rPr>
        <w:t>T</w:t>
      </w:r>
      <w:r w:rsidR="00176FA3">
        <w:rPr>
          <w:noProof/>
        </w:rPr>
        <w:t>able 2.3.  More comprehensive studies of epiphyseal fusion provide wider ranges of fusion timing and are rel</w:t>
      </w:r>
      <w:r w:rsidR="00C53D5D">
        <w:rPr>
          <w:noProof/>
        </w:rPr>
        <w:t>iant on small samp</w:t>
      </w:r>
      <w:r w:rsidR="00176FA3">
        <w:rPr>
          <w:noProof/>
        </w:rPr>
        <w:t>l</w:t>
      </w:r>
      <w:r w:rsidR="00C53D5D">
        <w:rPr>
          <w:noProof/>
        </w:rPr>
        <w:t>e</w:t>
      </w:r>
      <w:r w:rsidR="00176FA3">
        <w:rPr>
          <w:noProof/>
        </w:rPr>
        <w:t xml:space="preserve"> sizes.  Landmark ages </w:t>
      </w:r>
      <w:r w:rsidR="00020E59">
        <w:rPr>
          <w:noProof/>
        </w:rPr>
        <w:t>by</w:t>
      </w:r>
      <w:r w:rsidR="00176FA3">
        <w:rPr>
          <w:noProof/>
        </w:rPr>
        <w:t xml:space="preserve"> which certain fusion events are likely to have occurred have been proposed but no more precise sequence of events has been observed due to the limitations of the data.</w:t>
      </w:r>
    </w:p>
    <w:p w:rsidR="006110DE" w:rsidRDefault="006110DE" w:rsidP="00D263E8">
      <w:pPr>
        <w:pStyle w:val="Heading3"/>
      </w:pPr>
      <w:bookmarkStart w:id="51" w:name="_Toc373477727"/>
      <w:bookmarkStart w:id="52" w:name="_Toc373480725"/>
      <w:r>
        <w:t>Epiphyseal fusion in bonobos</w:t>
      </w:r>
      <w:bookmarkEnd w:id="51"/>
      <w:bookmarkEnd w:id="52"/>
    </w:p>
    <w:p w:rsidR="00DA5557" w:rsidRDefault="006110DE" w:rsidP="001429C1">
      <w:r>
        <w:t xml:space="preserve">The data for skeletal maturation in </w:t>
      </w:r>
      <w:r>
        <w:rPr>
          <w:i/>
        </w:rPr>
        <w:t xml:space="preserve">Pan </w:t>
      </w:r>
      <w:proofErr w:type="gramStart"/>
      <w:r>
        <w:rPr>
          <w:i/>
        </w:rPr>
        <w:t>paniscus</w:t>
      </w:r>
      <w:proofErr w:type="gramEnd"/>
      <w:r>
        <w:t xml:space="preserve"> </w:t>
      </w:r>
      <w:r w:rsidR="00EA223D">
        <w:t>are</w:t>
      </w:r>
      <w:r>
        <w:t xml:space="preserve"> much more limited than what exists for </w:t>
      </w:r>
      <w:r w:rsidR="00712D81">
        <w:t xml:space="preserve">its </w:t>
      </w:r>
      <w:r w:rsidR="00712D81">
        <w:rPr>
          <w:color w:val="000000"/>
        </w:rPr>
        <w:t xml:space="preserve">congeneric </w:t>
      </w:r>
      <w:r>
        <w:rPr>
          <w:i/>
        </w:rPr>
        <w:t>Pan troglodytes</w:t>
      </w:r>
      <w:r w:rsidR="00781028">
        <w:t xml:space="preserve">.  The only study that </w:t>
      </w:r>
      <w:r w:rsidR="005E796E">
        <w:t xml:space="preserve">has </w:t>
      </w:r>
      <w:r>
        <w:t xml:space="preserve">focused on bonobo epiphyseal fusion </w:t>
      </w:r>
      <w:r w:rsidR="00EA223D">
        <w:t>i</w:t>
      </w:r>
      <w:r w:rsidR="005E796E">
        <w:t>s</w:t>
      </w:r>
      <w:r>
        <w:t xml:space="preserve"> Bolter and Zihlman (2012) </w:t>
      </w:r>
      <w:r w:rsidR="005E796E">
        <w:t>which was based</w:t>
      </w:r>
      <w:r>
        <w:t xml:space="preserve"> o</w:t>
      </w:r>
      <w:r w:rsidR="00EA223D">
        <w:t>n</w:t>
      </w:r>
      <w:r>
        <w:t xml:space="preserve"> only 8 individuals.  Five of these were from captivity and of known age at death</w:t>
      </w:r>
      <w:r w:rsidR="00D6483F">
        <w:t xml:space="preserve"> (</w:t>
      </w:r>
      <w:r>
        <w:t>0.83, 6.74, 7.30, 8.54 and 11.68 years respectively</w:t>
      </w:r>
      <w:r w:rsidR="00D6483F">
        <w:t>)</w:t>
      </w:r>
      <w:r>
        <w:t xml:space="preserve">.  The remaining three </w:t>
      </w:r>
      <w:r w:rsidR="00EA223D">
        <w:t xml:space="preserve">were wild caught and of </w:t>
      </w:r>
      <w:r>
        <w:t>unknown age</w:t>
      </w:r>
      <w:r w:rsidR="00A5143F">
        <w:t xml:space="preserve">.  They </w:t>
      </w:r>
      <w:r>
        <w:t xml:space="preserve">were aged using dental </w:t>
      </w:r>
      <w:r w:rsidR="00053D07">
        <w:t>eruption</w:t>
      </w:r>
      <w:r>
        <w:t xml:space="preserve"> (Bolter and Zilhman 2012).  The spread of ages of these individuals could be considered conducive to a ‘snapshot’ approach of different developmental stages.  However, with several year gaps between individuals, especially between later years, this approach was only able to provide very broad estimates.  The exact sequence of fusion remained unspecified.</w:t>
      </w:r>
    </w:p>
    <w:p w:rsidR="00DA5557" w:rsidRDefault="00DA5557">
      <w:pPr>
        <w:spacing w:before="0" w:after="200" w:line="276" w:lineRule="auto"/>
        <w:jc w:val="left"/>
      </w:pPr>
      <w:r>
        <w:br w:type="page"/>
      </w:r>
    </w:p>
    <w:p w:rsidR="006110DE" w:rsidRPr="00DF6410" w:rsidRDefault="006110DE" w:rsidP="00D263E8">
      <w:pPr>
        <w:pStyle w:val="Heading3"/>
      </w:pPr>
      <w:bookmarkStart w:id="53" w:name="_Toc373477728"/>
      <w:bookmarkStart w:id="54" w:name="_Toc373480726"/>
      <w:r w:rsidRPr="00DF6410">
        <w:lastRenderedPageBreak/>
        <w:t>Comparisons between chimpanzees and bonobos</w:t>
      </w:r>
      <w:bookmarkEnd w:id="53"/>
      <w:bookmarkEnd w:id="54"/>
      <w:r w:rsidRPr="00DF6410">
        <w:t xml:space="preserve">  </w:t>
      </w:r>
    </w:p>
    <w:p w:rsidR="006110DE" w:rsidRDefault="006110DE" w:rsidP="007348D8">
      <w:r>
        <w:t xml:space="preserve">The aforementioned study by Bolter and Zihlman (2012) is the only comparison </w:t>
      </w:r>
      <w:r w:rsidR="0096214D">
        <w:t xml:space="preserve">of skeletal fusion </w:t>
      </w:r>
      <w:r>
        <w:t>between the two specie</w:t>
      </w:r>
      <w:r w:rsidR="00BE023A">
        <w:t xml:space="preserve">s that has been completed.  As </w:t>
      </w:r>
      <w:r w:rsidR="009038B2">
        <w:t>mentioned in section 2.3.6</w:t>
      </w:r>
      <w:r>
        <w:t xml:space="preserve">, the timing of fusion for bonobos was derived from a small sample </w:t>
      </w:r>
      <w:r w:rsidR="005F6D3C">
        <w:t>(</w:t>
      </w:r>
      <w:r w:rsidR="00E11C67">
        <w:rPr>
          <w:i/>
        </w:rPr>
        <w:t>N</w:t>
      </w:r>
      <w:r w:rsidR="00AD55CD">
        <w:t xml:space="preserve"> </w:t>
      </w:r>
      <w:r w:rsidR="005F6D3C">
        <w:t>=</w:t>
      </w:r>
      <w:r>
        <w:t xml:space="preserve"> 8</w:t>
      </w:r>
      <w:r w:rsidR="005F6D3C">
        <w:t>)</w:t>
      </w:r>
      <w:r>
        <w:t>.  The only information th</w:t>
      </w:r>
      <w:r w:rsidR="005F6D3C">
        <w:t>es</w:t>
      </w:r>
      <w:r w:rsidR="006701E7">
        <w:t>e</w:t>
      </w:r>
      <w:r>
        <w:t xml:space="preserve"> data could provide were some generalized timings of fusion over a period of several years.  These </w:t>
      </w:r>
      <w:r w:rsidR="00001A9C">
        <w:t xml:space="preserve">data are reproduced in </w:t>
      </w:r>
      <w:r w:rsidR="00A17646">
        <w:t>T</w:t>
      </w:r>
      <w:r w:rsidR="00001A9C">
        <w:t>able 2.8</w:t>
      </w:r>
      <w:r>
        <w:t>.  It should be noted that only 5 of the 8 bonobos</w:t>
      </w:r>
      <w:r w:rsidR="006065E5">
        <w:t xml:space="preserve"> observed by Bolter and Zihlman (2012)</w:t>
      </w:r>
      <w:r>
        <w:t xml:space="preserve"> were used for the comparison and were the ones of known age from </w:t>
      </w:r>
      <w:r w:rsidR="006065E5">
        <w:t>captivity.</w:t>
      </w:r>
    </w:p>
    <w:p w:rsidR="006110DE" w:rsidRDefault="00D557BE" w:rsidP="00D557BE">
      <w:pPr>
        <w:pStyle w:val="Caption"/>
        <w:keepNext/>
        <w:jc w:val="left"/>
      </w:pPr>
      <w:bookmarkStart w:id="55" w:name="_Toc373180109"/>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8</w:t>
      </w:r>
      <w:r w:rsidR="008943E4">
        <w:rPr>
          <w:b/>
        </w:rPr>
        <w:fldChar w:fldCharType="end"/>
      </w:r>
      <w:r>
        <w:t xml:space="preserve"> </w:t>
      </w:r>
      <w:r w:rsidR="006110DE">
        <w:t>Data comparing chimpanzee and bonobo epiphyseal fusion reproduced from Bolter and Zihlman (2012).</w:t>
      </w:r>
      <w:bookmarkEnd w:id="55"/>
    </w:p>
    <w:tbl>
      <w:tblPr>
        <w:tblW w:w="9093" w:type="dxa"/>
        <w:jc w:val="center"/>
        <w:tblInd w:w="-601" w:type="dxa"/>
        <w:tblBorders>
          <w:top w:val="single" w:sz="4" w:space="0" w:color="auto"/>
          <w:bottom w:val="single" w:sz="4" w:space="0" w:color="auto"/>
        </w:tblBorders>
        <w:tblLook w:val="04A0" w:firstRow="1" w:lastRow="0" w:firstColumn="1" w:lastColumn="0" w:noHBand="0" w:noVBand="1"/>
      </w:tblPr>
      <w:tblGrid>
        <w:gridCol w:w="1938"/>
        <w:gridCol w:w="1734"/>
        <w:gridCol w:w="2761"/>
        <w:gridCol w:w="2660"/>
      </w:tblGrid>
      <w:tr w:rsidR="009C2841" w:rsidRPr="00CB2D1B" w:rsidTr="00E32D69">
        <w:trPr>
          <w:trHeight w:val="375"/>
          <w:jc w:val="center"/>
        </w:trPr>
        <w:tc>
          <w:tcPr>
            <w:tcW w:w="1938" w:type="dxa"/>
            <w:vMerge w:val="restart"/>
            <w:tcBorders>
              <w:top w:val="single" w:sz="4" w:space="0" w:color="auto"/>
            </w:tcBorders>
            <w:shd w:val="clear" w:color="auto" w:fill="auto"/>
            <w:noWrap/>
            <w:vAlign w:val="center"/>
            <w:hideMark/>
          </w:tcPr>
          <w:p w:rsidR="009C2841" w:rsidRPr="00CB2D1B" w:rsidRDefault="00E8139E" w:rsidP="009C2841">
            <w:pPr>
              <w:spacing w:line="240" w:lineRule="auto"/>
              <w:jc w:val="center"/>
              <w:rPr>
                <w:rFonts w:eastAsia="Times New Roman"/>
                <w:color w:val="000000"/>
                <w:lang w:val="en-GB" w:eastAsia="en-GB"/>
              </w:rPr>
            </w:pPr>
            <w:r>
              <w:rPr>
                <w:rFonts w:eastAsia="Times New Roman"/>
                <w:b/>
                <w:bCs/>
                <w:color w:val="000000"/>
                <w:lang w:eastAsia="en-GB"/>
              </w:rPr>
              <w:t>s</w:t>
            </w:r>
            <w:r w:rsidR="009C2841" w:rsidRPr="00CB2D1B">
              <w:rPr>
                <w:rFonts w:eastAsia="Times New Roman"/>
                <w:b/>
                <w:bCs/>
                <w:color w:val="000000"/>
                <w:lang w:eastAsia="en-GB"/>
              </w:rPr>
              <w:t>keletal element</w:t>
            </w:r>
          </w:p>
        </w:tc>
        <w:tc>
          <w:tcPr>
            <w:tcW w:w="1734" w:type="dxa"/>
            <w:tcBorders>
              <w:top w:val="single" w:sz="4" w:space="0" w:color="auto"/>
              <w:bottom w:val="single" w:sz="4" w:space="0" w:color="auto"/>
            </w:tcBorders>
            <w:shd w:val="clear" w:color="auto" w:fill="auto"/>
            <w:noWrap/>
            <w:vAlign w:val="center"/>
            <w:hideMark/>
          </w:tcPr>
          <w:p w:rsidR="009C2841" w:rsidRPr="00CB2D1B" w:rsidRDefault="009C2841" w:rsidP="00D347E1">
            <w:pPr>
              <w:spacing w:before="0" w:line="240" w:lineRule="auto"/>
              <w:jc w:val="center"/>
              <w:rPr>
                <w:rFonts w:eastAsia="Times New Roman"/>
                <w:b/>
                <w:bCs/>
                <w:i/>
                <w:iCs/>
                <w:color w:val="000000"/>
                <w:lang w:val="en-GB" w:eastAsia="en-GB"/>
              </w:rPr>
            </w:pPr>
            <w:r w:rsidRPr="00CB2D1B">
              <w:rPr>
                <w:rFonts w:eastAsia="Times New Roman"/>
                <w:b/>
                <w:bCs/>
                <w:i/>
                <w:iCs/>
                <w:color w:val="000000"/>
                <w:lang w:val="en-GB" w:eastAsia="en-GB"/>
              </w:rPr>
              <w:t>Pan paniscus</w:t>
            </w:r>
          </w:p>
        </w:tc>
        <w:tc>
          <w:tcPr>
            <w:tcW w:w="2761" w:type="dxa"/>
            <w:tcBorders>
              <w:top w:val="single" w:sz="4" w:space="0" w:color="auto"/>
              <w:bottom w:val="single" w:sz="4" w:space="0" w:color="auto"/>
            </w:tcBorders>
            <w:shd w:val="clear" w:color="auto" w:fill="auto"/>
            <w:noWrap/>
            <w:vAlign w:val="center"/>
            <w:hideMark/>
          </w:tcPr>
          <w:p w:rsidR="009C2841" w:rsidRPr="00CB2D1B" w:rsidRDefault="009C2841" w:rsidP="00D347E1">
            <w:pPr>
              <w:spacing w:before="0" w:line="240" w:lineRule="auto"/>
              <w:jc w:val="center"/>
              <w:rPr>
                <w:rFonts w:eastAsia="Times New Roman"/>
                <w:b/>
                <w:bCs/>
                <w:i/>
                <w:iCs/>
                <w:color w:val="000000"/>
                <w:lang w:val="en-GB" w:eastAsia="en-GB"/>
              </w:rPr>
            </w:pPr>
            <w:r w:rsidRPr="00CB2D1B">
              <w:rPr>
                <w:rFonts w:eastAsia="Times New Roman"/>
                <w:b/>
                <w:bCs/>
                <w:i/>
                <w:iCs/>
                <w:color w:val="000000"/>
                <w:lang w:val="en-GB" w:eastAsia="en-GB"/>
              </w:rPr>
              <w:t>Pan troglodytes</w:t>
            </w:r>
          </w:p>
        </w:tc>
        <w:tc>
          <w:tcPr>
            <w:tcW w:w="2660" w:type="dxa"/>
            <w:tcBorders>
              <w:top w:val="single" w:sz="4" w:space="0" w:color="auto"/>
              <w:bottom w:val="single" w:sz="4" w:space="0" w:color="auto"/>
            </w:tcBorders>
            <w:shd w:val="clear" w:color="auto" w:fill="auto"/>
            <w:noWrap/>
            <w:vAlign w:val="center"/>
            <w:hideMark/>
          </w:tcPr>
          <w:p w:rsidR="009C2841" w:rsidRPr="00CB2D1B" w:rsidRDefault="009C2841" w:rsidP="00D347E1">
            <w:pPr>
              <w:spacing w:before="0" w:line="240" w:lineRule="auto"/>
              <w:jc w:val="center"/>
              <w:rPr>
                <w:rFonts w:eastAsia="Times New Roman"/>
                <w:b/>
                <w:bCs/>
                <w:i/>
                <w:iCs/>
                <w:color w:val="000000"/>
                <w:lang w:val="en-GB" w:eastAsia="en-GB"/>
              </w:rPr>
            </w:pPr>
            <w:r w:rsidRPr="00CB2D1B">
              <w:rPr>
                <w:rFonts w:eastAsia="Times New Roman"/>
                <w:b/>
                <w:bCs/>
                <w:i/>
                <w:iCs/>
                <w:color w:val="000000"/>
                <w:lang w:val="en-GB" w:eastAsia="en-GB"/>
              </w:rPr>
              <w:t>Pan troglodytes</w:t>
            </w:r>
          </w:p>
        </w:tc>
      </w:tr>
      <w:tr w:rsidR="009C2841" w:rsidRPr="00CB2D1B" w:rsidTr="00E32D69">
        <w:trPr>
          <w:trHeight w:val="375"/>
          <w:jc w:val="center"/>
        </w:trPr>
        <w:tc>
          <w:tcPr>
            <w:tcW w:w="1938" w:type="dxa"/>
            <w:vMerge/>
            <w:tcBorders>
              <w:bottom w:val="single" w:sz="4" w:space="0" w:color="auto"/>
            </w:tcBorders>
            <w:shd w:val="clear" w:color="auto" w:fill="auto"/>
            <w:noWrap/>
            <w:vAlign w:val="center"/>
            <w:hideMark/>
          </w:tcPr>
          <w:p w:rsidR="009C2841" w:rsidRPr="00CB2D1B" w:rsidRDefault="009C2841" w:rsidP="00D347E1">
            <w:pPr>
              <w:spacing w:before="0" w:line="240" w:lineRule="auto"/>
              <w:jc w:val="center"/>
              <w:rPr>
                <w:rFonts w:eastAsia="Times New Roman"/>
                <w:b/>
                <w:bCs/>
                <w:color w:val="000000"/>
                <w:lang w:val="en-GB" w:eastAsia="en-GB"/>
              </w:rPr>
            </w:pPr>
          </w:p>
        </w:tc>
        <w:tc>
          <w:tcPr>
            <w:tcW w:w="1734" w:type="dxa"/>
            <w:tcBorders>
              <w:top w:val="single" w:sz="4" w:space="0" w:color="auto"/>
              <w:bottom w:val="single" w:sz="4" w:space="0" w:color="auto"/>
            </w:tcBorders>
            <w:shd w:val="clear" w:color="auto" w:fill="auto"/>
            <w:noWrap/>
            <w:vAlign w:val="center"/>
            <w:hideMark/>
          </w:tcPr>
          <w:p w:rsidR="009C2841" w:rsidRPr="00CB2D1B" w:rsidRDefault="009C2841" w:rsidP="00D347E1">
            <w:pPr>
              <w:spacing w:before="0" w:line="240" w:lineRule="auto"/>
              <w:jc w:val="center"/>
              <w:rPr>
                <w:rFonts w:eastAsia="Times New Roman"/>
                <w:b/>
                <w:bCs/>
                <w:color w:val="000000"/>
                <w:lang w:val="en-GB" w:eastAsia="en-GB"/>
              </w:rPr>
            </w:pPr>
            <w:r w:rsidRPr="00CB2D1B">
              <w:rPr>
                <w:rFonts w:eastAsia="Times New Roman"/>
                <w:b/>
                <w:bCs/>
                <w:color w:val="000000"/>
                <w:lang w:val="en-GB" w:eastAsia="en-GB"/>
              </w:rPr>
              <w:t>captive, age in years (</w:t>
            </w:r>
            <w:r w:rsidR="00954A56">
              <w:rPr>
                <w:rFonts w:eastAsia="Times New Roman"/>
                <w:b/>
                <w:bCs/>
                <w:i/>
                <w:color w:val="000000"/>
                <w:lang w:val="en-GB" w:eastAsia="en-GB"/>
              </w:rPr>
              <w:t xml:space="preserve">N </w:t>
            </w:r>
            <w:r w:rsidRPr="00CB2D1B">
              <w:rPr>
                <w:rFonts w:eastAsia="Times New Roman"/>
                <w:b/>
                <w:bCs/>
                <w:color w:val="000000"/>
                <w:lang w:val="en-GB" w:eastAsia="en-GB"/>
              </w:rPr>
              <w:t>=</w:t>
            </w:r>
            <w:r w:rsidR="00954A56">
              <w:rPr>
                <w:rFonts w:eastAsia="Times New Roman"/>
                <w:b/>
                <w:bCs/>
                <w:color w:val="000000"/>
                <w:lang w:val="en-GB" w:eastAsia="en-GB"/>
              </w:rPr>
              <w:t xml:space="preserve"> </w:t>
            </w:r>
            <w:r w:rsidRPr="00CB2D1B">
              <w:rPr>
                <w:rFonts w:eastAsia="Times New Roman"/>
                <w:b/>
                <w:bCs/>
                <w:color w:val="000000"/>
                <w:lang w:val="en-GB" w:eastAsia="en-GB"/>
              </w:rPr>
              <w:t>5)</w:t>
            </w:r>
          </w:p>
        </w:tc>
        <w:tc>
          <w:tcPr>
            <w:tcW w:w="2761" w:type="dxa"/>
            <w:tcBorders>
              <w:top w:val="single" w:sz="4" w:space="0" w:color="auto"/>
              <w:bottom w:val="single" w:sz="4" w:space="0" w:color="auto"/>
            </w:tcBorders>
            <w:shd w:val="clear" w:color="auto" w:fill="auto"/>
            <w:noWrap/>
            <w:vAlign w:val="center"/>
            <w:hideMark/>
          </w:tcPr>
          <w:p w:rsidR="009C2841" w:rsidRPr="00CB2D1B" w:rsidRDefault="009C2841" w:rsidP="00954A56">
            <w:pPr>
              <w:spacing w:before="0" w:line="240" w:lineRule="auto"/>
              <w:jc w:val="center"/>
              <w:rPr>
                <w:rFonts w:eastAsia="Times New Roman"/>
                <w:b/>
                <w:bCs/>
                <w:color w:val="000000"/>
                <w:lang w:val="en-GB" w:eastAsia="en-GB"/>
              </w:rPr>
            </w:pPr>
            <w:r w:rsidRPr="00CB2D1B">
              <w:rPr>
                <w:rFonts w:eastAsia="Times New Roman"/>
                <w:b/>
                <w:bCs/>
                <w:color w:val="000000"/>
                <w:lang w:val="en-GB" w:eastAsia="en-GB"/>
              </w:rPr>
              <w:t>captive from Yerkes, Kerley 1966, age in years (</w:t>
            </w:r>
            <w:r w:rsidR="00954A56">
              <w:rPr>
                <w:rFonts w:eastAsia="Times New Roman"/>
                <w:b/>
                <w:bCs/>
                <w:i/>
                <w:color w:val="000000"/>
                <w:lang w:val="en-GB" w:eastAsia="en-GB"/>
              </w:rPr>
              <w:t xml:space="preserve">N </w:t>
            </w:r>
            <w:r w:rsidRPr="00CB2D1B">
              <w:rPr>
                <w:rFonts w:eastAsia="Times New Roman"/>
                <w:b/>
                <w:bCs/>
                <w:color w:val="000000"/>
                <w:lang w:val="en-GB" w:eastAsia="en-GB"/>
              </w:rPr>
              <w:t>=</w:t>
            </w:r>
            <w:r w:rsidR="00954A56">
              <w:rPr>
                <w:rFonts w:eastAsia="Times New Roman"/>
                <w:b/>
                <w:bCs/>
                <w:color w:val="000000"/>
                <w:lang w:val="en-GB" w:eastAsia="en-GB"/>
              </w:rPr>
              <w:t xml:space="preserve"> </w:t>
            </w:r>
            <w:r w:rsidRPr="00CB2D1B">
              <w:rPr>
                <w:rFonts w:eastAsia="Times New Roman"/>
                <w:b/>
                <w:bCs/>
                <w:color w:val="000000"/>
                <w:lang w:val="en-GB" w:eastAsia="en-GB"/>
              </w:rPr>
              <w:t>10)</w:t>
            </w:r>
          </w:p>
        </w:tc>
        <w:tc>
          <w:tcPr>
            <w:tcW w:w="2660" w:type="dxa"/>
            <w:tcBorders>
              <w:top w:val="single" w:sz="4" w:space="0" w:color="auto"/>
              <w:bottom w:val="single" w:sz="4" w:space="0" w:color="auto"/>
            </w:tcBorders>
            <w:shd w:val="clear" w:color="auto" w:fill="auto"/>
            <w:noWrap/>
            <w:vAlign w:val="center"/>
            <w:hideMark/>
          </w:tcPr>
          <w:p w:rsidR="009C2841" w:rsidRPr="00CB2D1B" w:rsidRDefault="009C2841" w:rsidP="00954A56">
            <w:pPr>
              <w:spacing w:before="0" w:line="240" w:lineRule="auto"/>
              <w:jc w:val="center"/>
              <w:rPr>
                <w:rFonts w:eastAsia="Times New Roman"/>
                <w:b/>
                <w:bCs/>
                <w:color w:val="000000"/>
                <w:lang w:val="en-GB" w:eastAsia="en-GB"/>
              </w:rPr>
            </w:pPr>
            <w:r w:rsidRPr="00CB2D1B">
              <w:rPr>
                <w:rFonts w:eastAsia="Times New Roman"/>
                <w:b/>
                <w:bCs/>
                <w:color w:val="000000"/>
                <w:lang w:val="en-GB" w:eastAsia="en-GB"/>
              </w:rPr>
              <w:t>Wild from Tai National Park, age in years (</w:t>
            </w:r>
            <w:r w:rsidR="00954A56">
              <w:rPr>
                <w:rFonts w:eastAsia="Times New Roman"/>
                <w:b/>
                <w:bCs/>
                <w:i/>
                <w:color w:val="000000"/>
                <w:lang w:val="en-GB" w:eastAsia="en-GB"/>
              </w:rPr>
              <w:t xml:space="preserve">N </w:t>
            </w:r>
            <w:r w:rsidRPr="00CB2D1B">
              <w:rPr>
                <w:rFonts w:eastAsia="Times New Roman"/>
                <w:b/>
                <w:bCs/>
                <w:color w:val="000000"/>
                <w:lang w:val="en-GB" w:eastAsia="en-GB"/>
              </w:rPr>
              <w:t>=</w:t>
            </w:r>
            <w:r w:rsidR="00954A56">
              <w:rPr>
                <w:rFonts w:eastAsia="Times New Roman"/>
                <w:b/>
                <w:bCs/>
                <w:color w:val="000000"/>
                <w:lang w:val="en-GB" w:eastAsia="en-GB"/>
              </w:rPr>
              <w:t xml:space="preserve"> </w:t>
            </w:r>
            <w:r w:rsidRPr="00CB2D1B">
              <w:rPr>
                <w:rFonts w:eastAsia="Times New Roman"/>
                <w:b/>
                <w:bCs/>
                <w:color w:val="000000"/>
                <w:lang w:val="en-GB" w:eastAsia="en-GB"/>
              </w:rPr>
              <w:t>9)</w:t>
            </w:r>
          </w:p>
        </w:tc>
      </w:tr>
      <w:tr w:rsidR="00CB2D1B" w:rsidRPr="00CB2D1B" w:rsidTr="00E32D69">
        <w:trPr>
          <w:trHeight w:val="315"/>
          <w:jc w:val="center"/>
        </w:trPr>
        <w:tc>
          <w:tcPr>
            <w:tcW w:w="1938" w:type="dxa"/>
            <w:tcBorders>
              <w:top w:val="single" w:sz="4" w:space="0" w:color="auto"/>
            </w:tcBorders>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eastAsia="en-GB"/>
              </w:rPr>
              <w:t>ischio-pubic ramus</w:t>
            </w:r>
          </w:p>
        </w:tc>
        <w:tc>
          <w:tcPr>
            <w:tcW w:w="1734" w:type="dxa"/>
            <w:tcBorders>
              <w:top w:val="single" w:sz="4" w:space="0" w:color="auto"/>
            </w:tcBorders>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 xml:space="preserve"> before 0.83 </w:t>
            </w:r>
          </w:p>
        </w:tc>
        <w:tc>
          <w:tcPr>
            <w:tcW w:w="2761" w:type="dxa"/>
            <w:tcBorders>
              <w:top w:val="single" w:sz="4" w:space="0" w:color="auto"/>
            </w:tcBorders>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n/a</w:t>
            </w:r>
          </w:p>
        </w:tc>
        <w:tc>
          <w:tcPr>
            <w:tcW w:w="2660" w:type="dxa"/>
            <w:tcBorders>
              <w:top w:val="single" w:sz="4" w:space="0" w:color="auto"/>
            </w:tcBorders>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 xml:space="preserve"> 0.74 to 3.76</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eastAsia="en-GB"/>
              </w:rPr>
              <w:t>distal humerus</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before 6.74</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6–7</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7.96 to 10</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eastAsia="en-GB"/>
              </w:rPr>
              <w:t>acetabulum</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before 6.74</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7</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5.19 to 11.38</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eastAsia="en-GB"/>
              </w:rPr>
              <w:t xml:space="preserve">proximal radius </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7.3</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9</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11.38 to 12</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eastAsia="en-GB"/>
              </w:rPr>
              <w:t>coracoid process</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7.3 to 8.54</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9</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10 to 11.38</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eastAsia="en-GB"/>
              </w:rPr>
              <w:t>proximal femur</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7.3 to 8.54</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9</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11.38 to 12</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eastAsia="en-GB"/>
              </w:rPr>
              <w:t>distal tibia</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before 8.54</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9</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11.38 to 12</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val="en-GB" w:eastAsia="en-GB"/>
              </w:rPr>
              <w:t>proximal tibia</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 8.54</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9-14</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after 12</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val="en-GB" w:eastAsia="en-GB"/>
              </w:rPr>
              <w:t>humeral head</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8.54 to 11.68</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9-14</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after 12</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val="en-GB" w:eastAsia="en-GB"/>
              </w:rPr>
              <w:t>acromial process</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8.54 to 11.68</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&lt;10</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after 12</w:t>
            </w:r>
          </w:p>
        </w:tc>
      </w:tr>
      <w:tr w:rsidR="00CB2D1B" w:rsidRPr="00CB2D1B" w:rsidTr="00E32D69">
        <w:trPr>
          <w:trHeight w:val="315"/>
          <w:jc w:val="center"/>
        </w:trPr>
        <w:tc>
          <w:tcPr>
            <w:tcW w:w="1938" w:type="dxa"/>
            <w:shd w:val="clear" w:color="auto" w:fill="auto"/>
            <w:noWrap/>
            <w:vAlign w:val="center"/>
            <w:hideMark/>
          </w:tcPr>
          <w:p w:rsidR="00CB2D1B" w:rsidRPr="00CB2D1B" w:rsidRDefault="00CB2D1B" w:rsidP="00D347E1">
            <w:pPr>
              <w:spacing w:before="0" w:line="240" w:lineRule="auto"/>
              <w:rPr>
                <w:rFonts w:eastAsia="Times New Roman"/>
                <w:color w:val="000000"/>
                <w:lang w:val="en-GB" w:eastAsia="en-GB"/>
              </w:rPr>
            </w:pPr>
            <w:r w:rsidRPr="00CB2D1B">
              <w:rPr>
                <w:rFonts w:eastAsia="Times New Roman"/>
                <w:color w:val="000000"/>
                <w:lang w:val="en-GB" w:eastAsia="en-GB"/>
              </w:rPr>
              <w:t>iliac crest</w:t>
            </w:r>
          </w:p>
        </w:tc>
        <w:tc>
          <w:tcPr>
            <w:tcW w:w="1734"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 11.68</w:t>
            </w:r>
          </w:p>
        </w:tc>
        <w:tc>
          <w:tcPr>
            <w:tcW w:w="2761"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partial 9-14</w:t>
            </w:r>
          </w:p>
        </w:tc>
        <w:tc>
          <w:tcPr>
            <w:tcW w:w="2660" w:type="dxa"/>
            <w:shd w:val="clear" w:color="auto" w:fill="auto"/>
            <w:noWrap/>
            <w:vAlign w:val="center"/>
            <w:hideMark/>
          </w:tcPr>
          <w:p w:rsidR="00CB2D1B" w:rsidRPr="00CB2D1B" w:rsidRDefault="00CB2D1B" w:rsidP="00D347E1">
            <w:pPr>
              <w:spacing w:before="0" w:line="240" w:lineRule="auto"/>
              <w:jc w:val="center"/>
              <w:rPr>
                <w:rFonts w:eastAsia="Times New Roman"/>
                <w:color w:val="000000"/>
                <w:lang w:val="en-GB" w:eastAsia="en-GB"/>
              </w:rPr>
            </w:pPr>
            <w:r w:rsidRPr="00CB2D1B">
              <w:rPr>
                <w:rFonts w:eastAsia="Times New Roman"/>
                <w:color w:val="000000"/>
                <w:lang w:val="en-GB" w:eastAsia="en-GB"/>
              </w:rPr>
              <w:t>after 12</w:t>
            </w:r>
          </w:p>
        </w:tc>
      </w:tr>
    </w:tbl>
    <w:p w:rsidR="00DA5557" w:rsidRDefault="006110DE" w:rsidP="00D347E1">
      <w:r>
        <w:t>Bolter and Zih</w:t>
      </w:r>
      <w:r w:rsidR="00C92DE3">
        <w:t>l</w:t>
      </w:r>
      <w:r>
        <w:t xml:space="preserve">man (2012) </w:t>
      </w:r>
      <w:r w:rsidR="00DF587F">
        <w:t>concluded</w:t>
      </w:r>
      <w:r>
        <w:t xml:space="preserve"> that fusion timings for chimpanzees and bonobos </w:t>
      </w:r>
      <w:r w:rsidR="000A41B6">
        <w:t xml:space="preserve">appear </w:t>
      </w:r>
      <w:r>
        <w:t xml:space="preserve">to overlap and that </w:t>
      </w:r>
      <w:r w:rsidR="00571687">
        <w:t xml:space="preserve">the </w:t>
      </w:r>
      <w:r>
        <w:t xml:space="preserve">pattern is very similar.  They </w:t>
      </w:r>
      <w:r w:rsidR="005F6D3C">
        <w:t>suggested</w:t>
      </w:r>
      <w:r>
        <w:t xml:space="preserve"> that there may be some slight differences in timing of fusion of the knee joint and the hip between the two species, although there were only two </w:t>
      </w:r>
      <w:r>
        <w:rPr>
          <w:i/>
        </w:rPr>
        <w:t xml:space="preserve">Pan </w:t>
      </w:r>
      <w:proofErr w:type="gramStart"/>
      <w:r>
        <w:rPr>
          <w:i/>
        </w:rPr>
        <w:t>paniscus</w:t>
      </w:r>
      <w:proofErr w:type="gramEnd"/>
      <w:r>
        <w:t xml:space="preserve"> individuals used to make this assessment.  What </w:t>
      </w:r>
      <w:r w:rsidR="005F6D3C">
        <w:t xml:space="preserve">may </w:t>
      </w:r>
      <w:r>
        <w:t>be drawn from this study is that any substantive deviations in patterning between these species</w:t>
      </w:r>
      <w:r w:rsidR="00AD55CD">
        <w:t xml:space="preserve"> should not be expected</w:t>
      </w:r>
      <w:r>
        <w:t>.  All other evidence of ape and other primate skeletal maturation discussed to this point would support this.  Bolter and Zihlman</w:t>
      </w:r>
      <w:r w:rsidR="005F6D3C">
        <w:t>’s</w:t>
      </w:r>
      <w:r>
        <w:t xml:space="preserve"> (2012) </w:t>
      </w:r>
      <w:r w:rsidR="005F6D3C">
        <w:t xml:space="preserve">study </w:t>
      </w:r>
      <w:r>
        <w:t xml:space="preserve">is a good starting point </w:t>
      </w:r>
      <w:r w:rsidR="005F6D3C">
        <w:t xml:space="preserve">although </w:t>
      </w:r>
      <w:r>
        <w:t>limited by sample size.  There still remain no studies that compare the two species using more precisely estimated times for fusion.</w:t>
      </w:r>
    </w:p>
    <w:p w:rsidR="00DA5557" w:rsidRDefault="00DA5557">
      <w:pPr>
        <w:spacing w:before="0" w:after="200" w:line="276" w:lineRule="auto"/>
        <w:jc w:val="left"/>
      </w:pPr>
      <w:r>
        <w:br w:type="page"/>
      </w:r>
    </w:p>
    <w:p w:rsidR="006110DE" w:rsidRPr="00F17D87" w:rsidRDefault="006110DE" w:rsidP="00D263E8">
      <w:pPr>
        <w:pStyle w:val="Heading3"/>
      </w:pPr>
      <w:bookmarkStart w:id="56" w:name="_Toc373477729"/>
      <w:bookmarkStart w:id="57" w:name="_Toc373480727"/>
      <w:r w:rsidRPr="00F17D87">
        <w:lastRenderedPageBreak/>
        <w:t xml:space="preserve">Comparisons </w:t>
      </w:r>
      <w:r>
        <w:t>between chimpanzees, bonobos and humans</w:t>
      </w:r>
      <w:bookmarkEnd w:id="56"/>
      <w:bookmarkEnd w:id="57"/>
    </w:p>
    <w:p w:rsidR="006110DE" w:rsidRDefault="00B16E66" w:rsidP="00307135">
      <w:pPr>
        <w:rPr>
          <w:noProof/>
        </w:rPr>
      </w:pPr>
      <w:r>
        <w:rPr>
          <w:noProof/>
        </w:rPr>
        <w:t>C</w:t>
      </w:r>
      <w:r w:rsidR="006110DE">
        <w:rPr>
          <w:noProof/>
        </w:rPr>
        <w:t xml:space="preserve">omparisons between chimpanzees and bonobos </w:t>
      </w:r>
      <w:r>
        <w:rPr>
          <w:noProof/>
        </w:rPr>
        <w:t xml:space="preserve">have been noted </w:t>
      </w:r>
      <w:r w:rsidR="006110DE">
        <w:rPr>
          <w:noProof/>
        </w:rPr>
        <w:t>in t</w:t>
      </w:r>
      <w:r w:rsidR="00C16E17">
        <w:rPr>
          <w:noProof/>
        </w:rPr>
        <w:t>he previous section (section 2.3.7</w:t>
      </w:r>
      <w:r w:rsidR="006110DE">
        <w:rPr>
          <w:noProof/>
        </w:rPr>
        <w:t xml:space="preserve">) and </w:t>
      </w:r>
      <w:r w:rsidR="00810CDA">
        <w:rPr>
          <w:noProof/>
        </w:rPr>
        <w:t>it has been</w:t>
      </w:r>
      <w:r w:rsidR="006110DE">
        <w:rPr>
          <w:noProof/>
        </w:rPr>
        <w:t xml:space="preserve"> assessed that based</w:t>
      </w:r>
      <w:r>
        <w:rPr>
          <w:noProof/>
        </w:rPr>
        <w:t xml:space="preserve"> on the data from Bolter and Zi</w:t>
      </w:r>
      <w:r w:rsidR="006110DE">
        <w:rPr>
          <w:noProof/>
        </w:rPr>
        <w:t>h</w:t>
      </w:r>
      <w:r>
        <w:rPr>
          <w:noProof/>
        </w:rPr>
        <w:t>l</w:t>
      </w:r>
      <w:r w:rsidR="006110DE">
        <w:rPr>
          <w:noProof/>
        </w:rPr>
        <w:t>man (2012) that the two species are likely similar in pattern</w:t>
      </w:r>
      <w:r w:rsidR="00AB6738">
        <w:rPr>
          <w:noProof/>
        </w:rPr>
        <w:t xml:space="preserve"> given </w:t>
      </w:r>
      <w:r w:rsidR="00A809C1">
        <w:rPr>
          <w:noProof/>
        </w:rPr>
        <w:t xml:space="preserve">the </w:t>
      </w:r>
      <w:r w:rsidR="00AB6738">
        <w:rPr>
          <w:noProof/>
        </w:rPr>
        <w:t xml:space="preserve">limited </w:t>
      </w:r>
      <w:r w:rsidR="006110DE">
        <w:rPr>
          <w:noProof/>
        </w:rPr>
        <w:t xml:space="preserve">evidence.  </w:t>
      </w:r>
      <w:r w:rsidR="00AB61D0">
        <w:rPr>
          <w:noProof/>
        </w:rPr>
        <w:t xml:space="preserve">As far as the state of current research, </w:t>
      </w:r>
      <w:r w:rsidR="00C354BC">
        <w:rPr>
          <w:noProof/>
        </w:rPr>
        <w:t xml:space="preserve">bonobos </w:t>
      </w:r>
      <w:r w:rsidR="008E1C47">
        <w:rPr>
          <w:noProof/>
        </w:rPr>
        <w:t>fit</w:t>
      </w:r>
      <w:r w:rsidR="00AB61D0">
        <w:rPr>
          <w:noProof/>
        </w:rPr>
        <w:t xml:space="preserve"> within a </w:t>
      </w:r>
      <w:r w:rsidR="00AB61D0" w:rsidRPr="00AB61D0">
        <w:rPr>
          <w:i/>
          <w:noProof/>
        </w:rPr>
        <w:t>Pan</w:t>
      </w:r>
      <w:r w:rsidR="00AB61D0">
        <w:rPr>
          <w:noProof/>
        </w:rPr>
        <w:t xml:space="preserve"> pattern of maturation as set by </w:t>
      </w:r>
      <w:r w:rsidR="00AB61D0">
        <w:rPr>
          <w:i/>
          <w:noProof/>
        </w:rPr>
        <w:t xml:space="preserve">Pan </w:t>
      </w:r>
      <w:r w:rsidR="00AB61D0" w:rsidRPr="00AB61D0">
        <w:rPr>
          <w:i/>
          <w:noProof/>
        </w:rPr>
        <w:t>troglodytes</w:t>
      </w:r>
      <w:r w:rsidR="00AB61D0">
        <w:rPr>
          <w:noProof/>
        </w:rPr>
        <w:t xml:space="preserve">.  </w:t>
      </w:r>
      <w:r w:rsidR="00E67A85">
        <w:rPr>
          <w:noProof/>
        </w:rPr>
        <w:t xml:space="preserve">As such, </w:t>
      </w:r>
      <w:r w:rsidR="0044302F">
        <w:rPr>
          <w:noProof/>
        </w:rPr>
        <w:t xml:space="preserve">comparisons of either </w:t>
      </w:r>
      <w:r w:rsidR="0044302F">
        <w:rPr>
          <w:i/>
          <w:noProof/>
        </w:rPr>
        <w:t xml:space="preserve">Pan </w:t>
      </w:r>
      <w:r w:rsidR="0044302F">
        <w:rPr>
          <w:noProof/>
        </w:rPr>
        <w:t xml:space="preserve">species </w:t>
      </w:r>
      <w:r w:rsidR="003E0F3C">
        <w:rPr>
          <w:noProof/>
        </w:rPr>
        <w:t>to</w:t>
      </w:r>
      <w:r w:rsidR="0044302F">
        <w:rPr>
          <w:noProof/>
        </w:rPr>
        <w:t xml:space="preserve"> humans are expected to demonstrate the same results</w:t>
      </w:r>
      <w:r w:rsidR="00E67A85">
        <w:rPr>
          <w:noProof/>
        </w:rPr>
        <w:t xml:space="preserve">.  It may be noted that there have been no direct comparisons of bonobo epiphyseal maturation to humans.  </w:t>
      </w:r>
      <w:r w:rsidR="00F60934">
        <w:rPr>
          <w:noProof/>
        </w:rPr>
        <w:t xml:space="preserve">Given this assumption of </w:t>
      </w:r>
      <w:r w:rsidR="00493408">
        <w:rPr>
          <w:noProof/>
        </w:rPr>
        <w:t>equivalence</w:t>
      </w:r>
      <w:r w:rsidR="00F60934">
        <w:rPr>
          <w:noProof/>
        </w:rPr>
        <w:t xml:space="preserve"> </w:t>
      </w:r>
      <w:r w:rsidR="008E66BF">
        <w:rPr>
          <w:noProof/>
        </w:rPr>
        <w:t xml:space="preserve">for </w:t>
      </w:r>
      <w:r w:rsidR="004D0272">
        <w:rPr>
          <w:noProof/>
        </w:rPr>
        <w:t xml:space="preserve">skeletal </w:t>
      </w:r>
      <w:r w:rsidR="00F60934">
        <w:rPr>
          <w:noProof/>
        </w:rPr>
        <w:t xml:space="preserve">maturational patterns in </w:t>
      </w:r>
      <w:r w:rsidR="00F60934">
        <w:rPr>
          <w:i/>
          <w:noProof/>
        </w:rPr>
        <w:t>Pan</w:t>
      </w:r>
      <w:r w:rsidR="006110DE">
        <w:rPr>
          <w:noProof/>
        </w:rPr>
        <w:t xml:space="preserve">, </w:t>
      </w:r>
      <w:r w:rsidR="008E1C47">
        <w:rPr>
          <w:noProof/>
        </w:rPr>
        <w:t>there remains</w:t>
      </w:r>
      <w:r w:rsidR="006110DE">
        <w:rPr>
          <w:noProof/>
        </w:rPr>
        <w:t xml:space="preserve"> only one comparison in which analysis within the literature </w:t>
      </w:r>
      <w:r w:rsidR="002F6E9D">
        <w:rPr>
          <w:noProof/>
        </w:rPr>
        <w:t xml:space="preserve">may be explored </w:t>
      </w:r>
      <w:r w:rsidR="006110DE">
        <w:rPr>
          <w:noProof/>
        </w:rPr>
        <w:t>and that is between chimpanzees and humans.</w:t>
      </w:r>
    </w:p>
    <w:p w:rsidR="005045DD" w:rsidRDefault="006110DE" w:rsidP="00307135">
      <w:pPr>
        <w:rPr>
          <w:noProof/>
        </w:rPr>
      </w:pPr>
      <w:r>
        <w:rPr>
          <w:noProof/>
        </w:rPr>
        <w:t>Comparing chimpanzee</w:t>
      </w:r>
      <w:r w:rsidR="00415DD0">
        <w:rPr>
          <w:noProof/>
        </w:rPr>
        <w:t xml:space="preserve"> and human</w:t>
      </w:r>
      <w:r>
        <w:rPr>
          <w:noProof/>
        </w:rPr>
        <w:t xml:space="preserve"> </w:t>
      </w:r>
      <w:r w:rsidR="00C5094B">
        <w:rPr>
          <w:noProof/>
        </w:rPr>
        <w:t xml:space="preserve">epiphyseal </w:t>
      </w:r>
      <w:r w:rsidR="005B6C3C">
        <w:rPr>
          <w:noProof/>
        </w:rPr>
        <w:t>fusion patterns</w:t>
      </w:r>
      <w:r>
        <w:rPr>
          <w:noProof/>
        </w:rPr>
        <w:t xml:space="preserve"> </w:t>
      </w:r>
      <w:r w:rsidR="00CC75EA">
        <w:rPr>
          <w:noProof/>
        </w:rPr>
        <w:t xml:space="preserve">using prior studies </w:t>
      </w:r>
      <w:r>
        <w:rPr>
          <w:noProof/>
        </w:rPr>
        <w:t xml:space="preserve">is </w:t>
      </w:r>
      <w:r w:rsidR="00CC75EA">
        <w:rPr>
          <w:noProof/>
        </w:rPr>
        <w:t xml:space="preserve">complicated by the </w:t>
      </w:r>
      <w:r>
        <w:rPr>
          <w:noProof/>
        </w:rPr>
        <w:t xml:space="preserve">differing rates of growth relative to chronological years.  Chimpanzees have a shorter overall </w:t>
      </w:r>
      <w:r w:rsidR="002D4A38">
        <w:rPr>
          <w:noProof/>
        </w:rPr>
        <w:t xml:space="preserve">growth </w:t>
      </w:r>
      <w:r w:rsidR="00020E59">
        <w:rPr>
          <w:noProof/>
        </w:rPr>
        <w:t>period</w:t>
      </w:r>
      <w:r w:rsidR="005F3589">
        <w:rPr>
          <w:noProof/>
        </w:rPr>
        <w:t xml:space="preserve"> </w:t>
      </w:r>
      <w:r>
        <w:rPr>
          <w:noProof/>
        </w:rPr>
        <w:t>and a more linear rate of growth (</w:t>
      </w:r>
      <w:r w:rsidR="00415DD0">
        <w:rPr>
          <w:noProof/>
        </w:rPr>
        <w:t xml:space="preserve">e.g., </w:t>
      </w:r>
      <w:r>
        <w:rPr>
          <w:noProof/>
        </w:rPr>
        <w:t xml:space="preserve">Hamada </w:t>
      </w:r>
      <w:r>
        <w:rPr>
          <w:i/>
          <w:noProof/>
        </w:rPr>
        <w:t>et al</w:t>
      </w:r>
      <w:r w:rsidR="00C07780">
        <w:rPr>
          <w:i/>
          <w:noProof/>
        </w:rPr>
        <w:t>.</w:t>
      </w:r>
      <w:r>
        <w:rPr>
          <w:noProof/>
        </w:rPr>
        <w:t xml:space="preserve"> 1996, Hamada and Chatani 2003, Shea 1981).  These differences have effects on the relative timing of epiphyseal fusion events in terms of calendar years.  Differences in growth rate and duration in</w:t>
      </w:r>
      <w:r w:rsidR="0096584A">
        <w:rPr>
          <w:noProof/>
        </w:rPr>
        <w:t>troduce</w:t>
      </w:r>
      <w:r>
        <w:rPr>
          <w:noProof/>
        </w:rPr>
        <w:t xml:space="preserve"> inherent problems for studies only looking at single or a few epiphyses.  In theory, </w:t>
      </w:r>
      <w:r w:rsidR="00DB7426">
        <w:rPr>
          <w:noProof/>
        </w:rPr>
        <w:t>attempting a</w:t>
      </w:r>
      <w:r>
        <w:rPr>
          <w:noProof/>
        </w:rPr>
        <w:t xml:space="preserve"> proper comparison would require time to be scaled to see if fusion events occur at the same point of growth.</w:t>
      </w:r>
      <w:r w:rsidR="007D4FE5">
        <w:rPr>
          <w:noProof/>
        </w:rPr>
        <w:t xml:space="preserve">  </w:t>
      </w:r>
      <w:r>
        <w:rPr>
          <w:noProof/>
        </w:rPr>
        <w:t>The human growth curve has for some time been known to require a minimum of several polynom</w:t>
      </w:r>
      <w:r w:rsidR="008436A6">
        <w:rPr>
          <w:noProof/>
        </w:rPr>
        <w:t xml:space="preserve">ials to model (Bock and Thissen </w:t>
      </w:r>
      <w:r w:rsidRPr="00E85744">
        <w:rPr>
          <w:noProof/>
        </w:rPr>
        <w:t>1976</w:t>
      </w:r>
      <w:r>
        <w:rPr>
          <w:noProof/>
        </w:rPr>
        <w:t>,</w:t>
      </w:r>
      <w:r w:rsidR="008436A6">
        <w:rPr>
          <w:noProof/>
        </w:rPr>
        <w:t xml:space="preserve"> Karlberg</w:t>
      </w:r>
      <w:r w:rsidRPr="00E85744">
        <w:rPr>
          <w:noProof/>
        </w:rPr>
        <w:t xml:space="preserve"> 1985)</w:t>
      </w:r>
      <w:r>
        <w:rPr>
          <w:noProof/>
        </w:rPr>
        <w:t xml:space="preserve"> and there exists no </w:t>
      </w:r>
      <w:r w:rsidR="00027F47">
        <w:rPr>
          <w:noProof/>
        </w:rPr>
        <w:t>quantified</w:t>
      </w:r>
      <w:r>
        <w:rPr>
          <w:noProof/>
        </w:rPr>
        <w:t xml:space="preserve"> functional relationship </w:t>
      </w:r>
      <w:r w:rsidR="0096584A">
        <w:rPr>
          <w:noProof/>
        </w:rPr>
        <w:t xml:space="preserve">comparing </w:t>
      </w:r>
      <w:r>
        <w:rPr>
          <w:noProof/>
        </w:rPr>
        <w:t xml:space="preserve">the two species aside from </w:t>
      </w:r>
      <w:r w:rsidR="00415DD0">
        <w:rPr>
          <w:noProof/>
        </w:rPr>
        <w:t>illustrat</w:t>
      </w:r>
      <w:r w:rsidR="00027F47">
        <w:rPr>
          <w:noProof/>
        </w:rPr>
        <w:t>ions of growth curve shape</w:t>
      </w:r>
      <w:r>
        <w:rPr>
          <w:noProof/>
        </w:rPr>
        <w:t xml:space="preserve">.  When it is known that the functions are not exactly the same, which indeed they are not, </w:t>
      </w:r>
      <w:r w:rsidR="00415DD0">
        <w:rPr>
          <w:noProof/>
        </w:rPr>
        <w:t>there is</w:t>
      </w:r>
      <w:r>
        <w:rPr>
          <w:noProof/>
        </w:rPr>
        <w:t xml:space="preserve"> no way of knowing if these events are scaled or if they are distorted</w:t>
      </w:r>
      <w:r w:rsidR="0096158C">
        <w:rPr>
          <w:noProof/>
        </w:rPr>
        <w:t xml:space="preserve"> without the use of a higher-resolution growth parameter that may be scaled to chronological years.  The relationship between dental mineralization and chronological years is well-known for chimpanzees but this approach has not been taken for the aforementioned studies of chimpanzee epiphyseal fusion</w:t>
      </w:r>
      <w:r>
        <w:rPr>
          <w:noProof/>
        </w:rPr>
        <w:t>.</w:t>
      </w:r>
      <w:r w:rsidR="0096158C">
        <w:rPr>
          <w:noProof/>
        </w:rPr>
        <w:t xml:space="preserve">  This may potentially be a consequence of logistical constraints for radiography.  </w:t>
      </w:r>
      <w:r w:rsidR="003A7DE3">
        <w:rPr>
          <w:noProof/>
        </w:rPr>
        <w:t>Irrespective of whatever reasons may be behind this</w:t>
      </w:r>
      <w:r w:rsidR="0096158C">
        <w:rPr>
          <w:noProof/>
        </w:rPr>
        <w:t>, only dental emergence</w:t>
      </w:r>
      <w:r w:rsidR="00480095">
        <w:rPr>
          <w:noProof/>
        </w:rPr>
        <w:t xml:space="preserve"> reference points are available</w:t>
      </w:r>
      <w:r w:rsidR="0096158C">
        <w:rPr>
          <w:noProof/>
        </w:rPr>
        <w:t xml:space="preserve"> which provide a much more coarse approximation to age </w:t>
      </w:r>
      <w:r w:rsidR="00480095">
        <w:rPr>
          <w:noProof/>
        </w:rPr>
        <w:t xml:space="preserve">due to </w:t>
      </w:r>
      <w:r w:rsidR="0096158C">
        <w:rPr>
          <w:noProof/>
        </w:rPr>
        <w:t xml:space="preserve">this method only </w:t>
      </w:r>
      <w:r w:rsidR="0065230D">
        <w:rPr>
          <w:noProof/>
        </w:rPr>
        <w:t xml:space="preserve">producing </w:t>
      </w:r>
      <w:r w:rsidR="004161E1">
        <w:rPr>
          <w:noProof/>
        </w:rPr>
        <w:t>groupings of epiphyses</w:t>
      </w:r>
      <w:r w:rsidR="0096158C">
        <w:rPr>
          <w:noProof/>
        </w:rPr>
        <w:t xml:space="preserve"> by periods of years between emergence events.</w:t>
      </w:r>
      <w:r>
        <w:rPr>
          <w:noProof/>
        </w:rPr>
        <w:t xml:space="preserve"> </w:t>
      </w:r>
      <w:r w:rsidR="0096158C">
        <w:rPr>
          <w:noProof/>
        </w:rPr>
        <w:t xml:space="preserve"> </w:t>
      </w:r>
      <w:r w:rsidR="0062453E">
        <w:rPr>
          <w:noProof/>
        </w:rPr>
        <w:t>Potentially a</w:t>
      </w:r>
      <w:r w:rsidR="0096158C">
        <w:rPr>
          <w:noProof/>
        </w:rPr>
        <w:t>s a result of the limitation of growth rate differences between the species,</w:t>
      </w:r>
      <w:r>
        <w:rPr>
          <w:noProof/>
        </w:rPr>
        <w:t xml:space="preserve"> single-region studies simply report the ages at which these events occurred without </w:t>
      </w:r>
      <w:r w:rsidR="00034CF2">
        <w:rPr>
          <w:noProof/>
        </w:rPr>
        <w:t xml:space="preserve">considering </w:t>
      </w:r>
      <w:r>
        <w:rPr>
          <w:noProof/>
        </w:rPr>
        <w:t xml:space="preserve">comparison </w:t>
      </w:r>
      <w:r w:rsidR="0039209A">
        <w:rPr>
          <w:noProof/>
        </w:rPr>
        <w:t>to</w:t>
      </w:r>
      <w:r>
        <w:rPr>
          <w:noProof/>
        </w:rPr>
        <w:t xml:space="preserve"> humans.  </w:t>
      </w:r>
      <w:r w:rsidR="0018708A">
        <w:rPr>
          <w:noProof/>
        </w:rPr>
        <w:t>Mu</w:t>
      </w:r>
      <w:r w:rsidR="00FF7F10">
        <w:rPr>
          <w:noProof/>
        </w:rPr>
        <w:t>l</w:t>
      </w:r>
      <w:r w:rsidR="0018708A">
        <w:rPr>
          <w:noProof/>
        </w:rPr>
        <w:t>tiple skeletal-region studies</w:t>
      </w:r>
      <w:r>
        <w:rPr>
          <w:noProof/>
        </w:rPr>
        <w:t xml:space="preserve"> (Bolter and Zihlman 2012, King 2004, and Zihlman </w:t>
      </w:r>
      <w:r>
        <w:rPr>
          <w:i/>
          <w:noProof/>
        </w:rPr>
        <w:t>et al</w:t>
      </w:r>
      <w:r w:rsidR="00640014">
        <w:rPr>
          <w:noProof/>
        </w:rPr>
        <w:t>.</w:t>
      </w:r>
      <w:r>
        <w:rPr>
          <w:i/>
          <w:noProof/>
        </w:rPr>
        <w:t xml:space="preserve"> </w:t>
      </w:r>
      <w:r>
        <w:rPr>
          <w:noProof/>
        </w:rPr>
        <w:t>2007) have had more p</w:t>
      </w:r>
      <w:r w:rsidR="00097DE8">
        <w:rPr>
          <w:noProof/>
        </w:rPr>
        <w:t>otential to make comparison to</w:t>
      </w:r>
      <w:r>
        <w:rPr>
          <w:noProof/>
        </w:rPr>
        <w:t xml:space="preserve"> humans </w:t>
      </w:r>
      <w:r w:rsidR="005F47AE">
        <w:rPr>
          <w:noProof/>
        </w:rPr>
        <w:t xml:space="preserve">at the levels of sequences but none have had sufficient data to complete such an </w:t>
      </w:r>
      <w:r>
        <w:rPr>
          <w:noProof/>
        </w:rPr>
        <w:t xml:space="preserve">analysis.  King’s (2004) methodology did not </w:t>
      </w:r>
      <w:r w:rsidR="00D86271">
        <w:rPr>
          <w:noProof/>
        </w:rPr>
        <w:t>include human data and</w:t>
      </w:r>
      <w:r w:rsidR="008328D3">
        <w:rPr>
          <w:noProof/>
        </w:rPr>
        <w:t xml:space="preserve"> focus</w:t>
      </w:r>
      <w:r>
        <w:rPr>
          <w:noProof/>
        </w:rPr>
        <w:t xml:space="preserve">ed on sequence relationships within other primate lineages.  Bolter and Zihlman (2012) focused exclusively on </w:t>
      </w:r>
      <w:r>
        <w:rPr>
          <w:noProof/>
        </w:rPr>
        <w:lastRenderedPageBreak/>
        <w:t xml:space="preserve">chimpanzees and bonobos.  Zihlman </w:t>
      </w:r>
      <w:r>
        <w:rPr>
          <w:i/>
          <w:noProof/>
        </w:rPr>
        <w:t>et al</w:t>
      </w:r>
      <w:r w:rsidR="00C166E5">
        <w:rPr>
          <w:noProof/>
        </w:rPr>
        <w:t>.</w:t>
      </w:r>
      <w:r>
        <w:rPr>
          <w:noProof/>
        </w:rPr>
        <w:t xml:space="preserve"> (2007) provided ranges of fusion for the individuals in the sample but their study was more concerned with discussing the differences between males and females and comparisons bet</w:t>
      </w:r>
      <w:r w:rsidR="00456ADA">
        <w:rPr>
          <w:noProof/>
        </w:rPr>
        <w:t>ween wild and captive animals.  Kerley (1966) was the only study that made</w:t>
      </w:r>
      <w:r>
        <w:rPr>
          <w:noProof/>
        </w:rPr>
        <w:t xml:space="preserve"> direct comment on comparing chimpanzee to human epiphyseal fusion using original data.  Kerley (1966) suggested that fusion times for </w:t>
      </w:r>
      <w:r w:rsidR="005A23C8">
        <w:rPr>
          <w:noProof/>
        </w:rPr>
        <w:t>the acetabulum</w:t>
      </w:r>
      <w:r>
        <w:rPr>
          <w:noProof/>
        </w:rPr>
        <w:t xml:space="preserve">, the distal humerus, </w:t>
      </w:r>
      <w:r w:rsidR="00072AE7">
        <w:rPr>
          <w:noProof/>
        </w:rPr>
        <w:t xml:space="preserve">and the </w:t>
      </w:r>
      <w:r>
        <w:rPr>
          <w:noProof/>
        </w:rPr>
        <w:t>acromial process</w:t>
      </w:r>
      <w:r w:rsidR="00072AE7">
        <w:rPr>
          <w:noProof/>
        </w:rPr>
        <w:t xml:space="preserve"> </w:t>
      </w:r>
      <w:r w:rsidR="00A30F39">
        <w:rPr>
          <w:noProof/>
        </w:rPr>
        <w:t xml:space="preserve">may be </w:t>
      </w:r>
      <w:r>
        <w:rPr>
          <w:noProof/>
        </w:rPr>
        <w:t xml:space="preserve">earlier in </w:t>
      </w:r>
      <w:r w:rsidR="0032067A">
        <w:rPr>
          <w:noProof/>
        </w:rPr>
        <w:t xml:space="preserve">sequence </w:t>
      </w:r>
      <w:r w:rsidR="00A30F39">
        <w:rPr>
          <w:noProof/>
        </w:rPr>
        <w:t xml:space="preserve">for chimpanzees than that </w:t>
      </w:r>
      <w:r w:rsidR="00456ADA">
        <w:rPr>
          <w:noProof/>
        </w:rPr>
        <w:t>reported for humans.</w:t>
      </w:r>
      <w:r w:rsidR="000724BB">
        <w:rPr>
          <w:noProof/>
        </w:rPr>
        <w:t xml:space="preserve">  Kerley’s (1966) data set was too small to test this assertion.</w:t>
      </w:r>
    </w:p>
    <w:p w:rsidR="006110DE" w:rsidRDefault="006110DE" w:rsidP="00D263E8">
      <w:pPr>
        <w:pStyle w:val="Heading2"/>
      </w:pPr>
      <w:bookmarkStart w:id="58" w:name="_Toc373477730"/>
      <w:bookmarkStart w:id="59" w:name="_Toc373480728"/>
      <w:r>
        <w:t>Dental development</w:t>
      </w:r>
      <w:bookmarkEnd w:id="58"/>
      <w:bookmarkEnd w:id="59"/>
    </w:p>
    <w:p w:rsidR="006110DE" w:rsidRPr="00511303" w:rsidRDefault="006110DE" w:rsidP="00684CC8">
      <w:pPr>
        <w:rPr>
          <w:noProof/>
        </w:rPr>
      </w:pPr>
      <w:r>
        <w:rPr>
          <w:noProof/>
        </w:rPr>
        <w:t>The</w:t>
      </w:r>
      <w:r w:rsidR="005B15F4">
        <w:rPr>
          <w:noProof/>
        </w:rPr>
        <w:t xml:space="preserve"> study of dental development is</w:t>
      </w:r>
      <w:r>
        <w:rPr>
          <w:noProof/>
        </w:rPr>
        <w:t xml:space="preserve"> both a complex and diverse topic.  </w:t>
      </w:r>
      <w:r w:rsidR="007263B6">
        <w:rPr>
          <w:noProof/>
        </w:rPr>
        <w:t xml:space="preserve">The </w:t>
      </w:r>
      <w:r>
        <w:rPr>
          <w:noProof/>
        </w:rPr>
        <w:t xml:space="preserve">use of such information for this study is limited to understanding mineralization and estimated chronological ages of attainment for particular mineralization stages.  However, functional morphology and other such parameters </w:t>
      </w:r>
      <w:r w:rsidR="004C40DE">
        <w:rPr>
          <w:noProof/>
        </w:rPr>
        <w:t xml:space="preserve">such as emergence </w:t>
      </w:r>
      <w:r>
        <w:rPr>
          <w:noProof/>
        </w:rPr>
        <w:t xml:space="preserve">do play a role in determining selective pressure on growth patterns and </w:t>
      </w:r>
      <w:r w:rsidR="005B15F4">
        <w:rPr>
          <w:noProof/>
        </w:rPr>
        <w:t>as such this se</w:t>
      </w:r>
      <w:r w:rsidR="00A63997">
        <w:rPr>
          <w:noProof/>
        </w:rPr>
        <w:t>c</w:t>
      </w:r>
      <w:r w:rsidR="005B15F4">
        <w:rPr>
          <w:noProof/>
        </w:rPr>
        <w:t xml:space="preserve">tion will </w:t>
      </w:r>
      <w:r>
        <w:rPr>
          <w:noProof/>
        </w:rPr>
        <w:t xml:space="preserve">situate chimpanzee, bonobo, and </w:t>
      </w:r>
      <w:r w:rsidR="00CD5BBD">
        <w:rPr>
          <w:noProof/>
        </w:rPr>
        <w:t>human dental development within</w:t>
      </w:r>
      <w:r w:rsidR="00A63997">
        <w:rPr>
          <w:noProof/>
        </w:rPr>
        <w:t xml:space="preserve"> </w:t>
      </w:r>
      <w:r>
        <w:rPr>
          <w:noProof/>
        </w:rPr>
        <w:t xml:space="preserve">general primate </w:t>
      </w:r>
      <w:r w:rsidR="006815A9">
        <w:rPr>
          <w:noProof/>
        </w:rPr>
        <w:t>dental patterns</w:t>
      </w:r>
      <w:r>
        <w:rPr>
          <w:noProof/>
        </w:rPr>
        <w:t xml:space="preserve">.  There are known differences between chimpanzee, bonobo and human dentition with respect to </w:t>
      </w:r>
      <w:r w:rsidR="00792BCB">
        <w:rPr>
          <w:noProof/>
        </w:rPr>
        <w:t xml:space="preserve">emergence </w:t>
      </w:r>
      <w:r>
        <w:rPr>
          <w:noProof/>
        </w:rPr>
        <w:t>chronology and mineral</w:t>
      </w:r>
      <w:r w:rsidR="0021461B">
        <w:rPr>
          <w:noProof/>
        </w:rPr>
        <w:t>i</w:t>
      </w:r>
      <w:r>
        <w:rPr>
          <w:noProof/>
        </w:rPr>
        <w:t>zation (</w:t>
      </w:r>
      <w:r w:rsidR="007263B6">
        <w:rPr>
          <w:noProof/>
        </w:rPr>
        <w:t xml:space="preserve">Boughner and Dean 2012, </w:t>
      </w:r>
      <w:r>
        <w:rPr>
          <w:noProof/>
        </w:rPr>
        <w:t>Kuykendall and Conroy 1996) and these must be clarified for comparisons to be made.</w:t>
      </w:r>
      <w:r w:rsidR="005C3AAF">
        <w:rPr>
          <w:noProof/>
        </w:rPr>
        <w:t xml:space="preserve">  Further study including dental </w:t>
      </w:r>
      <w:r w:rsidR="00EE2D4B">
        <w:rPr>
          <w:noProof/>
        </w:rPr>
        <w:t xml:space="preserve">emergence </w:t>
      </w:r>
      <w:r w:rsidR="005C3AAF">
        <w:rPr>
          <w:noProof/>
        </w:rPr>
        <w:t>may also shed light on sequence differences.</w:t>
      </w:r>
    </w:p>
    <w:p w:rsidR="006110DE" w:rsidRPr="003D47BE" w:rsidRDefault="006110DE" w:rsidP="00D263E8">
      <w:pPr>
        <w:pStyle w:val="Heading3"/>
      </w:pPr>
      <w:bookmarkStart w:id="60" w:name="_Toc373477731"/>
      <w:bookmarkStart w:id="61" w:name="_Toc373480729"/>
      <w:r>
        <w:t>P</w:t>
      </w:r>
      <w:r w:rsidRPr="003D47BE">
        <w:t>rimate dentition</w:t>
      </w:r>
      <w:r>
        <w:t xml:space="preserve"> and dental development</w:t>
      </w:r>
      <w:bookmarkEnd w:id="60"/>
      <w:bookmarkEnd w:id="61"/>
    </w:p>
    <w:p w:rsidR="006110DE" w:rsidRDefault="006110DE" w:rsidP="00684CC8">
      <w:pPr>
        <w:rPr>
          <w:noProof/>
        </w:rPr>
      </w:pPr>
      <w:r>
        <w:rPr>
          <w:noProof/>
        </w:rPr>
        <w:t>The depth of information avaliable about primate dentition is variable, depending greatly on species and genera.  The largest body of data pertain to great apes.  However, general dental patterning and emergence has been assessed in a variety of species.</w:t>
      </w:r>
    </w:p>
    <w:p w:rsidR="006110DE" w:rsidRPr="00DA5557" w:rsidRDefault="009A7C67" w:rsidP="001E5E54">
      <w:pPr>
        <w:rPr>
          <w:b/>
          <w:i/>
          <w:noProof/>
        </w:rPr>
      </w:pPr>
      <w:r w:rsidRPr="00DA5557">
        <w:rPr>
          <w:b/>
          <w:i/>
          <w:noProof/>
        </w:rPr>
        <w:t>2.4</w:t>
      </w:r>
      <w:r w:rsidR="003D256A" w:rsidRPr="00DA5557">
        <w:rPr>
          <w:b/>
          <w:i/>
          <w:noProof/>
        </w:rPr>
        <w:t>.1.a</w:t>
      </w:r>
      <w:r w:rsidR="003D256A" w:rsidRPr="00DA5557">
        <w:rPr>
          <w:b/>
          <w:i/>
          <w:noProof/>
        </w:rPr>
        <w:tab/>
      </w:r>
      <w:r w:rsidR="006110DE" w:rsidRPr="00DA5557">
        <w:rPr>
          <w:b/>
          <w:i/>
          <w:noProof/>
        </w:rPr>
        <w:t>Dental formula</w:t>
      </w:r>
    </w:p>
    <w:p w:rsidR="006110DE" w:rsidRPr="004A4838" w:rsidRDefault="006110DE" w:rsidP="00684CC8">
      <w:pPr>
        <w:rPr>
          <w:noProof/>
        </w:rPr>
      </w:pPr>
      <w:r>
        <w:rPr>
          <w:noProof/>
        </w:rPr>
        <w:t xml:space="preserve">Compared to other mammalian groups, </w:t>
      </w:r>
      <w:r w:rsidR="003D256A">
        <w:rPr>
          <w:noProof/>
        </w:rPr>
        <w:t xml:space="preserve">the dental formula of </w:t>
      </w:r>
      <w:r>
        <w:rPr>
          <w:noProof/>
        </w:rPr>
        <w:t>p</w:t>
      </w:r>
      <w:r w:rsidR="00EA7D81">
        <w:rPr>
          <w:noProof/>
        </w:rPr>
        <w:t xml:space="preserve">rimates has shown reduction </w:t>
      </w:r>
      <w:r w:rsidR="009A7C67">
        <w:rPr>
          <w:noProof/>
        </w:rPr>
        <w:t xml:space="preserve">in tooth number </w:t>
      </w:r>
      <w:r w:rsidR="00EA7D81">
        <w:rPr>
          <w:noProof/>
        </w:rPr>
        <w:t>over time</w:t>
      </w:r>
      <w:r w:rsidRPr="0078304B">
        <w:rPr>
          <w:noProof/>
        </w:rPr>
        <w:t xml:space="preserve"> (Martin 1990).</w:t>
      </w:r>
      <w:r>
        <w:rPr>
          <w:noProof/>
        </w:rPr>
        <w:t xml:space="preserve">  Extant primate dentition follows a pattern with a maximum number of teeth in each category for incisors, canines, premolars and molars of 2.1.3.3.  </w:t>
      </w:r>
      <w:r w:rsidRPr="00620A5D">
        <w:rPr>
          <w:color w:val="000000"/>
          <w:shd w:val="clear" w:color="auto" w:fill="FFFFFF"/>
        </w:rPr>
        <w:t>Platyrrhine species show either</w:t>
      </w:r>
      <w:r w:rsidRPr="00620A5D">
        <w:rPr>
          <w:rStyle w:val="apple-converted-space"/>
          <w:color w:val="000000"/>
          <w:shd w:val="clear" w:color="auto" w:fill="FFFFFF"/>
        </w:rPr>
        <w:t> </w:t>
      </w:r>
      <w:r w:rsidRPr="00620A5D">
        <w:rPr>
          <w:bCs/>
          <w:color w:val="000000"/>
          <w:shd w:val="clear" w:color="auto" w:fill="FFFFFF"/>
        </w:rPr>
        <w:t xml:space="preserve">2.1.3.2 or 2.1.3.3 while </w:t>
      </w:r>
      <w:r w:rsidRPr="00620A5D">
        <w:rPr>
          <w:noProof/>
          <w:color w:val="000000"/>
        </w:rPr>
        <w:t xml:space="preserve">catarrhines follow 2.1.2.3 </w:t>
      </w:r>
      <w:r>
        <w:rPr>
          <w:noProof/>
        </w:rPr>
        <w:t xml:space="preserve">(Fleagle 1998, Kinsey 1997).  </w:t>
      </w:r>
      <w:r w:rsidR="003D256A">
        <w:rPr>
          <w:noProof/>
        </w:rPr>
        <w:t xml:space="preserve">Being </w:t>
      </w:r>
      <w:r>
        <w:rPr>
          <w:noProof/>
        </w:rPr>
        <w:t>catarrhine primates, chimpanzees, bonobos, and humans all share the same dental formula.</w:t>
      </w:r>
    </w:p>
    <w:p w:rsidR="00E94CEE" w:rsidRDefault="00E94CEE">
      <w:pPr>
        <w:spacing w:before="0" w:after="200" w:line="276" w:lineRule="auto"/>
        <w:jc w:val="left"/>
        <w:rPr>
          <w:b/>
          <w:i/>
          <w:noProof/>
        </w:rPr>
      </w:pPr>
      <w:r>
        <w:rPr>
          <w:b/>
          <w:i/>
          <w:noProof/>
        </w:rPr>
        <w:br w:type="page"/>
      </w:r>
    </w:p>
    <w:p w:rsidR="006110DE" w:rsidRPr="00DA5557" w:rsidRDefault="009A7C67" w:rsidP="001E5E54">
      <w:pPr>
        <w:rPr>
          <w:b/>
          <w:i/>
          <w:noProof/>
        </w:rPr>
      </w:pPr>
      <w:r w:rsidRPr="00DA5557">
        <w:rPr>
          <w:b/>
          <w:i/>
          <w:noProof/>
        </w:rPr>
        <w:lastRenderedPageBreak/>
        <w:t>2.4</w:t>
      </w:r>
      <w:r w:rsidR="003D256A" w:rsidRPr="00DA5557">
        <w:rPr>
          <w:b/>
          <w:i/>
          <w:noProof/>
        </w:rPr>
        <w:t>.1.b</w:t>
      </w:r>
      <w:r w:rsidR="003D256A" w:rsidRPr="00DA5557">
        <w:rPr>
          <w:b/>
          <w:i/>
          <w:noProof/>
        </w:rPr>
        <w:tab/>
      </w:r>
      <w:r w:rsidR="006110DE" w:rsidRPr="00DA5557">
        <w:rPr>
          <w:b/>
          <w:i/>
          <w:noProof/>
        </w:rPr>
        <w:t>Morphology</w:t>
      </w:r>
    </w:p>
    <w:p w:rsidR="006110DE" w:rsidRDefault="006110DE" w:rsidP="001E5E54">
      <w:pPr>
        <w:rPr>
          <w:noProof/>
        </w:rPr>
      </w:pPr>
      <w:r>
        <w:rPr>
          <w:noProof/>
        </w:rPr>
        <w:t>Primate dentition can be morphologically distinct depending on dietary adaptations (e.g.</w:t>
      </w:r>
      <w:r w:rsidR="00B6096B">
        <w:rPr>
          <w:noProof/>
        </w:rPr>
        <w:t>,</w:t>
      </w:r>
      <w:r>
        <w:rPr>
          <w:noProof/>
        </w:rPr>
        <w:t xml:space="preserve"> Fleagle and McGraw 1999, Kinzey 1984, 1992).  Primate</w:t>
      </w:r>
      <w:r w:rsidR="003D0F75">
        <w:rPr>
          <w:noProof/>
        </w:rPr>
        <w:t xml:space="preserve"> diet</w:t>
      </w:r>
      <w:r>
        <w:rPr>
          <w:noProof/>
        </w:rPr>
        <w:t>s vary from folivor</w:t>
      </w:r>
      <w:r w:rsidR="003D0F75">
        <w:rPr>
          <w:noProof/>
        </w:rPr>
        <w:t>y</w:t>
      </w:r>
      <w:r>
        <w:rPr>
          <w:noProof/>
        </w:rPr>
        <w:t xml:space="preserve"> to frugivor</w:t>
      </w:r>
      <w:r w:rsidR="003D0F75">
        <w:rPr>
          <w:noProof/>
        </w:rPr>
        <w:t>y</w:t>
      </w:r>
      <w:r>
        <w:rPr>
          <w:noProof/>
        </w:rPr>
        <w:t xml:space="preserve"> and various types of </w:t>
      </w:r>
      <w:r w:rsidR="001F3547">
        <w:rPr>
          <w:noProof/>
        </w:rPr>
        <w:t>omnivory</w:t>
      </w:r>
      <w:r>
        <w:rPr>
          <w:noProof/>
        </w:rPr>
        <w:t xml:space="preserve"> (</w:t>
      </w:r>
      <w:r w:rsidR="003D256A">
        <w:rPr>
          <w:noProof/>
        </w:rPr>
        <w:t>Fleagle 1999, Nystrom and Ashmore 2008</w:t>
      </w:r>
      <w:r>
        <w:rPr>
          <w:noProof/>
        </w:rPr>
        <w:t>).  An analysis of these differences is not directly relevant in the context of this study but</w:t>
      </w:r>
      <w:r w:rsidR="00BD55F2">
        <w:rPr>
          <w:noProof/>
        </w:rPr>
        <w:t xml:space="preserve"> it is important to describe</w:t>
      </w:r>
      <w:r>
        <w:rPr>
          <w:noProof/>
        </w:rPr>
        <w:t xml:space="preserve"> </w:t>
      </w:r>
      <w:r w:rsidR="00BD55F2">
        <w:rPr>
          <w:noProof/>
        </w:rPr>
        <w:t>morphological</w:t>
      </w:r>
      <w:r w:rsidR="00394E0C">
        <w:rPr>
          <w:noProof/>
        </w:rPr>
        <w:t xml:space="preserve"> </w:t>
      </w:r>
      <w:r>
        <w:rPr>
          <w:noProof/>
        </w:rPr>
        <w:t xml:space="preserve">differences related to the species used in this study.  Chimpanzees and bonobos have more substantial canines when compared to humans.  Aside from this one marked difference, the </w:t>
      </w:r>
      <w:r w:rsidR="00BD55F2">
        <w:rPr>
          <w:noProof/>
        </w:rPr>
        <w:t xml:space="preserve">morphology of the </w:t>
      </w:r>
      <w:r>
        <w:rPr>
          <w:noProof/>
        </w:rPr>
        <w:t>dentition is largely similar apart from some minor variation in cusp patterns</w:t>
      </w:r>
      <w:r w:rsidR="00BD55F2">
        <w:rPr>
          <w:noProof/>
        </w:rPr>
        <w:t xml:space="preserve"> and some differences in enamel thickness</w:t>
      </w:r>
      <w:r>
        <w:rPr>
          <w:noProof/>
        </w:rPr>
        <w:t xml:space="preserve">.  This likely relates both to recent ancestry and all three species retaining an relatively omnivorous dietary pattern.  Chimpanzee and bonobo dentition is also much larger than that of humans as a proportion of body size </w:t>
      </w:r>
      <w:r w:rsidR="00394E0C">
        <w:rPr>
          <w:noProof/>
        </w:rPr>
        <w:t xml:space="preserve">and </w:t>
      </w:r>
      <w:r>
        <w:rPr>
          <w:noProof/>
        </w:rPr>
        <w:t xml:space="preserve">facial dimensions, resulting in significant prognathism.  Human dental morphology is atypical of a primate species with regards to dimensions and level of non-metric and morphological variation.  </w:t>
      </w:r>
      <w:r w:rsidR="003C2170">
        <w:rPr>
          <w:noProof/>
        </w:rPr>
        <w:t>Size differences</w:t>
      </w:r>
      <w:r>
        <w:rPr>
          <w:noProof/>
        </w:rPr>
        <w:t xml:space="preserve"> may </w:t>
      </w:r>
      <w:r w:rsidR="004B2128">
        <w:rPr>
          <w:noProof/>
        </w:rPr>
        <w:t xml:space="preserve">be </w:t>
      </w:r>
      <w:r>
        <w:rPr>
          <w:noProof/>
        </w:rPr>
        <w:t xml:space="preserve">due to the effects of craniofacial reduction (Bermúdez De Castro and </w:t>
      </w:r>
      <w:r w:rsidRPr="00DF0C26">
        <w:rPr>
          <w:noProof/>
        </w:rPr>
        <w:t>Nicolas</w:t>
      </w:r>
      <w:r>
        <w:rPr>
          <w:noProof/>
        </w:rPr>
        <w:t xml:space="preserve"> 1995, Calcagno and Gibson 1988).</w:t>
      </w:r>
    </w:p>
    <w:p w:rsidR="006110DE" w:rsidRPr="00DA5557" w:rsidRDefault="009A7C67" w:rsidP="001E5E54">
      <w:pPr>
        <w:rPr>
          <w:b/>
          <w:i/>
          <w:noProof/>
        </w:rPr>
      </w:pPr>
      <w:r w:rsidRPr="00DA5557">
        <w:rPr>
          <w:b/>
          <w:i/>
          <w:noProof/>
        </w:rPr>
        <w:t>2.4</w:t>
      </w:r>
      <w:r w:rsidR="00394E0C" w:rsidRPr="00DA5557">
        <w:rPr>
          <w:b/>
          <w:i/>
          <w:noProof/>
        </w:rPr>
        <w:t>.1.c</w:t>
      </w:r>
      <w:r w:rsidR="00394E0C" w:rsidRPr="00DA5557">
        <w:rPr>
          <w:b/>
          <w:i/>
          <w:noProof/>
        </w:rPr>
        <w:tab/>
      </w:r>
      <w:r w:rsidR="006110DE" w:rsidRPr="00DA5557">
        <w:rPr>
          <w:b/>
          <w:i/>
          <w:noProof/>
        </w:rPr>
        <w:t>Emergence</w:t>
      </w:r>
    </w:p>
    <w:p w:rsidR="006110DE" w:rsidRDefault="006110DE" w:rsidP="001E5E54">
      <w:pPr>
        <w:rPr>
          <w:noProof/>
          <w:color w:val="000000"/>
        </w:rPr>
      </w:pPr>
      <w:r>
        <w:rPr>
          <w:noProof/>
        </w:rPr>
        <w:t xml:space="preserve">A general sequence of emergence for primates was reported by Schultz (1935) and was determined using a number of primate genera including </w:t>
      </w:r>
      <w:r w:rsidRPr="00004B40">
        <w:rPr>
          <w:i/>
          <w:noProof/>
        </w:rPr>
        <w:t>Cebus, Ateles, Papio, Cercopithecus, Pongo, Hylobates, Pan</w:t>
      </w:r>
      <w:r>
        <w:rPr>
          <w:noProof/>
        </w:rPr>
        <w:t xml:space="preserve"> and </w:t>
      </w:r>
      <w:r w:rsidRPr="00004B40">
        <w:rPr>
          <w:i/>
          <w:noProof/>
        </w:rPr>
        <w:t>Gorilla</w:t>
      </w:r>
      <w:r>
        <w:rPr>
          <w:noProof/>
        </w:rPr>
        <w:t xml:space="preserve">, using dry-bone observation.  This sequence, from earliest to latest, followed the pattern of second </w:t>
      </w:r>
      <w:r w:rsidRPr="00BF2152">
        <w:rPr>
          <w:noProof/>
          <w:color w:val="000000"/>
        </w:rPr>
        <w:t>d</w:t>
      </w:r>
      <w:r>
        <w:rPr>
          <w:noProof/>
          <w:color w:val="000000"/>
        </w:rPr>
        <w:t xml:space="preserve">ecidous </w:t>
      </w:r>
      <w:r w:rsidRPr="00BF2152">
        <w:rPr>
          <w:noProof/>
          <w:color w:val="000000"/>
        </w:rPr>
        <w:t>m</w:t>
      </w:r>
      <w:r>
        <w:rPr>
          <w:noProof/>
          <w:color w:val="000000"/>
        </w:rPr>
        <w:t>olar, first molar, central incisor, lateral incisor, second molar, premolar</w:t>
      </w:r>
      <w:r w:rsidR="00990C75">
        <w:rPr>
          <w:noProof/>
          <w:color w:val="000000"/>
        </w:rPr>
        <w:t>s</w:t>
      </w:r>
      <w:r>
        <w:rPr>
          <w:noProof/>
          <w:color w:val="000000"/>
        </w:rPr>
        <w:t>, canine</w:t>
      </w:r>
      <w:r w:rsidR="00990C75">
        <w:rPr>
          <w:noProof/>
          <w:color w:val="000000"/>
        </w:rPr>
        <w:t>, and lastly, third molar</w:t>
      </w:r>
      <w:r>
        <w:rPr>
          <w:noProof/>
          <w:color w:val="000000"/>
        </w:rPr>
        <w:t>.  This pattern became and has generally remained accepted as a general sequence of primate dental development with further studies refining this using larger sample sizes.  General sequences are to be expected among groups of related species but differences appear when observing individuals species in further detail with regards to such variables as crown and root completion times and scheduling relative to other ontogentic events.  There are few species where this level of detail</w:t>
      </w:r>
      <w:r w:rsidR="00394E0C">
        <w:rPr>
          <w:noProof/>
          <w:color w:val="000000"/>
        </w:rPr>
        <w:t xml:space="preserve"> is available</w:t>
      </w:r>
      <w:r>
        <w:rPr>
          <w:noProof/>
          <w:color w:val="000000"/>
        </w:rPr>
        <w:t>.  It should be noted that humans diverge from this pattern in unusual ways</w:t>
      </w:r>
      <w:r w:rsidR="00394E0C">
        <w:rPr>
          <w:noProof/>
          <w:color w:val="000000"/>
        </w:rPr>
        <w:t xml:space="preserve">, a fact that </w:t>
      </w:r>
      <w:r w:rsidR="00D95CAC">
        <w:rPr>
          <w:noProof/>
          <w:color w:val="000000"/>
        </w:rPr>
        <w:t>is reviewed in section 2.4</w:t>
      </w:r>
      <w:r>
        <w:rPr>
          <w:noProof/>
          <w:color w:val="000000"/>
        </w:rPr>
        <w:t>.2.</w:t>
      </w:r>
    </w:p>
    <w:p w:rsidR="006110DE" w:rsidRPr="00DA5557" w:rsidRDefault="009A7C67" w:rsidP="001E5E54">
      <w:pPr>
        <w:rPr>
          <w:b/>
          <w:i/>
          <w:noProof/>
        </w:rPr>
      </w:pPr>
      <w:r w:rsidRPr="00DA5557">
        <w:rPr>
          <w:b/>
          <w:i/>
          <w:noProof/>
        </w:rPr>
        <w:t>2.4</w:t>
      </w:r>
      <w:r w:rsidR="00D53896" w:rsidRPr="00DA5557">
        <w:rPr>
          <w:b/>
          <w:i/>
          <w:noProof/>
        </w:rPr>
        <w:t>.1.d</w:t>
      </w:r>
      <w:r w:rsidR="00D53896" w:rsidRPr="00DA5557">
        <w:rPr>
          <w:b/>
          <w:i/>
          <w:noProof/>
        </w:rPr>
        <w:tab/>
      </w:r>
      <w:r w:rsidR="001E5E54" w:rsidRPr="00DA5557">
        <w:rPr>
          <w:b/>
          <w:i/>
          <w:noProof/>
        </w:rPr>
        <w:t>Radiographic and other studies</w:t>
      </w:r>
    </w:p>
    <w:p w:rsidR="006110DE" w:rsidRDefault="006110DE" w:rsidP="001E5E54">
      <w:pPr>
        <w:rPr>
          <w:noProof/>
        </w:rPr>
      </w:pPr>
      <w:r>
        <w:rPr>
          <w:noProof/>
        </w:rPr>
        <w:t>More detailed study of particular primate species has been done for organgutans (e.g.</w:t>
      </w:r>
      <w:r w:rsidR="00B6096B">
        <w:rPr>
          <w:noProof/>
        </w:rPr>
        <w:t>,</w:t>
      </w:r>
      <w:r>
        <w:rPr>
          <w:noProof/>
        </w:rPr>
        <w:t xml:space="preserve"> Beynon </w:t>
      </w:r>
      <w:r>
        <w:rPr>
          <w:i/>
          <w:noProof/>
        </w:rPr>
        <w:t xml:space="preserve">et </w:t>
      </w:r>
      <w:r w:rsidRPr="00A632C1">
        <w:rPr>
          <w:i/>
          <w:noProof/>
        </w:rPr>
        <w:t>al</w:t>
      </w:r>
      <w:r>
        <w:rPr>
          <w:noProof/>
        </w:rPr>
        <w:t xml:space="preserve">. 1991, </w:t>
      </w:r>
      <w:r w:rsidRPr="002B6997">
        <w:rPr>
          <w:noProof/>
        </w:rPr>
        <w:t>Dean</w:t>
      </w:r>
      <w:r>
        <w:rPr>
          <w:noProof/>
        </w:rPr>
        <w:t xml:space="preserve"> and Wood 1981), gorillas (e.g.</w:t>
      </w:r>
      <w:r w:rsidR="00B6096B">
        <w:rPr>
          <w:noProof/>
        </w:rPr>
        <w:t>,</w:t>
      </w:r>
      <w:r>
        <w:rPr>
          <w:noProof/>
        </w:rPr>
        <w:t xml:space="preserve"> Beynon </w:t>
      </w:r>
      <w:r>
        <w:rPr>
          <w:i/>
          <w:noProof/>
        </w:rPr>
        <w:t xml:space="preserve">et </w:t>
      </w:r>
      <w:r w:rsidRPr="002B6997">
        <w:rPr>
          <w:i/>
          <w:noProof/>
        </w:rPr>
        <w:t>al</w:t>
      </w:r>
      <w:r>
        <w:rPr>
          <w:noProof/>
        </w:rPr>
        <w:t>. 1991</w:t>
      </w:r>
      <w:r w:rsidRPr="00B44BE4">
        <w:rPr>
          <w:noProof/>
        </w:rPr>
        <w:t>, Kelley and  Schwartz  2010,</w:t>
      </w:r>
      <w:r>
        <w:rPr>
          <w:b/>
          <w:noProof/>
        </w:rPr>
        <w:t xml:space="preserve"> </w:t>
      </w:r>
      <w:r w:rsidRPr="002B6997">
        <w:rPr>
          <w:noProof/>
        </w:rPr>
        <w:t>Simpson</w:t>
      </w:r>
      <w:r>
        <w:rPr>
          <w:noProof/>
        </w:rPr>
        <w:t xml:space="preserve"> </w:t>
      </w:r>
      <w:r>
        <w:rPr>
          <w:i/>
          <w:noProof/>
        </w:rPr>
        <w:t>et al</w:t>
      </w:r>
      <w:r>
        <w:rPr>
          <w:noProof/>
        </w:rPr>
        <w:t>. 1992), chimpanzees (e.g.</w:t>
      </w:r>
      <w:r w:rsidR="00B6096B">
        <w:rPr>
          <w:noProof/>
        </w:rPr>
        <w:t>,</w:t>
      </w:r>
      <w:r>
        <w:rPr>
          <w:noProof/>
        </w:rPr>
        <w:t xml:space="preserve"> Kuykendall </w:t>
      </w:r>
      <w:r>
        <w:rPr>
          <w:i/>
          <w:noProof/>
        </w:rPr>
        <w:t>et al</w:t>
      </w:r>
      <w:r>
        <w:rPr>
          <w:noProof/>
        </w:rPr>
        <w:t xml:space="preserve">. 1992, Kuykendall and Conroy 1996, </w:t>
      </w:r>
      <w:r w:rsidRPr="00A37FC7">
        <w:rPr>
          <w:noProof/>
        </w:rPr>
        <w:t>Nissen</w:t>
      </w:r>
      <w:r>
        <w:rPr>
          <w:noProof/>
        </w:rPr>
        <w:t xml:space="preserve"> and Riesen 1964, Zihlman </w:t>
      </w:r>
      <w:r>
        <w:rPr>
          <w:i/>
          <w:noProof/>
        </w:rPr>
        <w:t>et al</w:t>
      </w:r>
      <w:r>
        <w:rPr>
          <w:noProof/>
        </w:rPr>
        <w:t>. 2004),  macaques (e.g.</w:t>
      </w:r>
      <w:r w:rsidR="00B6096B">
        <w:rPr>
          <w:noProof/>
        </w:rPr>
        <w:t>,</w:t>
      </w:r>
      <w:r>
        <w:rPr>
          <w:noProof/>
        </w:rPr>
        <w:t xml:space="preserve"> Nass 1977), and baboons (e.g.</w:t>
      </w:r>
      <w:r w:rsidR="00B6096B">
        <w:rPr>
          <w:noProof/>
        </w:rPr>
        <w:t>,</w:t>
      </w:r>
      <w:r>
        <w:rPr>
          <w:noProof/>
        </w:rPr>
        <w:t xml:space="preserve"> Dirks </w:t>
      </w:r>
      <w:r>
        <w:rPr>
          <w:i/>
          <w:noProof/>
        </w:rPr>
        <w:t xml:space="preserve">et </w:t>
      </w:r>
      <w:r w:rsidRPr="009250A4">
        <w:rPr>
          <w:i/>
          <w:noProof/>
        </w:rPr>
        <w:t>al</w:t>
      </w:r>
      <w:r>
        <w:rPr>
          <w:noProof/>
        </w:rPr>
        <w:t xml:space="preserve">. 2002, </w:t>
      </w:r>
      <w:r w:rsidRPr="009250A4">
        <w:rPr>
          <w:noProof/>
        </w:rPr>
        <w:lastRenderedPageBreak/>
        <w:t>Phillips</w:t>
      </w:r>
      <w:r>
        <w:rPr>
          <w:noProof/>
        </w:rPr>
        <w:t>-Conroy and Jolly 1988).  These include radiographic and histological studies with some studies looking at known-age samples.  Humans have been intensively studied with regards to emergence and mineralization patterning as well as chronological scheduling.</w:t>
      </w:r>
    </w:p>
    <w:p w:rsidR="006110DE" w:rsidRPr="003D47BE" w:rsidRDefault="006110DE" w:rsidP="00D263E8">
      <w:pPr>
        <w:pStyle w:val="Heading3"/>
      </w:pPr>
      <w:bookmarkStart w:id="62" w:name="_Toc373477732"/>
      <w:bookmarkStart w:id="63" w:name="_Toc373480730"/>
      <w:r>
        <w:t>Dental development in humans</w:t>
      </w:r>
      <w:bookmarkEnd w:id="62"/>
      <w:bookmarkEnd w:id="63"/>
    </w:p>
    <w:p w:rsidR="006110DE" w:rsidRDefault="006110DE" w:rsidP="001E5E54">
      <w:pPr>
        <w:rPr>
          <w:noProof/>
        </w:rPr>
      </w:pPr>
      <w:r>
        <w:rPr>
          <w:noProof/>
        </w:rPr>
        <w:t>In the following sections (2.</w:t>
      </w:r>
      <w:r w:rsidR="00660B92">
        <w:rPr>
          <w:noProof/>
        </w:rPr>
        <w:t>4</w:t>
      </w:r>
      <w:r>
        <w:rPr>
          <w:noProof/>
        </w:rPr>
        <w:t>.2, 2.</w:t>
      </w:r>
      <w:r w:rsidR="00660B92">
        <w:rPr>
          <w:noProof/>
        </w:rPr>
        <w:t>4</w:t>
      </w:r>
      <w:r>
        <w:rPr>
          <w:noProof/>
        </w:rPr>
        <w:t>.3 and 2.</w:t>
      </w:r>
      <w:r w:rsidR="00660B92">
        <w:rPr>
          <w:noProof/>
        </w:rPr>
        <w:t>4</w:t>
      </w:r>
      <w:r>
        <w:rPr>
          <w:noProof/>
        </w:rPr>
        <w:t xml:space="preserve">.4) chimpanzee, bonobo, and human dental development </w:t>
      </w:r>
      <w:r w:rsidR="00D53896">
        <w:rPr>
          <w:noProof/>
        </w:rPr>
        <w:t xml:space="preserve">is considered </w:t>
      </w:r>
      <w:r>
        <w:rPr>
          <w:noProof/>
        </w:rPr>
        <w:t xml:space="preserve">in greater detail.  Provided is an overview of what is known regarding emergence, mineralization and chronological scheduling.  </w:t>
      </w:r>
      <w:r w:rsidR="00E7662B">
        <w:rPr>
          <w:noProof/>
        </w:rPr>
        <w:t>S</w:t>
      </w:r>
      <w:r>
        <w:rPr>
          <w:noProof/>
        </w:rPr>
        <w:t>everal variables known to affect dental development in these species</w:t>
      </w:r>
      <w:r w:rsidR="00E7662B">
        <w:rPr>
          <w:noProof/>
        </w:rPr>
        <w:t xml:space="preserve"> are also introduced</w:t>
      </w:r>
      <w:r>
        <w:rPr>
          <w:noProof/>
        </w:rPr>
        <w:t>.  Sex differences and population differences have been examined</w:t>
      </w:r>
      <w:r w:rsidR="00E7662B">
        <w:rPr>
          <w:noProof/>
        </w:rPr>
        <w:t xml:space="preserve">, as well as </w:t>
      </w:r>
      <w:r>
        <w:rPr>
          <w:noProof/>
        </w:rPr>
        <w:t xml:space="preserve">wild versus captive, or in the case of humans, nutritionally stressed versus healthy </w:t>
      </w:r>
      <w:r w:rsidR="00337684">
        <w:rPr>
          <w:noProof/>
        </w:rPr>
        <w:t xml:space="preserve">populations </w:t>
      </w:r>
      <w:r>
        <w:rPr>
          <w:noProof/>
        </w:rPr>
        <w:t xml:space="preserve">have been considered and </w:t>
      </w:r>
      <w:r w:rsidR="007B7C9B">
        <w:rPr>
          <w:noProof/>
        </w:rPr>
        <w:t xml:space="preserve">these variables </w:t>
      </w:r>
      <w:r w:rsidR="00D36477">
        <w:rPr>
          <w:noProof/>
        </w:rPr>
        <w:t>are known to have effects.</w:t>
      </w:r>
    </w:p>
    <w:p w:rsidR="006110DE" w:rsidRPr="00EF6828" w:rsidRDefault="00660B92" w:rsidP="001E5E54">
      <w:pPr>
        <w:rPr>
          <w:b/>
          <w:i/>
          <w:noProof/>
        </w:rPr>
      </w:pPr>
      <w:r w:rsidRPr="00EF6828">
        <w:rPr>
          <w:b/>
          <w:i/>
          <w:noProof/>
        </w:rPr>
        <w:t>2.4</w:t>
      </w:r>
      <w:r w:rsidR="00E7662B" w:rsidRPr="00EF6828">
        <w:rPr>
          <w:b/>
          <w:i/>
          <w:noProof/>
        </w:rPr>
        <w:t>.2.a</w:t>
      </w:r>
      <w:r w:rsidR="00E7662B" w:rsidRPr="00EF6828">
        <w:rPr>
          <w:b/>
          <w:i/>
          <w:noProof/>
        </w:rPr>
        <w:tab/>
      </w:r>
      <w:r w:rsidR="006110DE" w:rsidRPr="00EF6828">
        <w:rPr>
          <w:b/>
          <w:i/>
          <w:noProof/>
        </w:rPr>
        <w:t>Human dental development</w:t>
      </w:r>
    </w:p>
    <w:p w:rsidR="006110DE" w:rsidRDefault="006110DE" w:rsidP="001E5E54">
      <w:pPr>
        <w:rPr>
          <w:noProof/>
        </w:rPr>
      </w:pPr>
      <w:r>
        <w:rPr>
          <w:noProof/>
        </w:rPr>
        <w:t>Dental development in humans has been extensively analysed in both the clinical and anthropological literature.  Patterns for mineralization, emergence</w:t>
      </w:r>
      <w:r w:rsidR="00D660AD">
        <w:rPr>
          <w:noProof/>
        </w:rPr>
        <w:t>,</w:t>
      </w:r>
      <w:r>
        <w:rPr>
          <w:noProof/>
        </w:rPr>
        <w:t xml:space="preserve"> and chronological scheduling of permanent teeth are well known.  Histological analysis conside</w:t>
      </w:r>
      <w:r w:rsidR="00A9091A">
        <w:rPr>
          <w:noProof/>
        </w:rPr>
        <w:t>r</w:t>
      </w:r>
      <w:r>
        <w:rPr>
          <w:noProof/>
        </w:rPr>
        <w:t>ing perikymata has also been pursued (</w:t>
      </w:r>
      <w:r w:rsidRPr="00867B21">
        <w:rPr>
          <w:noProof/>
        </w:rPr>
        <w:t>FitzGerald</w:t>
      </w:r>
      <w:r>
        <w:rPr>
          <w:noProof/>
        </w:rPr>
        <w:t xml:space="preserve"> 1998, Huda and Bowman 1995).  Large sample statistics were compiled in the mid-twentieth century by researchers such as Moorrees </w:t>
      </w:r>
      <w:r>
        <w:rPr>
          <w:i/>
          <w:noProof/>
        </w:rPr>
        <w:t>et al</w:t>
      </w:r>
      <w:r w:rsidR="00A9091A">
        <w:rPr>
          <w:i/>
          <w:noProof/>
        </w:rPr>
        <w:t>.</w:t>
      </w:r>
      <w:r w:rsidR="00D660AD">
        <w:rPr>
          <w:i/>
          <w:noProof/>
        </w:rPr>
        <w:t xml:space="preserve"> </w:t>
      </w:r>
      <w:r>
        <w:rPr>
          <w:noProof/>
        </w:rPr>
        <w:t xml:space="preserve">(1963) and Simson and Kunos (1998) among others.  This wealth of information is compiled in reference texts such as Scheuer and Black (2000) and Schaefer </w:t>
      </w:r>
      <w:r>
        <w:rPr>
          <w:i/>
          <w:noProof/>
        </w:rPr>
        <w:t>et al</w:t>
      </w:r>
      <w:r w:rsidR="00A9091A">
        <w:rPr>
          <w:i/>
          <w:noProof/>
        </w:rPr>
        <w:t>.</w:t>
      </w:r>
      <w:r>
        <w:rPr>
          <w:noProof/>
        </w:rPr>
        <w:t xml:space="preserve"> (2009) as well as countless anthropological textbooks such as White (2000).  Methods evaluating the morphology and dimensions of teeth either by radiographic of dry-bone observation include Demirjian (1973), Liversidge </w:t>
      </w:r>
      <w:r>
        <w:rPr>
          <w:i/>
          <w:noProof/>
        </w:rPr>
        <w:t>et al</w:t>
      </w:r>
      <w:r w:rsidR="00A9091A">
        <w:rPr>
          <w:i/>
          <w:noProof/>
        </w:rPr>
        <w:t>.</w:t>
      </w:r>
      <w:r>
        <w:rPr>
          <w:noProof/>
        </w:rPr>
        <w:t xml:space="preserve"> (1998), and Smith </w:t>
      </w:r>
      <w:r>
        <w:rPr>
          <w:i/>
          <w:noProof/>
        </w:rPr>
        <w:t>et al</w:t>
      </w:r>
      <w:r w:rsidR="00A9091A">
        <w:rPr>
          <w:i/>
          <w:noProof/>
        </w:rPr>
        <w:t>.</w:t>
      </w:r>
      <w:r>
        <w:rPr>
          <w:i/>
          <w:noProof/>
        </w:rPr>
        <w:t xml:space="preserve"> </w:t>
      </w:r>
      <w:r>
        <w:rPr>
          <w:noProof/>
        </w:rPr>
        <w:t>(1994).</w:t>
      </w:r>
    </w:p>
    <w:p w:rsidR="006110DE" w:rsidRPr="00EF6828" w:rsidRDefault="00660B92" w:rsidP="001E5E54">
      <w:pPr>
        <w:rPr>
          <w:b/>
          <w:i/>
        </w:rPr>
      </w:pPr>
      <w:r w:rsidRPr="00EF6828">
        <w:rPr>
          <w:b/>
          <w:i/>
        </w:rPr>
        <w:t>2.4</w:t>
      </w:r>
      <w:r w:rsidR="00A9091A" w:rsidRPr="00EF6828">
        <w:rPr>
          <w:b/>
          <w:i/>
        </w:rPr>
        <w:t>.2</w:t>
      </w:r>
      <w:proofErr w:type="gramStart"/>
      <w:r w:rsidR="00A9091A" w:rsidRPr="00EF6828">
        <w:rPr>
          <w:b/>
          <w:i/>
        </w:rPr>
        <w:t>.b</w:t>
      </w:r>
      <w:proofErr w:type="gramEnd"/>
      <w:r w:rsidR="00A9091A" w:rsidRPr="00EF6828">
        <w:rPr>
          <w:b/>
          <w:i/>
        </w:rPr>
        <w:tab/>
      </w:r>
      <w:r w:rsidR="00D25AED">
        <w:rPr>
          <w:b/>
          <w:i/>
        </w:rPr>
        <w:t>D</w:t>
      </w:r>
      <w:r w:rsidR="001E5E54" w:rsidRPr="00EF6828">
        <w:rPr>
          <w:b/>
          <w:i/>
        </w:rPr>
        <w:t xml:space="preserve">ifferences </w:t>
      </w:r>
      <w:r w:rsidR="00D25AED">
        <w:rPr>
          <w:b/>
          <w:i/>
        </w:rPr>
        <w:t xml:space="preserve">by sex </w:t>
      </w:r>
      <w:r w:rsidR="001E5E54" w:rsidRPr="00EF6828">
        <w:rPr>
          <w:b/>
          <w:i/>
        </w:rPr>
        <w:t>in humans</w:t>
      </w:r>
    </w:p>
    <w:p w:rsidR="006110DE" w:rsidRPr="00D62835" w:rsidRDefault="004902E6" w:rsidP="001E5E54">
      <w:r>
        <w:t>In humans there are well-</w:t>
      </w:r>
      <w:r w:rsidR="006110DE" w:rsidRPr="00D62835">
        <w:t xml:space="preserve">documented differences </w:t>
      </w:r>
      <w:r w:rsidR="00404EC7">
        <w:t xml:space="preserve">in developmental timing </w:t>
      </w:r>
      <w:r w:rsidR="006110DE" w:rsidRPr="00D62835">
        <w:t xml:space="preserve">between males and females (Demirjian and Leveseque 1980, Lewis and Garn 1960, Liversidge 2003, Scheuer and Black 2000).  Males are consistently delayed relative to females.  These delays correspond to equivalent deviations in skeletal development and attainment of maturity (Scheuer and Black 2000).  Differences </w:t>
      </w:r>
      <w:r w:rsidR="008572D0">
        <w:t xml:space="preserve">between the sexes </w:t>
      </w:r>
      <w:r w:rsidR="006110DE" w:rsidRPr="00D62835">
        <w:t xml:space="preserve">relate </w:t>
      </w:r>
      <w:r w:rsidR="00D217B4">
        <w:t xml:space="preserve">only </w:t>
      </w:r>
      <w:r w:rsidR="006110DE" w:rsidRPr="00D62835">
        <w:t>to timing of developmen</w:t>
      </w:r>
      <w:r w:rsidR="00FE1EDE">
        <w:t xml:space="preserve">t as opposed to pattern.  Such differences are consistent for </w:t>
      </w:r>
      <w:r w:rsidR="006110DE" w:rsidRPr="00D62835">
        <w:t xml:space="preserve">emergence and root completion, </w:t>
      </w:r>
      <w:r w:rsidR="004F40E9">
        <w:t>for which there is ample data f</w:t>
      </w:r>
      <w:r w:rsidR="006110DE" w:rsidRPr="00D62835">
        <w:t>r</w:t>
      </w:r>
      <w:r w:rsidR="004F40E9">
        <w:t>om</w:t>
      </w:r>
      <w:r w:rsidR="006110DE" w:rsidRPr="00D62835">
        <w:t xml:space="preserve"> both categories.</w:t>
      </w:r>
    </w:p>
    <w:p w:rsidR="00E94CEE" w:rsidRPr="0089248B" w:rsidRDefault="00E94CEE">
      <w:pPr>
        <w:spacing w:before="0" w:after="200" w:line="276" w:lineRule="auto"/>
        <w:jc w:val="left"/>
      </w:pPr>
      <w:r>
        <w:rPr>
          <w:b/>
          <w:i/>
        </w:rPr>
        <w:br w:type="page"/>
      </w:r>
    </w:p>
    <w:p w:rsidR="006110DE" w:rsidRPr="00EF6828" w:rsidRDefault="00660B92" w:rsidP="001E5E54">
      <w:pPr>
        <w:rPr>
          <w:b/>
          <w:i/>
        </w:rPr>
      </w:pPr>
      <w:r w:rsidRPr="00EF6828">
        <w:rPr>
          <w:b/>
          <w:i/>
        </w:rPr>
        <w:lastRenderedPageBreak/>
        <w:t>2.4</w:t>
      </w:r>
      <w:r w:rsidR="00A9091A" w:rsidRPr="00EF6828">
        <w:rPr>
          <w:b/>
          <w:i/>
        </w:rPr>
        <w:t>.2</w:t>
      </w:r>
      <w:proofErr w:type="gramStart"/>
      <w:r w:rsidR="00A9091A" w:rsidRPr="00EF6828">
        <w:rPr>
          <w:b/>
          <w:i/>
        </w:rPr>
        <w:t>.c</w:t>
      </w:r>
      <w:proofErr w:type="gramEnd"/>
      <w:r w:rsidR="00A9091A" w:rsidRPr="00EF6828">
        <w:rPr>
          <w:b/>
          <w:i/>
        </w:rPr>
        <w:tab/>
      </w:r>
      <w:r w:rsidR="00266B5B" w:rsidRPr="00EF6828">
        <w:rPr>
          <w:b/>
          <w:i/>
        </w:rPr>
        <w:t>Human intra-species differences</w:t>
      </w:r>
    </w:p>
    <w:p w:rsidR="00095E97" w:rsidRDefault="006110DE" w:rsidP="001E5E54">
      <w:pPr>
        <w:rPr>
          <w:noProof/>
        </w:rPr>
      </w:pPr>
      <w:r w:rsidRPr="00C552BA">
        <w:t xml:space="preserve">Variation </w:t>
      </w:r>
      <w:r w:rsidR="00A42C96">
        <w:t xml:space="preserve">of </w:t>
      </w:r>
      <w:r w:rsidRPr="00C552BA">
        <w:t>both emergence and root completion in both sexes has been e</w:t>
      </w:r>
      <w:r>
        <w:t xml:space="preserve">xplored in multiple populations </w:t>
      </w:r>
      <w:r>
        <w:rPr>
          <w:noProof/>
        </w:rPr>
        <w:t>(e.g.</w:t>
      </w:r>
      <w:r w:rsidR="00B6096B">
        <w:rPr>
          <w:noProof/>
        </w:rPr>
        <w:t>,</w:t>
      </w:r>
      <w:r w:rsidRPr="00C552BA">
        <w:t xml:space="preserve"> </w:t>
      </w:r>
      <w:r w:rsidRPr="008A5B91">
        <w:t>Simpson and Kunos 1998</w:t>
      </w:r>
      <w:r>
        <w:t xml:space="preserve">, </w:t>
      </w:r>
      <w:r w:rsidRPr="008A5B91">
        <w:t>Liversidge and Speechly 2001</w:t>
      </w:r>
      <w:r>
        <w:t xml:space="preserve">, </w:t>
      </w:r>
      <w:r w:rsidRPr="00C552BA">
        <w:rPr>
          <w:noProof/>
        </w:rPr>
        <w:t xml:space="preserve">Monge </w:t>
      </w:r>
      <w:r w:rsidRPr="00C552BA">
        <w:rPr>
          <w:i/>
          <w:noProof/>
        </w:rPr>
        <w:t>et al</w:t>
      </w:r>
      <w:r w:rsidR="00313DFF">
        <w:rPr>
          <w:i/>
          <w:noProof/>
        </w:rPr>
        <w:t>.</w:t>
      </w:r>
      <w:r w:rsidRPr="00C552BA">
        <w:rPr>
          <w:i/>
          <w:noProof/>
        </w:rPr>
        <w:t xml:space="preserve"> </w:t>
      </w:r>
      <w:r w:rsidRPr="00C552BA">
        <w:rPr>
          <w:noProof/>
        </w:rPr>
        <w:t>2007</w:t>
      </w:r>
      <w:r>
        <w:rPr>
          <w:lang w:val="en-CA"/>
        </w:rPr>
        <w:t>)</w:t>
      </w:r>
      <w:r>
        <w:rPr>
          <w:noProof/>
        </w:rPr>
        <w:t>.  Significant differences in terms of timing have been found between different populations and slight variations in relative timing of sequences have been shown.  These differences are often not without dispute as there are clearly sources of error from both unforseen variables in the sample populations such as nutitional and environmental</w:t>
      </w:r>
      <w:r w:rsidR="00B6096B">
        <w:rPr>
          <w:noProof/>
        </w:rPr>
        <w:t xml:space="preserve"> stresses and problems with var</w:t>
      </w:r>
      <w:r>
        <w:rPr>
          <w:noProof/>
        </w:rPr>
        <w:t xml:space="preserve">iable application of methodology.  Comparisons of the application of certain methods such as the Demirjian method have been made </w:t>
      </w:r>
      <w:r w:rsidR="006E6D71">
        <w:rPr>
          <w:noProof/>
        </w:rPr>
        <w:t xml:space="preserve">using </w:t>
      </w:r>
      <w:r>
        <w:rPr>
          <w:noProof/>
        </w:rPr>
        <w:t>different populations (e.g.</w:t>
      </w:r>
      <w:r w:rsidR="00313DFF">
        <w:rPr>
          <w:noProof/>
        </w:rPr>
        <w:t>,</w:t>
      </w:r>
      <w:r>
        <w:rPr>
          <w:noProof/>
        </w:rPr>
        <w:t xml:space="preserve"> Koshy and Tandon 1998, Liversidge </w:t>
      </w:r>
      <w:r>
        <w:rPr>
          <w:i/>
          <w:noProof/>
        </w:rPr>
        <w:t>et al</w:t>
      </w:r>
      <w:r w:rsidR="00A30129">
        <w:rPr>
          <w:i/>
          <w:noProof/>
        </w:rPr>
        <w:t>.</w:t>
      </w:r>
      <w:r>
        <w:rPr>
          <w:i/>
          <w:noProof/>
        </w:rPr>
        <w:t xml:space="preserve"> </w:t>
      </w:r>
      <w:r>
        <w:rPr>
          <w:noProof/>
        </w:rPr>
        <w:t xml:space="preserve">2006, </w:t>
      </w:r>
      <w:r w:rsidRPr="00C84F4E">
        <w:rPr>
          <w:lang w:val="en-CA"/>
        </w:rPr>
        <w:t>Nykänen</w:t>
      </w:r>
      <w:r>
        <w:rPr>
          <w:lang w:val="en-CA"/>
        </w:rPr>
        <w:t xml:space="preserve"> </w:t>
      </w:r>
      <w:r>
        <w:rPr>
          <w:i/>
          <w:lang w:val="en-CA"/>
        </w:rPr>
        <w:t xml:space="preserve">et al </w:t>
      </w:r>
      <w:r>
        <w:rPr>
          <w:lang w:val="en-CA"/>
        </w:rPr>
        <w:t>1998, Teivens and Mörnstad</w:t>
      </w:r>
      <w:r w:rsidRPr="00C84F4E">
        <w:rPr>
          <w:lang w:val="en-CA"/>
        </w:rPr>
        <w:t xml:space="preserve"> 2001b</w:t>
      </w:r>
      <w:r>
        <w:rPr>
          <w:lang w:val="en-CA"/>
        </w:rPr>
        <w:t xml:space="preserve">) as well as </w:t>
      </w:r>
      <w:r>
        <w:rPr>
          <w:noProof/>
        </w:rPr>
        <w:t>refinement and comparison to other methods (</w:t>
      </w:r>
      <w:r w:rsidRPr="00C84F4E">
        <w:rPr>
          <w:lang w:val="en-CA"/>
        </w:rPr>
        <w:t>C</w:t>
      </w:r>
      <w:r>
        <w:rPr>
          <w:lang w:val="en-CA"/>
        </w:rPr>
        <w:t>ha</w:t>
      </w:r>
      <w:r w:rsidR="008A7F76">
        <w:rPr>
          <w:lang w:val="en-CA"/>
        </w:rPr>
        <w:t>illet and Demirjian 2004, Teiven</w:t>
      </w:r>
      <w:r>
        <w:rPr>
          <w:lang w:val="en-CA"/>
        </w:rPr>
        <w:t>s and</w:t>
      </w:r>
      <w:r w:rsidRPr="00C84F4E">
        <w:rPr>
          <w:lang w:val="en-CA"/>
        </w:rPr>
        <w:t xml:space="preserve"> </w:t>
      </w:r>
      <w:r>
        <w:rPr>
          <w:lang w:val="en-CA"/>
        </w:rPr>
        <w:t>Mörnstad H. 2001a).</w:t>
      </w:r>
      <w:r>
        <w:rPr>
          <w:noProof/>
        </w:rPr>
        <w:t xml:space="preserve"> </w:t>
      </w:r>
      <w:r w:rsidR="005B4436">
        <w:rPr>
          <w:noProof/>
        </w:rPr>
        <w:t xml:space="preserve"> The true nature of population differences </w:t>
      </w:r>
      <w:r>
        <w:rPr>
          <w:noProof/>
        </w:rPr>
        <w:t>may be difficult to confidently articulate.  Liversidge and Speechly (2001) evaluated ethnically British children in comparison to ethnically non-British children in the UK and fou</w:t>
      </w:r>
      <w:r w:rsidR="00D36477">
        <w:rPr>
          <w:noProof/>
        </w:rPr>
        <w:t>nd no significant differences.</w:t>
      </w:r>
      <w:r w:rsidR="003F3FAF">
        <w:rPr>
          <w:noProof/>
        </w:rPr>
        <w:t xml:space="preserve">  Reid and Dean (2006) considered enamel </w:t>
      </w:r>
      <w:r w:rsidR="003C3D6C">
        <w:rPr>
          <w:noProof/>
        </w:rPr>
        <w:t>striae of r</w:t>
      </w:r>
      <w:r w:rsidR="003C3D6C" w:rsidRPr="003C3D6C">
        <w:rPr>
          <w:noProof/>
        </w:rPr>
        <w:t>etzius</w:t>
      </w:r>
      <w:r w:rsidR="003C3D6C">
        <w:rPr>
          <w:noProof/>
        </w:rPr>
        <w:t xml:space="preserve"> </w:t>
      </w:r>
      <w:r w:rsidR="003F3FAF">
        <w:rPr>
          <w:noProof/>
        </w:rPr>
        <w:t xml:space="preserve">in </w:t>
      </w:r>
      <w:r w:rsidR="006C4D22">
        <w:rPr>
          <w:noProof/>
        </w:rPr>
        <w:t>African and European populations finding that these populations largely overlapped.  They concluded that histological analysis of enamel mineralization showed less variation than radiographic methods.</w:t>
      </w:r>
    </w:p>
    <w:p w:rsidR="006110DE" w:rsidRDefault="006110DE" w:rsidP="001E5E54">
      <w:r>
        <w:rPr>
          <w:noProof/>
        </w:rPr>
        <w:t xml:space="preserve">For the purposes of this study </w:t>
      </w:r>
      <w:r w:rsidR="00313DFF">
        <w:rPr>
          <w:noProof/>
        </w:rPr>
        <w:t>it is</w:t>
      </w:r>
      <w:r>
        <w:rPr>
          <w:noProof/>
        </w:rPr>
        <w:t xml:space="preserve"> assume</w:t>
      </w:r>
      <w:r w:rsidR="00313DFF">
        <w:rPr>
          <w:noProof/>
        </w:rPr>
        <w:t>d</w:t>
      </w:r>
      <w:r>
        <w:rPr>
          <w:noProof/>
        </w:rPr>
        <w:t xml:space="preserve"> that the differences between populations is </w:t>
      </w:r>
      <w:r w:rsidR="00313DFF">
        <w:rPr>
          <w:noProof/>
        </w:rPr>
        <w:t>not significant</w:t>
      </w:r>
      <w:r>
        <w:rPr>
          <w:noProof/>
        </w:rPr>
        <w:t xml:space="preserve"> for the application of the Demirjian method and that there exists a standard human pattern.  Differences for each sex will be taken from those formulas used by Demirjian for comparison to chimpanzees and bonobos.</w:t>
      </w:r>
    </w:p>
    <w:p w:rsidR="006110DE" w:rsidRPr="003D47BE" w:rsidRDefault="006110DE" w:rsidP="00D263E8">
      <w:pPr>
        <w:pStyle w:val="Heading3"/>
      </w:pPr>
      <w:bookmarkStart w:id="64" w:name="_Toc373477733"/>
      <w:bookmarkStart w:id="65" w:name="_Toc373480731"/>
      <w:r>
        <w:t>Dental development in chimpanzees</w:t>
      </w:r>
      <w:bookmarkEnd w:id="64"/>
      <w:bookmarkEnd w:id="65"/>
    </w:p>
    <w:p w:rsidR="00DA5557" w:rsidRDefault="006110DE" w:rsidP="00AA08AB">
      <w:pPr>
        <w:rPr>
          <w:noProof/>
        </w:rPr>
      </w:pPr>
      <w:r>
        <w:rPr>
          <w:noProof/>
        </w:rPr>
        <w:t xml:space="preserve">Data exist for both wild and captive </w:t>
      </w:r>
      <w:r w:rsidR="00F63AA4">
        <w:rPr>
          <w:noProof/>
        </w:rPr>
        <w:t>chimpanzees</w:t>
      </w:r>
      <w:r>
        <w:rPr>
          <w:noProof/>
        </w:rPr>
        <w:t xml:space="preserve">.  Radiographic, </w:t>
      </w:r>
      <w:r w:rsidRPr="00620A5D">
        <w:rPr>
          <w:noProof/>
        </w:rPr>
        <w:t>dry-bone</w:t>
      </w:r>
      <w:r>
        <w:rPr>
          <w:noProof/>
        </w:rPr>
        <w:t>, and histological</w:t>
      </w:r>
      <w:r w:rsidRPr="00620A5D">
        <w:rPr>
          <w:noProof/>
        </w:rPr>
        <w:t xml:space="preserve"> studies have been pursued.  Dry-bone studies on emergence include </w:t>
      </w:r>
      <w:r>
        <w:rPr>
          <w:noProof/>
        </w:rPr>
        <w:t>Conroy and Mahoney (1991)</w:t>
      </w:r>
      <w:r w:rsidR="00472EDC">
        <w:rPr>
          <w:noProof/>
        </w:rPr>
        <w:t xml:space="preserve">, Kuykendall </w:t>
      </w:r>
      <w:r w:rsidR="00472EDC">
        <w:rPr>
          <w:i/>
          <w:noProof/>
        </w:rPr>
        <w:t>et al</w:t>
      </w:r>
      <w:r w:rsidR="00472EDC">
        <w:rPr>
          <w:noProof/>
        </w:rPr>
        <w:t>. (1992)</w:t>
      </w:r>
      <w:r>
        <w:rPr>
          <w:noProof/>
        </w:rPr>
        <w:t xml:space="preserve"> and Nissen and Riesen (1964) among others</w:t>
      </w:r>
      <w:r w:rsidRPr="00620A5D">
        <w:rPr>
          <w:noProof/>
        </w:rPr>
        <w:t>.</w:t>
      </w:r>
      <w:r>
        <w:rPr>
          <w:noProof/>
        </w:rPr>
        <w:t xml:space="preserve">  Emergence sequence patterns are established for both wild and captive populations (Smith </w:t>
      </w:r>
      <w:r>
        <w:rPr>
          <w:i/>
          <w:noProof/>
        </w:rPr>
        <w:t>et al</w:t>
      </w:r>
      <w:r w:rsidR="0026245E">
        <w:rPr>
          <w:i/>
          <w:noProof/>
        </w:rPr>
        <w:t>.</w:t>
      </w:r>
      <w:r>
        <w:rPr>
          <w:noProof/>
        </w:rPr>
        <w:t xml:space="preserve"> 2013) with considerations of differences between wild and captive emergence timings (Smith and Boesch 2011, Smith </w:t>
      </w:r>
      <w:r>
        <w:rPr>
          <w:i/>
          <w:noProof/>
        </w:rPr>
        <w:t>et al</w:t>
      </w:r>
      <w:r w:rsidR="0026245E">
        <w:rPr>
          <w:i/>
          <w:noProof/>
        </w:rPr>
        <w:t>.</w:t>
      </w:r>
      <w:r>
        <w:rPr>
          <w:i/>
          <w:noProof/>
        </w:rPr>
        <w:t xml:space="preserve"> </w:t>
      </w:r>
      <w:r>
        <w:rPr>
          <w:noProof/>
        </w:rPr>
        <w:t xml:space="preserve">2010).  Histological work on chimpanzee dentition has been done by Smith </w:t>
      </w:r>
      <w:r>
        <w:rPr>
          <w:i/>
          <w:noProof/>
        </w:rPr>
        <w:t>et al</w:t>
      </w:r>
      <w:r w:rsidR="00F175DD">
        <w:rPr>
          <w:i/>
          <w:noProof/>
        </w:rPr>
        <w:t>.</w:t>
      </w:r>
      <w:r>
        <w:rPr>
          <w:noProof/>
        </w:rPr>
        <w:t xml:space="preserve"> (2007).  </w:t>
      </w:r>
      <w:r w:rsidRPr="00620A5D">
        <w:rPr>
          <w:noProof/>
        </w:rPr>
        <w:t xml:space="preserve">Radiographic studies </w:t>
      </w:r>
      <w:r>
        <w:rPr>
          <w:noProof/>
        </w:rPr>
        <w:t>have improved the overall picture of dental development (</w:t>
      </w:r>
      <w:r w:rsidRPr="00CD74A2">
        <w:rPr>
          <w:noProof/>
        </w:rPr>
        <w:t xml:space="preserve">Anemone </w:t>
      </w:r>
      <w:r w:rsidRPr="00CD74A2">
        <w:rPr>
          <w:i/>
          <w:noProof/>
        </w:rPr>
        <w:t>et al</w:t>
      </w:r>
      <w:r w:rsidR="000510DD">
        <w:rPr>
          <w:i/>
          <w:noProof/>
        </w:rPr>
        <w:t>.</w:t>
      </w:r>
      <w:r w:rsidRPr="00CD74A2">
        <w:rPr>
          <w:noProof/>
        </w:rPr>
        <w:t xml:space="preserve"> 1991</w:t>
      </w:r>
      <w:r w:rsidR="00066F02">
        <w:rPr>
          <w:noProof/>
        </w:rPr>
        <w:t>, Dean and Wood 1981, Smith</w:t>
      </w:r>
      <w:r>
        <w:rPr>
          <w:i/>
          <w:noProof/>
        </w:rPr>
        <w:t xml:space="preserve"> et al</w:t>
      </w:r>
      <w:r w:rsidR="000510DD">
        <w:rPr>
          <w:i/>
          <w:noProof/>
        </w:rPr>
        <w:t>.</w:t>
      </w:r>
      <w:r>
        <w:rPr>
          <w:i/>
          <w:noProof/>
        </w:rPr>
        <w:t xml:space="preserve"> </w:t>
      </w:r>
      <w:r>
        <w:rPr>
          <w:noProof/>
        </w:rPr>
        <w:t xml:space="preserve">2010).  Studies using known-age individuals </w:t>
      </w:r>
      <w:r w:rsidRPr="00620A5D">
        <w:rPr>
          <w:noProof/>
        </w:rPr>
        <w:t>include Kuykendall (1996</w:t>
      </w:r>
      <w:r>
        <w:rPr>
          <w:noProof/>
        </w:rPr>
        <w:t>) and</w:t>
      </w:r>
      <w:r w:rsidRPr="00620A5D">
        <w:rPr>
          <w:noProof/>
        </w:rPr>
        <w:t xml:space="preserve"> Kuykendall and Conroy (1996).</w:t>
      </w:r>
      <w:r>
        <w:rPr>
          <w:noProof/>
        </w:rPr>
        <w:t xml:space="preserve">  These studies used the Demirjian method on captive populations and provide a chronological age estimation for individuals based on root development for both summary scores and individual tooth scores. </w:t>
      </w:r>
      <w:r w:rsidR="00055F60">
        <w:rPr>
          <w:noProof/>
        </w:rPr>
        <w:t xml:space="preserve"> </w:t>
      </w:r>
      <w:r>
        <w:rPr>
          <w:noProof/>
        </w:rPr>
        <w:t xml:space="preserve">Comparisons between histology and radiographic studies have suggested that </w:t>
      </w:r>
      <w:r>
        <w:rPr>
          <w:noProof/>
        </w:rPr>
        <w:lastRenderedPageBreak/>
        <w:t>radio</w:t>
      </w:r>
      <w:r w:rsidRPr="00656465">
        <w:rPr>
          <w:noProof/>
        </w:rPr>
        <w:t xml:space="preserve">graphic estimations are largely correct, although they tend to underestimate age slightly (Reid </w:t>
      </w:r>
      <w:r w:rsidRPr="00656465">
        <w:rPr>
          <w:i/>
          <w:noProof/>
        </w:rPr>
        <w:t>et al</w:t>
      </w:r>
      <w:r w:rsidR="001B5C41" w:rsidRPr="001B5C41">
        <w:rPr>
          <w:noProof/>
        </w:rPr>
        <w:t>.</w:t>
      </w:r>
      <w:r w:rsidR="00D36477">
        <w:rPr>
          <w:noProof/>
        </w:rPr>
        <w:t xml:space="preserve"> 1998).</w:t>
      </w:r>
      <w:r w:rsidR="00055F60">
        <w:rPr>
          <w:noProof/>
        </w:rPr>
        <w:t xml:space="preserve"> </w:t>
      </w:r>
      <w:r w:rsidR="00AA08AB">
        <w:rPr>
          <w:noProof/>
        </w:rPr>
        <w:t xml:space="preserve"> The sequence of complete root mineralization in chimpanzees has been found to be M1 I1 I2 P3 P4 M2 C M3 (Kuykendall 1996) and the sequence of emergence M1 I1 I2 M2 P3 P4 C M3 (Conroy and Mahoney 1991).</w:t>
      </w:r>
    </w:p>
    <w:p w:rsidR="006110DE" w:rsidRPr="00EF6828" w:rsidRDefault="00AA25F6" w:rsidP="009F5AEC">
      <w:pPr>
        <w:rPr>
          <w:b/>
          <w:i/>
          <w:noProof/>
        </w:rPr>
      </w:pPr>
      <w:r>
        <w:rPr>
          <w:b/>
          <w:i/>
          <w:noProof/>
        </w:rPr>
        <w:t>2.4</w:t>
      </w:r>
      <w:r w:rsidR="00313DFF" w:rsidRPr="00EF6828">
        <w:rPr>
          <w:b/>
          <w:i/>
          <w:noProof/>
        </w:rPr>
        <w:t>.3.a</w:t>
      </w:r>
      <w:r w:rsidR="00313DFF" w:rsidRPr="00EF6828">
        <w:rPr>
          <w:b/>
          <w:i/>
          <w:noProof/>
        </w:rPr>
        <w:tab/>
      </w:r>
      <w:r w:rsidR="006110DE" w:rsidRPr="00EF6828">
        <w:rPr>
          <w:b/>
          <w:i/>
          <w:noProof/>
        </w:rPr>
        <w:t>Captive vs. wild</w:t>
      </w:r>
    </w:p>
    <w:p w:rsidR="006110DE" w:rsidRDefault="006110DE" w:rsidP="009F5AEC">
      <w:pPr>
        <w:rPr>
          <w:noProof/>
        </w:rPr>
      </w:pPr>
      <w:r>
        <w:rPr>
          <w:noProof/>
        </w:rPr>
        <w:t xml:space="preserve">It has been suggested that there exists a difference between wild and captive individuals with regards to mineralization as well as emergence.  Zihlman (2004) compared Kuykendall’s (1996) assessment of captive ages and suggested that there are differences in development in terms of chronological age of maturation between wild and captive specimens.  Smith </w:t>
      </w:r>
      <w:r>
        <w:rPr>
          <w:i/>
          <w:noProof/>
        </w:rPr>
        <w:t>et al</w:t>
      </w:r>
      <w:r w:rsidR="00B36B36">
        <w:rPr>
          <w:i/>
          <w:noProof/>
        </w:rPr>
        <w:t>.</w:t>
      </w:r>
      <w:r>
        <w:rPr>
          <w:i/>
          <w:noProof/>
        </w:rPr>
        <w:t xml:space="preserve"> </w:t>
      </w:r>
      <w:r>
        <w:rPr>
          <w:noProof/>
        </w:rPr>
        <w:t xml:space="preserve">(2010) have challenged this finding whereby some of the ages of the wild specimens were questioned and it was suggested the Kuykendall’s (1996) ages were still very applicable for wild samples.  Based on evidence from humans, it would be expected that differences in diet and stress would have an impact on the chronological timing of development.  The precise nature of the delays debated by Smith </w:t>
      </w:r>
      <w:r>
        <w:rPr>
          <w:i/>
          <w:noProof/>
        </w:rPr>
        <w:t xml:space="preserve">et </w:t>
      </w:r>
      <w:r w:rsidRPr="005F3866">
        <w:rPr>
          <w:i/>
          <w:noProof/>
        </w:rPr>
        <w:t>al</w:t>
      </w:r>
      <w:r w:rsidR="007C5E51">
        <w:rPr>
          <w:i/>
          <w:noProof/>
        </w:rPr>
        <w:t>.</w:t>
      </w:r>
      <w:r>
        <w:rPr>
          <w:noProof/>
        </w:rPr>
        <w:t xml:space="preserve"> (2010) are interesting.  It is important to </w:t>
      </w:r>
      <w:r w:rsidR="004D2C39">
        <w:rPr>
          <w:noProof/>
        </w:rPr>
        <w:t>recognise</w:t>
      </w:r>
      <w:r>
        <w:rPr>
          <w:noProof/>
        </w:rPr>
        <w:t xml:space="preserve"> that the delays between captive and wild specimens are not extreme and there</w:t>
      </w:r>
      <w:r w:rsidR="001A5166">
        <w:rPr>
          <w:noProof/>
        </w:rPr>
        <w:t xml:space="preserve"> is</w:t>
      </w:r>
      <w:r>
        <w:rPr>
          <w:noProof/>
        </w:rPr>
        <w:t xml:space="preserve"> no evidence to suggest changes in sequence pattern.  Both captive and wild data are equall</w:t>
      </w:r>
      <w:r w:rsidR="00D36477">
        <w:rPr>
          <w:noProof/>
        </w:rPr>
        <w:t>y as applicable in this regard.</w:t>
      </w:r>
    </w:p>
    <w:p w:rsidR="006110DE" w:rsidRDefault="00D557BE" w:rsidP="00D557BE">
      <w:pPr>
        <w:pStyle w:val="Caption"/>
      </w:pPr>
      <w:bookmarkStart w:id="66" w:name="_Toc373180110"/>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9</w:t>
      </w:r>
      <w:r w:rsidR="008943E4">
        <w:rPr>
          <w:b/>
        </w:rPr>
        <w:fldChar w:fldCharType="end"/>
      </w:r>
      <w:r w:rsidR="00A57CC1">
        <w:t xml:space="preserve"> </w:t>
      </w:r>
      <w:r w:rsidR="00B173B6">
        <w:t>Data from</w:t>
      </w:r>
      <w:r w:rsidR="00AA5D39">
        <w:t xml:space="preserve"> </w:t>
      </w:r>
      <w:r w:rsidR="006110DE">
        <w:t xml:space="preserve">Zihlman </w:t>
      </w:r>
      <w:r w:rsidR="006110DE">
        <w:rPr>
          <w:i/>
        </w:rPr>
        <w:t>et al</w:t>
      </w:r>
      <w:r w:rsidR="006110DE">
        <w:t>.’s (2007) dental delays of wild chimpanzees</w:t>
      </w:r>
      <w:r w:rsidR="00A57CC1">
        <w:t>.</w:t>
      </w:r>
      <w:bookmarkEnd w:id="66"/>
      <w:proofErr w:type="gramEnd"/>
    </w:p>
    <w:tbl>
      <w:tblPr>
        <w:tblW w:w="8698" w:type="dxa"/>
        <w:jc w:val="center"/>
        <w:tblInd w:w="518" w:type="dxa"/>
        <w:tblBorders>
          <w:top w:val="single" w:sz="4" w:space="0" w:color="auto"/>
          <w:bottom w:val="single" w:sz="4" w:space="0" w:color="auto"/>
        </w:tblBorders>
        <w:tblLook w:val="04A0" w:firstRow="1" w:lastRow="0" w:firstColumn="1" w:lastColumn="0" w:noHBand="0" w:noVBand="1"/>
      </w:tblPr>
      <w:tblGrid>
        <w:gridCol w:w="2175"/>
        <w:gridCol w:w="3411"/>
        <w:gridCol w:w="3112"/>
      </w:tblGrid>
      <w:tr w:rsidR="006110DE" w:rsidTr="007716A0">
        <w:trPr>
          <w:trHeight w:val="300"/>
          <w:jc w:val="center"/>
        </w:trPr>
        <w:tc>
          <w:tcPr>
            <w:tcW w:w="2175" w:type="dxa"/>
            <w:tcBorders>
              <w:top w:val="single" w:sz="4" w:space="0" w:color="auto"/>
              <w:bottom w:val="single" w:sz="4" w:space="0" w:color="auto"/>
            </w:tcBorders>
            <w:noWrap/>
            <w:vAlign w:val="center"/>
          </w:tcPr>
          <w:p w:rsidR="006110DE" w:rsidRPr="00850201" w:rsidRDefault="007716A0" w:rsidP="00A57CC1">
            <w:pPr>
              <w:spacing w:before="0" w:line="240" w:lineRule="auto"/>
              <w:jc w:val="center"/>
              <w:rPr>
                <w:rFonts w:eastAsia="Times New Roman"/>
                <w:b/>
                <w:color w:val="000000"/>
                <w:lang w:val="en-GB" w:eastAsia="en-GB"/>
              </w:rPr>
            </w:pPr>
            <w:r>
              <w:rPr>
                <w:rFonts w:eastAsia="Times New Roman"/>
                <w:b/>
                <w:color w:val="000000"/>
                <w:lang w:val="en-GB" w:eastAsia="en-GB"/>
              </w:rPr>
              <w:t>t</w:t>
            </w:r>
            <w:r w:rsidR="006110DE" w:rsidRPr="00850201">
              <w:rPr>
                <w:rFonts w:eastAsia="Times New Roman"/>
                <w:b/>
                <w:color w:val="000000"/>
                <w:lang w:val="en-GB" w:eastAsia="en-GB"/>
              </w:rPr>
              <w:t>ooth</w:t>
            </w:r>
            <w:r>
              <w:rPr>
                <w:rFonts w:eastAsia="Times New Roman"/>
                <w:b/>
                <w:color w:val="000000"/>
                <w:lang w:val="en-GB" w:eastAsia="en-GB"/>
              </w:rPr>
              <w:t xml:space="preserve"> emergence</w:t>
            </w:r>
          </w:p>
        </w:tc>
        <w:tc>
          <w:tcPr>
            <w:tcW w:w="3411" w:type="dxa"/>
            <w:tcBorders>
              <w:top w:val="single" w:sz="4" w:space="0" w:color="auto"/>
              <w:bottom w:val="single" w:sz="4" w:space="0" w:color="auto"/>
            </w:tcBorders>
            <w:noWrap/>
            <w:vAlign w:val="center"/>
          </w:tcPr>
          <w:p w:rsidR="006110DE" w:rsidRPr="00850201" w:rsidRDefault="007716A0" w:rsidP="00A57CC1">
            <w:pPr>
              <w:spacing w:before="0" w:line="240" w:lineRule="auto"/>
              <w:jc w:val="center"/>
              <w:rPr>
                <w:rFonts w:eastAsia="Times New Roman"/>
                <w:b/>
                <w:color w:val="000000"/>
                <w:lang w:val="en-GB" w:eastAsia="en-GB"/>
              </w:rPr>
            </w:pPr>
            <w:r>
              <w:rPr>
                <w:rFonts w:eastAsia="Times New Roman"/>
                <w:b/>
                <w:color w:val="000000"/>
                <w:lang w:val="en-GB" w:eastAsia="en-GB"/>
              </w:rPr>
              <w:t>w</w:t>
            </w:r>
            <w:r w:rsidR="006110DE" w:rsidRPr="00850201">
              <w:rPr>
                <w:rFonts w:eastAsia="Times New Roman"/>
                <w:b/>
                <w:color w:val="000000"/>
                <w:lang w:val="en-GB" w:eastAsia="en-GB"/>
              </w:rPr>
              <w:t>ild chimpanzees (</w:t>
            </w:r>
            <w:r w:rsidR="006110DE" w:rsidRPr="00850201">
              <w:rPr>
                <w:b/>
                <w:noProof/>
              </w:rPr>
              <w:t>Ta</w:t>
            </w:r>
            <w:r w:rsidR="006110DE" w:rsidRPr="00850201">
              <w:rPr>
                <w:b/>
              </w:rPr>
              <w:t>ï)</w:t>
            </w:r>
            <w:r w:rsidR="00127D76" w:rsidRPr="00850201">
              <w:rPr>
                <w:b/>
              </w:rPr>
              <w:t xml:space="preserve"> (years)</w:t>
            </w:r>
          </w:p>
        </w:tc>
        <w:tc>
          <w:tcPr>
            <w:tcW w:w="3112" w:type="dxa"/>
            <w:tcBorders>
              <w:top w:val="single" w:sz="4" w:space="0" w:color="auto"/>
              <w:bottom w:val="single" w:sz="4" w:space="0" w:color="auto"/>
            </w:tcBorders>
            <w:noWrap/>
            <w:vAlign w:val="center"/>
          </w:tcPr>
          <w:p w:rsidR="006110DE" w:rsidRPr="00850201" w:rsidRDefault="007716A0" w:rsidP="00A57CC1">
            <w:pPr>
              <w:spacing w:before="0" w:line="240" w:lineRule="auto"/>
              <w:jc w:val="center"/>
              <w:rPr>
                <w:rFonts w:eastAsia="Times New Roman"/>
                <w:b/>
                <w:color w:val="000000"/>
                <w:lang w:val="en-GB" w:eastAsia="en-GB"/>
              </w:rPr>
            </w:pPr>
            <w:r>
              <w:rPr>
                <w:rFonts w:eastAsia="Times New Roman"/>
                <w:b/>
                <w:color w:val="000000"/>
                <w:lang w:val="en-GB" w:eastAsia="en-GB"/>
              </w:rPr>
              <w:t>c</w:t>
            </w:r>
            <w:r w:rsidR="006110DE" w:rsidRPr="00850201">
              <w:rPr>
                <w:rFonts w:eastAsia="Times New Roman"/>
                <w:b/>
                <w:color w:val="000000"/>
                <w:lang w:val="en-GB" w:eastAsia="en-GB"/>
              </w:rPr>
              <w:t>aptive chimpanzees</w:t>
            </w:r>
            <w:r w:rsidR="00127D76" w:rsidRPr="00850201">
              <w:rPr>
                <w:rFonts w:eastAsia="Times New Roman"/>
                <w:b/>
                <w:color w:val="000000"/>
                <w:lang w:val="en-GB" w:eastAsia="en-GB"/>
              </w:rPr>
              <w:t xml:space="preserve"> (years)</w:t>
            </w:r>
          </w:p>
        </w:tc>
      </w:tr>
      <w:tr w:rsidR="006110DE" w:rsidTr="007716A0">
        <w:trPr>
          <w:trHeight w:val="300"/>
          <w:jc w:val="center"/>
        </w:trPr>
        <w:tc>
          <w:tcPr>
            <w:tcW w:w="2175" w:type="dxa"/>
            <w:tcBorders>
              <w:top w:val="single" w:sz="4" w:space="0" w:color="auto"/>
            </w:tcBorders>
            <w:noWrap/>
            <w:vAlign w:val="bottom"/>
          </w:tcPr>
          <w:p w:rsidR="006110DE" w:rsidRDefault="007716A0" w:rsidP="007716A0">
            <w:pPr>
              <w:spacing w:before="0" w:line="240" w:lineRule="auto"/>
              <w:jc w:val="center"/>
              <w:rPr>
                <w:rFonts w:eastAsia="Times New Roman"/>
                <w:color w:val="000000"/>
                <w:lang w:val="en-GB" w:eastAsia="en-GB"/>
              </w:rPr>
            </w:pPr>
            <w:r>
              <w:rPr>
                <w:rFonts w:eastAsia="Times New Roman"/>
                <w:color w:val="000000"/>
                <w:lang w:val="en-GB" w:eastAsia="en-GB"/>
              </w:rPr>
              <w:t>M1</w:t>
            </w:r>
          </w:p>
        </w:tc>
        <w:tc>
          <w:tcPr>
            <w:tcW w:w="3411" w:type="dxa"/>
            <w:tcBorders>
              <w:top w:val="single" w:sz="4" w:space="0" w:color="auto"/>
            </w:tcBorders>
            <w:noWrap/>
            <w:vAlign w:val="bottom"/>
          </w:tcPr>
          <w:p w:rsidR="006110DE" w:rsidRDefault="00127D76" w:rsidP="009F5AEC">
            <w:pPr>
              <w:spacing w:before="0" w:line="240" w:lineRule="auto"/>
              <w:jc w:val="center"/>
              <w:rPr>
                <w:rFonts w:eastAsia="Times New Roman"/>
                <w:color w:val="000000"/>
                <w:lang w:val="en-GB" w:eastAsia="en-GB"/>
              </w:rPr>
            </w:pPr>
            <w:r>
              <w:rPr>
                <w:rFonts w:eastAsia="Times New Roman"/>
                <w:color w:val="000000"/>
                <w:lang w:val="en-GB" w:eastAsia="en-GB"/>
              </w:rPr>
              <w:t xml:space="preserve">~ </w:t>
            </w:r>
            <w:r w:rsidR="006110DE">
              <w:rPr>
                <w:rFonts w:eastAsia="Times New Roman"/>
                <w:color w:val="000000"/>
                <w:lang w:val="en-GB" w:eastAsia="en-GB"/>
              </w:rPr>
              <w:t>4</w:t>
            </w:r>
          </w:p>
        </w:tc>
        <w:tc>
          <w:tcPr>
            <w:tcW w:w="3112" w:type="dxa"/>
            <w:tcBorders>
              <w:top w:val="single" w:sz="4" w:space="0" w:color="auto"/>
            </w:tcBorders>
            <w:noWrap/>
            <w:vAlign w:val="bottom"/>
          </w:tcPr>
          <w:p w:rsidR="006110DE" w:rsidRDefault="006110DE" w:rsidP="009F5AEC">
            <w:pPr>
              <w:spacing w:before="0" w:line="240" w:lineRule="auto"/>
              <w:jc w:val="center"/>
              <w:rPr>
                <w:rFonts w:eastAsia="Times New Roman"/>
                <w:color w:val="000000"/>
                <w:lang w:val="en-GB" w:eastAsia="en-GB"/>
              </w:rPr>
            </w:pPr>
            <w:r>
              <w:rPr>
                <w:rFonts w:eastAsia="Times New Roman"/>
                <w:color w:val="000000"/>
                <w:lang w:val="en-GB" w:eastAsia="en-GB"/>
              </w:rPr>
              <w:t>2.7</w:t>
            </w:r>
            <w:r w:rsidR="004F400E">
              <w:rPr>
                <w:rFonts w:eastAsia="Times New Roman"/>
                <w:color w:val="000000"/>
                <w:lang w:val="en-GB" w:eastAsia="en-GB"/>
              </w:rPr>
              <w:t xml:space="preserve"> </w:t>
            </w:r>
            <w:r>
              <w:rPr>
                <w:rFonts w:eastAsia="Times New Roman"/>
                <w:color w:val="000000"/>
                <w:lang w:val="en-GB" w:eastAsia="en-GB"/>
              </w:rPr>
              <w:t>–</w:t>
            </w:r>
            <w:r w:rsidR="004F400E">
              <w:rPr>
                <w:rFonts w:eastAsia="Times New Roman"/>
                <w:color w:val="000000"/>
                <w:lang w:val="en-GB" w:eastAsia="en-GB"/>
              </w:rPr>
              <w:t xml:space="preserve"> </w:t>
            </w:r>
            <w:r>
              <w:rPr>
                <w:rFonts w:eastAsia="Times New Roman"/>
                <w:color w:val="000000"/>
                <w:lang w:val="en-GB" w:eastAsia="en-GB"/>
              </w:rPr>
              <w:t>4.1</w:t>
            </w:r>
            <w:r>
              <w:rPr>
                <w:rFonts w:eastAsia="Times New Roman"/>
                <w:color w:val="000000"/>
                <w:vertAlign w:val="superscript"/>
                <w:lang w:val="en-GB" w:eastAsia="en-GB"/>
              </w:rPr>
              <w:t>(1)</w:t>
            </w:r>
          </w:p>
        </w:tc>
      </w:tr>
      <w:tr w:rsidR="006110DE" w:rsidTr="007716A0">
        <w:trPr>
          <w:trHeight w:val="300"/>
          <w:jc w:val="center"/>
        </w:trPr>
        <w:tc>
          <w:tcPr>
            <w:tcW w:w="2175" w:type="dxa"/>
            <w:noWrap/>
            <w:vAlign w:val="bottom"/>
          </w:tcPr>
          <w:p w:rsidR="006110DE" w:rsidRDefault="006110DE" w:rsidP="007716A0">
            <w:pPr>
              <w:spacing w:before="0" w:line="240" w:lineRule="auto"/>
              <w:jc w:val="center"/>
              <w:rPr>
                <w:rFonts w:eastAsia="Times New Roman"/>
                <w:color w:val="000000"/>
                <w:lang w:val="en-GB" w:eastAsia="en-GB"/>
              </w:rPr>
            </w:pPr>
            <w:r>
              <w:rPr>
                <w:rFonts w:eastAsia="Times New Roman"/>
                <w:color w:val="000000"/>
                <w:lang w:val="en-GB" w:eastAsia="en-GB"/>
              </w:rPr>
              <w:t>M2</w:t>
            </w:r>
          </w:p>
        </w:tc>
        <w:tc>
          <w:tcPr>
            <w:tcW w:w="3411" w:type="dxa"/>
            <w:noWrap/>
            <w:vAlign w:val="bottom"/>
          </w:tcPr>
          <w:p w:rsidR="006110DE" w:rsidRDefault="00127D76" w:rsidP="009F5AEC">
            <w:pPr>
              <w:spacing w:before="0" w:line="240" w:lineRule="auto"/>
              <w:jc w:val="center"/>
              <w:rPr>
                <w:rFonts w:eastAsia="Times New Roman"/>
                <w:color w:val="000000"/>
                <w:lang w:val="en-GB" w:eastAsia="en-GB"/>
              </w:rPr>
            </w:pPr>
            <w:r>
              <w:rPr>
                <w:rFonts w:eastAsia="Times New Roman"/>
                <w:color w:val="000000"/>
                <w:lang w:val="en-GB" w:eastAsia="en-GB"/>
              </w:rPr>
              <w:t>~</w:t>
            </w:r>
            <w:r w:rsidR="006110DE">
              <w:rPr>
                <w:rFonts w:eastAsia="Times New Roman"/>
                <w:color w:val="000000"/>
                <w:lang w:val="en-GB" w:eastAsia="en-GB"/>
              </w:rPr>
              <w:t>8</w:t>
            </w:r>
          </w:p>
        </w:tc>
        <w:tc>
          <w:tcPr>
            <w:tcW w:w="3112" w:type="dxa"/>
            <w:noWrap/>
            <w:vAlign w:val="bottom"/>
          </w:tcPr>
          <w:p w:rsidR="006110DE" w:rsidRDefault="006110DE" w:rsidP="009F5AEC">
            <w:pPr>
              <w:spacing w:before="0" w:line="240" w:lineRule="auto"/>
              <w:jc w:val="center"/>
              <w:rPr>
                <w:rFonts w:eastAsia="Times New Roman"/>
                <w:color w:val="000000"/>
                <w:lang w:val="en-GB" w:eastAsia="en-GB"/>
              </w:rPr>
            </w:pPr>
            <w:r>
              <w:rPr>
                <w:rFonts w:eastAsia="Times New Roman"/>
                <w:color w:val="000000"/>
                <w:lang w:val="en-GB" w:eastAsia="en-GB"/>
              </w:rPr>
              <w:t>5.3</w:t>
            </w:r>
            <w:r w:rsidR="004F400E">
              <w:rPr>
                <w:rFonts w:eastAsia="Times New Roman"/>
                <w:color w:val="000000"/>
                <w:lang w:val="en-GB" w:eastAsia="en-GB"/>
              </w:rPr>
              <w:t xml:space="preserve"> </w:t>
            </w:r>
            <w:r>
              <w:rPr>
                <w:rFonts w:eastAsia="Times New Roman"/>
                <w:color w:val="000000"/>
                <w:lang w:val="en-GB" w:eastAsia="en-GB"/>
              </w:rPr>
              <w:t>–</w:t>
            </w:r>
            <w:r w:rsidR="004F400E">
              <w:rPr>
                <w:rFonts w:eastAsia="Times New Roman"/>
                <w:color w:val="000000"/>
                <w:lang w:val="en-GB" w:eastAsia="en-GB"/>
              </w:rPr>
              <w:t xml:space="preserve"> </w:t>
            </w:r>
            <w:r>
              <w:rPr>
                <w:rFonts w:eastAsia="Times New Roman"/>
                <w:color w:val="000000"/>
                <w:lang w:val="en-GB" w:eastAsia="en-GB"/>
              </w:rPr>
              <w:t>7.3</w:t>
            </w:r>
            <w:r>
              <w:rPr>
                <w:rFonts w:eastAsia="Times New Roman"/>
                <w:color w:val="000000"/>
                <w:vertAlign w:val="superscript"/>
                <w:lang w:val="en-GB" w:eastAsia="en-GB"/>
              </w:rPr>
              <w:t>(1)</w:t>
            </w:r>
          </w:p>
        </w:tc>
      </w:tr>
      <w:tr w:rsidR="006110DE" w:rsidTr="007716A0">
        <w:trPr>
          <w:trHeight w:val="300"/>
          <w:jc w:val="center"/>
        </w:trPr>
        <w:tc>
          <w:tcPr>
            <w:tcW w:w="2175" w:type="dxa"/>
            <w:noWrap/>
            <w:vAlign w:val="bottom"/>
          </w:tcPr>
          <w:p w:rsidR="006110DE" w:rsidRDefault="006110DE" w:rsidP="007716A0">
            <w:pPr>
              <w:spacing w:before="0" w:line="240" w:lineRule="auto"/>
              <w:jc w:val="center"/>
              <w:rPr>
                <w:rFonts w:eastAsia="Times New Roman"/>
                <w:color w:val="000000"/>
                <w:lang w:val="en-GB" w:eastAsia="en-GB"/>
              </w:rPr>
            </w:pPr>
            <w:r>
              <w:rPr>
                <w:rFonts w:eastAsia="Times New Roman"/>
                <w:color w:val="000000"/>
                <w:lang w:val="en-GB" w:eastAsia="en-GB"/>
              </w:rPr>
              <w:t>M3</w:t>
            </w:r>
          </w:p>
        </w:tc>
        <w:tc>
          <w:tcPr>
            <w:tcW w:w="3411" w:type="dxa"/>
            <w:noWrap/>
            <w:vAlign w:val="bottom"/>
          </w:tcPr>
          <w:p w:rsidR="006110DE" w:rsidRDefault="00127D76" w:rsidP="009F5AEC">
            <w:pPr>
              <w:spacing w:before="0" w:line="240" w:lineRule="auto"/>
              <w:jc w:val="center"/>
              <w:rPr>
                <w:rFonts w:eastAsia="Times New Roman"/>
                <w:color w:val="000000"/>
                <w:lang w:val="en-GB" w:eastAsia="en-GB"/>
              </w:rPr>
            </w:pPr>
            <w:r>
              <w:rPr>
                <w:rFonts w:eastAsia="Times New Roman"/>
                <w:color w:val="000000"/>
                <w:lang w:val="en-GB" w:eastAsia="en-GB"/>
              </w:rPr>
              <w:t>~</w:t>
            </w:r>
            <w:r w:rsidR="006110DE">
              <w:rPr>
                <w:rFonts w:eastAsia="Times New Roman"/>
                <w:color w:val="000000"/>
                <w:lang w:val="en-GB" w:eastAsia="en-GB"/>
              </w:rPr>
              <w:t>12.5</w:t>
            </w:r>
          </w:p>
        </w:tc>
        <w:tc>
          <w:tcPr>
            <w:tcW w:w="3112" w:type="dxa"/>
            <w:noWrap/>
            <w:vAlign w:val="bottom"/>
          </w:tcPr>
          <w:p w:rsidR="006110DE" w:rsidRDefault="000D5847" w:rsidP="009F5AEC">
            <w:pPr>
              <w:spacing w:before="0" w:line="240" w:lineRule="auto"/>
              <w:jc w:val="center"/>
              <w:rPr>
                <w:rFonts w:eastAsia="Times New Roman"/>
                <w:color w:val="000000"/>
                <w:lang w:val="en-GB" w:eastAsia="en-GB"/>
              </w:rPr>
            </w:pPr>
            <w:r>
              <w:rPr>
                <w:rFonts w:eastAsia="Times New Roman"/>
                <w:color w:val="000000"/>
                <w:lang w:val="en-GB" w:eastAsia="en-GB"/>
              </w:rPr>
              <w:t>n</w:t>
            </w:r>
            <w:r w:rsidR="006110DE">
              <w:rPr>
                <w:rFonts w:eastAsia="Times New Roman"/>
                <w:color w:val="000000"/>
                <w:lang w:val="en-GB" w:eastAsia="en-GB"/>
              </w:rPr>
              <w:t>o data available (10.5</w:t>
            </w:r>
            <w:r w:rsidR="006110DE">
              <w:rPr>
                <w:rFonts w:eastAsia="Times New Roman"/>
                <w:color w:val="000000"/>
                <w:vertAlign w:val="superscript"/>
                <w:lang w:val="en-GB" w:eastAsia="en-GB"/>
              </w:rPr>
              <w:t>(2)</w:t>
            </w:r>
            <w:r w:rsidR="006110DE">
              <w:rPr>
                <w:rFonts w:eastAsia="Times New Roman"/>
                <w:color w:val="000000"/>
                <w:lang w:val="en-GB" w:eastAsia="en-GB"/>
              </w:rPr>
              <w:t>)</w:t>
            </w:r>
          </w:p>
        </w:tc>
      </w:tr>
    </w:tbl>
    <w:p w:rsidR="00181072" w:rsidRPr="00181072" w:rsidRDefault="006110DE" w:rsidP="00A57CC1">
      <w:pPr>
        <w:spacing w:before="120" w:line="240" w:lineRule="auto"/>
        <w:rPr>
          <w:sz w:val="20"/>
          <w:szCs w:val="20"/>
        </w:rPr>
      </w:pPr>
      <w:r w:rsidRPr="00181072">
        <w:rPr>
          <w:sz w:val="20"/>
          <w:szCs w:val="20"/>
        </w:rPr>
        <w:t>1</w:t>
      </w:r>
      <w:r w:rsidR="00EB7DBF">
        <w:rPr>
          <w:sz w:val="20"/>
          <w:szCs w:val="20"/>
        </w:rPr>
        <w:t>.</w:t>
      </w:r>
      <w:r w:rsidRPr="00181072">
        <w:rPr>
          <w:sz w:val="20"/>
          <w:szCs w:val="20"/>
        </w:rPr>
        <w:t xml:space="preserve"> Conroy and Mahoney 1991</w:t>
      </w:r>
    </w:p>
    <w:p w:rsidR="006110DE" w:rsidRPr="00181072" w:rsidRDefault="006110DE" w:rsidP="00A57CC1">
      <w:pPr>
        <w:spacing w:before="0" w:line="240" w:lineRule="auto"/>
        <w:rPr>
          <w:sz w:val="20"/>
          <w:szCs w:val="20"/>
        </w:rPr>
      </w:pPr>
      <w:r w:rsidRPr="00181072">
        <w:rPr>
          <w:sz w:val="20"/>
          <w:szCs w:val="20"/>
        </w:rPr>
        <w:t>2</w:t>
      </w:r>
      <w:r w:rsidR="00EB7DBF">
        <w:rPr>
          <w:sz w:val="20"/>
          <w:szCs w:val="20"/>
        </w:rPr>
        <w:t>.</w:t>
      </w:r>
      <w:r w:rsidRPr="00181072">
        <w:rPr>
          <w:sz w:val="20"/>
          <w:szCs w:val="20"/>
        </w:rPr>
        <w:t xml:space="preserve"> </w:t>
      </w:r>
      <w:r w:rsidR="0099743E">
        <w:rPr>
          <w:sz w:val="20"/>
          <w:szCs w:val="20"/>
        </w:rPr>
        <w:t>E</w:t>
      </w:r>
      <w:r w:rsidRPr="00181072">
        <w:rPr>
          <w:sz w:val="20"/>
          <w:szCs w:val="20"/>
        </w:rPr>
        <w:t xml:space="preserve">stimated from Schwartz </w:t>
      </w:r>
      <w:r w:rsidRPr="00066F02">
        <w:rPr>
          <w:i/>
          <w:sz w:val="20"/>
          <w:szCs w:val="20"/>
        </w:rPr>
        <w:t>et al</w:t>
      </w:r>
      <w:r w:rsidRPr="00181072">
        <w:rPr>
          <w:sz w:val="20"/>
          <w:szCs w:val="20"/>
        </w:rPr>
        <w:t>. 2000</w:t>
      </w:r>
    </w:p>
    <w:p w:rsidR="006110DE" w:rsidRPr="00EF6828" w:rsidRDefault="00CB4649" w:rsidP="00181072">
      <w:pPr>
        <w:rPr>
          <w:b/>
          <w:i/>
        </w:rPr>
      </w:pPr>
      <w:r>
        <w:rPr>
          <w:b/>
          <w:i/>
        </w:rPr>
        <w:t>2.4</w:t>
      </w:r>
      <w:r w:rsidR="003C041D" w:rsidRPr="00EF6828">
        <w:rPr>
          <w:b/>
          <w:i/>
        </w:rPr>
        <w:t>.3</w:t>
      </w:r>
      <w:proofErr w:type="gramStart"/>
      <w:r w:rsidR="003C041D" w:rsidRPr="00EF6828">
        <w:rPr>
          <w:b/>
          <w:i/>
        </w:rPr>
        <w:t>.b</w:t>
      </w:r>
      <w:proofErr w:type="gramEnd"/>
      <w:r w:rsidR="003C041D" w:rsidRPr="00EF6828">
        <w:rPr>
          <w:b/>
          <w:i/>
        </w:rPr>
        <w:tab/>
      </w:r>
      <w:r w:rsidR="006110DE" w:rsidRPr="00EF6828">
        <w:rPr>
          <w:b/>
          <w:i/>
        </w:rPr>
        <w:t>Sex differences in chimpanzees</w:t>
      </w:r>
    </w:p>
    <w:p w:rsidR="006110DE" w:rsidRDefault="006110DE" w:rsidP="00181072">
      <w:r>
        <w:t xml:space="preserve">Differences in dental development between males and females are documented for developmental timing (Kuykendall 1996, Kuykendall </w:t>
      </w:r>
      <w:r>
        <w:rPr>
          <w:i/>
        </w:rPr>
        <w:t>et al</w:t>
      </w:r>
      <w:r w:rsidR="00673987">
        <w:rPr>
          <w:i/>
        </w:rPr>
        <w:t>.</w:t>
      </w:r>
      <w:r>
        <w:t xml:space="preserve"> 1992).  It is evident that the overall pattern of dental development is effectively the same </w:t>
      </w:r>
      <w:r w:rsidR="001B14FF">
        <w:t>for</w:t>
      </w:r>
      <w:r>
        <w:t xml:space="preserve"> males and females but that the chronological timing of development is consistently delayed in males (</w:t>
      </w:r>
      <w:r w:rsidRPr="00E201F9">
        <w:t>Kuykendall 1996</w:t>
      </w:r>
      <w:r>
        <w:t>).  The only exception to consistency in pattern may be the canine where there appear to be larger relative delays in development in males.  It has been suggested that emergence timing differences are consistent with this</w:t>
      </w:r>
      <w:r w:rsidR="001A1115">
        <w:t xml:space="preserve"> male</w:t>
      </w:r>
      <w:r>
        <w:t xml:space="preserve"> pattern of delayed chronological development (Zihlman 2004).</w:t>
      </w:r>
    </w:p>
    <w:p w:rsidR="00E94CEE" w:rsidRDefault="00E94CEE">
      <w:pPr>
        <w:spacing w:before="0" w:after="200" w:line="276" w:lineRule="auto"/>
        <w:jc w:val="left"/>
        <w:rPr>
          <w:b/>
          <w:i/>
          <w:noProof/>
        </w:rPr>
      </w:pPr>
      <w:r>
        <w:rPr>
          <w:b/>
          <w:i/>
          <w:noProof/>
        </w:rPr>
        <w:br w:type="page"/>
      </w:r>
    </w:p>
    <w:p w:rsidR="006110DE" w:rsidRPr="00EF6828" w:rsidRDefault="00CB4649" w:rsidP="001708C0">
      <w:pPr>
        <w:rPr>
          <w:b/>
          <w:i/>
          <w:noProof/>
        </w:rPr>
      </w:pPr>
      <w:r>
        <w:rPr>
          <w:b/>
          <w:i/>
          <w:noProof/>
        </w:rPr>
        <w:lastRenderedPageBreak/>
        <w:t>2.4</w:t>
      </w:r>
      <w:r w:rsidR="003C041D" w:rsidRPr="00EF6828">
        <w:rPr>
          <w:b/>
          <w:i/>
          <w:noProof/>
        </w:rPr>
        <w:t>.3.c</w:t>
      </w:r>
      <w:r w:rsidR="003C041D" w:rsidRPr="00EF6828">
        <w:rPr>
          <w:b/>
          <w:i/>
          <w:noProof/>
        </w:rPr>
        <w:tab/>
      </w:r>
      <w:r w:rsidR="006110DE" w:rsidRPr="00EF6828">
        <w:rPr>
          <w:b/>
          <w:i/>
          <w:noProof/>
        </w:rPr>
        <w:t xml:space="preserve">Population </w:t>
      </w:r>
      <w:r w:rsidR="00F13559">
        <w:rPr>
          <w:b/>
          <w:i/>
          <w:noProof/>
        </w:rPr>
        <w:t>differences</w:t>
      </w:r>
      <w:r w:rsidR="006110DE" w:rsidRPr="00EF6828">
        <w:rPr>
          <w:b/>
          <w:i/>
          <w:noProof/>
        </w:rPr>
        <w:t xml:space="preserve"> in chimpanzees</w:t>
      </w:r>
    </w:p>
    <w:p w:rsidR="006110DE" w:rsidRDefault="006110DE" w:rsidP="001708C0">
      <w:pPr>
        <w:rPr>
          <w:noProof/>
        </w:rPr>
      </w:pPr>
      <w:r w:rsidRPr="006E06BD">
        <w:rPr>
          <w:noProof/>
        </w:rPr>
        <w:t xml:space="preserve">Variation in dental developmental patterning for chimpanzees sub-species has not been extensively studied apart from some very simple observations such as molar morphology (Swindler </w:t>
      </w:r>
      <w:r w:rsidRPr="006E06BD">
        <w:rPr>
          <w:i/>
          <w:noProof/>
        </w:rPr>
        <w:t>et al</w:t>
      </w:r>
      <w:r w:rsidR="00D038FD">
        <w:rPr>
          <w:i/>
          <w:noProof/>
        </w:rPr>
        <w:t>.</w:t>
      </w:r>
      <w:r w:rsidRPr="006E06BD">
        <w:rPr>
          <w:i/>
          <w:noProof/>
        </w:rPr>
        <w:t xml:space="preserve"> </w:t>
      </w:r>
      <w:r w:rsidRPr="006E06BD">
        <w:rPr>
          <w:noProof/>
        </w:rPr>
        <w:t xml:space="preserve">1998).  Many of the studies determining </w:t>
      </w:r>
      <w:r w:rsidRPr="006E06BD">
        <w:rPr>
          <w:i/>
          <w:noProof/>
        </w:rPr>
        <w:t>Pan troglodytes</w:t>
      </w:r>
      <w:r w:rsidRPr="006E06BD">
        <w:rPr>
          <w:noProof/>
        </w:rPr>
        <w:t xml:space="preserve"> dental emergence and mineralization patterns have used samples with a mix of individuals from different sub-species.</w:t>
      </w:r>
      <w:r>
        <w:rPr>
          <w:noProof/>
        </w:rPr>
        <w:t xml:space="preserve">  When considering that the aforementioned studies of chimpanzee dental development largely agree with each other and use individuals from all different sub-species, </w:t>
      </w:r>
      <w:r w:rsidR="00122502">
        <w:rPr>
          <w:noProof/>
        </w:rPr>
        <w:t>it</w:t>
      </w:r>
      <w:r>
        <w:rPr>
          <w:noProof/>
        </w:rPr>
        <w:t xml:space="preserve"> would </w:t>
      </w:r>
      <w:r w:rsidR="00CB059E">
        <w:rPr>
          <w:noProof/>
        </w:rPr>
        <w:t xml:space="preserve">be </w:t>
      </w:r>
      <w:r>
        <w:rPr>
          <w:noProof/>
        </w:rPr>
        <w:t>expect</w:t>
      </w:r>
      <w:r w:rsidR="00CB059E">
        <w:rPr>
          <w:noProof/>
        </w:rPr>
        <w:t>ed</w:t>
      </w:r>
      <w:r>
        <w:rPr>
          <w:noProof/>
        </w:rPr>
        <w:t xml:space="preserve"> by inference that any direct comparison of population sub-groups would most likely show no large deviations.</w:t>
      </w:r>
      <w:r w:rsidRPr="006E06BD">
        <w:rPr>
          <w:noProof/>
        </w:rPr>
        <w:t xml:space="preserve">  For the purposes of this study, we will assume that there are no differences.</w:t>
      </w:r>
    </w:p>
    <w:p w:rsidR="006110DE" w:rsidRPr="003D47BE" w:rsidRDefault="006110DE" w:rsidP="00D263E8">
      <w:pPr>
        <w:pStyle w:val="Heading3"/>
      </w:pPr>
      <w:bookmarkStart w:id="67" w:name="_Toc373477734"/>
      <w:bookmarkStart w:id="68" w:name="_Toc373480732"/>
      <w:r>
        <w:t>Dental development in bonobos</w:t>
      </w:r>
      <w:bookmarkEnd w:id="67"/>
      <w:bookmarkEnd w:id="68"/>
    </w:p>
    <w:p w:rsidR="009E02C8" w:rsidRPr="00B55AAE" w:rsidRDefault="00C0706B" w:rsidP="001708C0">
      <w:pPr>
        <w:rPr>
          <w:b/>
          <w:noProof/>
          <w:color w:val="000000"/>
        </w:rPr>
      </w:pPr>
      <w:r w:rsidRPr="005F4292">
        <w:rPr>
          <w:noProof/>
          <w:color w:val="000000"/>
        </w:rPr>
        <w:t>There is sufficient information available on bonobo dentition to provide a confident assessment of d</w:t>
      </w:r>
      <w:r w:rsidR="009E4223">
        <w:rPr>
          <w:noProof/>
          <w:color w:val="000000"/>
        </w:rPr>
        <w:t>ental d</w:t>
      </w:r>
      <w:r w:rsidRPr="005F4292">
        <w:rPr>
          <w:noProof/>
          <w:color w:val="000000"/>
        </w:rPr>
        <w:t>evelopment.</w:t>
      </w:r>
      <w:r w:rsidR="002E31D3">
        <w:rPr>
          <w:noProof/>
          <w:color w:val="000000"/>
        </w:rPr>
        <w:t xml:space="preserve"> </w:t>
      </w:r>
      <w:r w:rsidRPr="005F4292">
        <w:rPr>
          <w:noProof/>
          <w:color w:val="000000"/>
        </w:rPr>
        <w:t xml:space="preserve"> Research that has been conducted include</w:t>
      </w:r>
      <w:r w:rsidR="009654A8" w:rsidRPr="005F4292">
        <w:rPr>
          <w:noProof/>
          <w:color w:val="000000"/>
        </w:rPr>
        <w:t>s</w:t>
      </w:r>
      <w:r w:rsidRPr="005F4292">
        <w:rPr>
          <w:noProof/>
          <w:color w:val="000000"/>
        </w:rPr>
        <w:t xml:space="preserve"> histology (Ramirez and Lacruz 2007), radiographic studies (e.g., Boughner </w:t>
      </w:r>
      <w:r w:rsidRPr="005F4292">
        <w:rPr>
          <w:i/>
          <w:noProof/>
          <w:color w:val="000000"/>
        </w:rPr>
        <w:t>et al</w:t>
      </w:r>
      <w:r w:rsidRPr="005F4292">
        <w:rPr>
          <w:noProof/>
          <w:color w:val="000000"/>
        </w:rPr>
        <w:t xml:space="preserve">. 2012, Dean and Wood 1981), and emergence </w:t>
      </w:r>
      <w:r w:rsidR="00EB1061">
        <w:rPr>
          <w:noProof/>
          <w:color w:val="000000"/>
        </w:rPr>
        <w:t>(Bolter and Zihlman 2011,</w:t>
      </w:r>
      <w:r w:rsidRPr="005F4292">
        <w:rPr>
          <w:noProof/>
          <w:color w:val="000000"/>
        </w:rPr>
        <w:t xml:space="preserve"> </w:t>
      </w:r>
      <w:r w:rsidR="00EB1061">
        <w:rPr>
          <w:noProof/>
          <w:color w:val="000000"/>
        </w:rPr>
        <w:t xml:space="preserve">Kinzey </w:t>
      </w:r>
      <w:r w:rsidRPr="005F4292">
        <w:rPr>
          <w:noProof/>
          <w:color w:val="000000"/>
        </w:rPr>
        <w:t>1984).</w:t>
      </w:r>
      <w:r w:rsidR="005F4292" w:rsidRPr="005F4292">
        <w:rPr>
          <w:noProof/>
          <w:color w:val="000000"/>
        </w:rPr>
        <w:t xml:space="preserve">  </w:t>
      </w:r>
      <w:r w:rsidR="00C607A6">
        <w:rPr>
          <w:noProof/>
          <w:color w:val="000000"/>
        </w:rPr>
        <w:t xml:space="preserve">Bougher </w:t>
      </w:r>
      <w:r w:rsidR="00C607A6">
        <w:rPr>
          <w:i/>
          <w:noProof/>
          <w:color w:val="000000"/>
        </w:rPr>
        <w:t xml:space="preserve">et </w:t>
      </w:r>
      <w:r w:rsidR="00C607A6" w:rsidRPr="00C607A6">
        <w:rPr>
          <w:i/>
          <w:noProof/>
          <w:color w:val="000000"/>
        </w:rPr>
        <w:t>al</w:t>
      </w:r>
      <w:r w:rsidR="00C607A6">
        <w:rPr>
          <w:noProof/>
          <w:color w:val="000000"/>
        </w:rPr>
        <w:t xml:space="preserve">. (2012) and Dean and Wood (1981) did not use samples of known age for detemining mineralization sequence.  However, there is sufficient data in terms of chronological landmarks such as molar emergence timing to harmonize mineralization pattern and </w:t>
      </w:r>
      <w:r w:rsidR="00C607A6">
        <w:rPr>
          <w:noProof/>
        </w:rPr>
        <w:t>chronological age</w:t>
      </w:r>
      <w:r w:rsidR="007A5509">
        <w:rPr>
          <w:noProof/>
        </w:rPr>
        <w:t xml:space="preserve"> with some degree of certainty</w:t>
      </w:r>
      <w:r w:rsidR="006110DE">
        <w:rPr>
          <w:noProof/>
        </w:rPr>
        <w:t>.</w:t>
      </w:r>
    </w:p>
    <w:p w:rsidR="006110DE" w:rsidRPr="00EF6828" w:rsidRDefault="006128F7" w:rsidP="001708C0">
      <w:pPr>
        <w:rPr>
          <w:b/>
          <w:i/>
        </w:rPr>
      </w:pPr>
      <w:r w:rsidRPr="00EF6828">
        <w:rPr>
          <w:b/>
          <w:i/>
        </w:rPr>
        <w:t>2.4</w:t>
      </w:r>
      <w:r w:rsidR="003C041D" w:rsidRPr="00EF6828">
        <w:rPr>
          <w:b/>
          <w:i/>
        </w:rPr>
        <w:t>.4</w:t>
      </w:r>
      <w:proofErr w:type="gramStart"/>
      <w:r w:rsidR="003C041D" w:rsidRPr="00EF6828">
        <w:rPr>
          <w:b/>
          <w:i/>
        </w:rPr>
        <w:t>.a</w:t>
      </w:r>
      <w:proofErr w:type="gramEnd"/>
      <w:r w:rsidR="003C041D" w:rsidRPr="00EF6828">
        <w:rPr>
          <w:b/>
          <w:i/>
        </w:rPr>
        <w:tab/>
      </w:r>
      <w:r w:rsidR="006110DE" w:rsidRPr="00EF6828">
        <w:rPr>
          <w:b/>
          <w:i/>
        </w:rPr>
        <w:t>Sex differences in bonobo dentition</w:t>
      </w:r>
    </w:p>
    <w:p w:rsidR="00DA17F5" w:rsidRDefault="006110DE" w:rsidP="001708C0">
      <w:r>
        <w:t xml:space="preserve">Direct comparisons between males and females with respect to chronological timing have not been made.  </w:t>
      </w:r>
      <w:r w:rsidR="00DA17F5">
        <w:t xml:space="preserve">Boughner </w:t>
      </w:r>
      <w:r w:rsidR="00DA17F5">
        <w:rPr>
          <w:i/>
        </w:rPr>
        <w:t>et al</w:t>
      </w:r>
      <w:r w:rsidR="00DA17F5">
        <w:t>.’s (2012)</w:t>
      </w:r>
      <w:r w:rsidR="0025144A">
        <w:t xml:space="preserve"> study</w:t>
      </w:r>
      <w:r w:rsidR="00DA17F5">
        <w:t xml:space="preserve"> </w:t>
      </w:r>
      <w:r w:rsidR="0025144A">
        <w:t xml:space="preserve">had </w:t>
      </w:r>
      <w:r w:rsidR="00DA17F5">
        <w:t>sufficient sample size to test for overt differences in sequence between males and females but this study did not pursue this approach.</w:t>
      </w:r>
      <w:r w:rsidR="0030211E">
        <w:t xml:space="preserve">  In this context </w:t>
      </w:r>
      <w:r w:rsidR="001C2354">
        <w:t>‘</w:t>
      </w:r>
      <w:r w:rsidR="0030211E">
        <w:t>overt</w:t>
      </w:r>
      <w:r w:rsidR="001C2354">
        <w:t>’</w:t>
      </w:r>
      <w:r w:rsidR="0030211E">
        <w:t xml:space="preserve"> is given to mean highly consistent differences as opposed to small variations in frequencies of certain polymorphisms</w:t>
      </w:r>
      <w:r w:rsidR="00F217A8">
        <w:t xml:space="preserve"> which may often be difficult to discern, even in much larger studies</w:t>
      </w:r>
      <w:r w:rsidR="0030211E">
        <w:t>.</w:t>
      </w:r>
      <w:r w:rsidR="00DA17F5">
        <w:t xml:space="preserve">  Given the combined nature of Boughner </w:t>
      </w:r>
      <w:r w:rsidR="00DA17F5">
        <w:rPr>
          <w:i/>
        </w:rPr>
        <w:t>et al</w:t>
      </w:r>
      <w:r w:rsidR="00DA17F5">
        <w:t>.’s (2012) sample it appears that it was assumed that this species did not show differences between the sexes.</w:t>
      </w:r>
      <w:r w:rsidR="00BE2E48">
        <w:t xml:space="preserve">  There is no further evidence that there are differences in either timing or sequence of dental development between males and females in bonobos.</w:t>
      </w:r>
    </w:p>
    <w:p w:rsidR="00E94CEE" w:rsidRDefault="00E94CEE">
      <w:pPr>
        <w:spacing w:before="0" w:after="200" w:line="276" w:lineRule="auto"/>
        <w:jc w:val="left"/>
        <w:rPr>
          <w:b/>
          <w:i/>
        </w:rPr>
      </w:pPr>
      <w:r>
        <w:rPr>
          <w:b/>
          <w:i/>
        </w:rPr>
        <w:br w:type="page"/>
      </w:r>
    </w:p>
    <w:p w:rsidR="00DA17F5" w:rsidRPr="00EF6828" w:rsidRDefault="00B50CE0" w:rsidP="001708C0">
      <w:pPr>
        <w:rPr>
          <w:b/>
          <w:i/>
        </w:rPr>
      </w:pPr>
      <w:r w:rsidRPr="00EF6828">
        <w:rPr>
          <w:b/>
          <w:i/>
        </w:rPr>
        <w:lastRenderedPageBreak/>
        <w:t>2.4.4</w:t>
      </w:r>
      <w:proofErr w:type="gramStart"/>
      <w:r w:rsidRPr="00EF6828">
        <w:rPr>
          <w:b/>
          <w:i/>
        </w:rPr>
        <w:t>.b</w:t>
      </w:r>
      <w:proofErr w:type="gramEnd"/>
      <w:r w:rsidRPr="00EF6828">
        <w:rPr>
          <w:b/>
          <w:i/>
        </w:rPr>
        <w:tab/>
      </w:r>
      <w:r w:rsidR="00DA17F5" w:rsidRPr="00EF6828">
        <w:rPr>
          <w:b/>
          <w:i/>
        </w:rPr>
        <w:t xml:space="preserve">Sequence differences </w:t>
      </w:r>
      <w:r w:rsidR="006B574B" w:rsidRPr="00EF6828">
        <w:rPr>
          <w:b/>
          <w:i/>
        </w:rPr>
        <w:t>between studies of</w:t>
      </w:r>
      <w:r w:rsidR="00062387" w:rsidRPr="00EF6828">
        <w:rPr>
          <w:b/>
          <w:i/>
        </w:rPr>
        <w:t xml:space="preserve"> bonobo dentition</w:t>
      </w:r>
      <w:r w:rsidR="00DA17F5" w:rsidRPr="00EF6828">
        <w:rPr>
          <w:b/>
          <w:i/>
        </w:rPr>
        <w:t>:</w:t>
      </w:r>
    </w:p>
    <w:p w:rsidR="006110DE" w:rsidRPr="00D36477" w:rsidRDefault="006110DE" w:rsidP="001708C0">
      <w:pPr>
        <w:rPr>
          <w:noProof/>
          <w:color w:val="000000" w:themeColor="text1"/>
        </w:rPr>
      </w:pPr>
      <w:r w:rsidRPr="00E74DF1">
        <w:rPr>
          <w:noProof/>
        </w:rPr>
        <w:t xml:space="preserve">Ramirez </w:t>
      </w:r>
      <w:r w:rsidRPr="00E74DF1">
        <w:rPr>
          <w:i/>
          <w:noProof/>
        </w:rPr>
        <w:t>et al</w:t>
      </w:r>
      <w:r w:rsidR="00404907">
        <w:rPr>
          <w:i/>
          <w:noProof/>
        </w:rPr>
        <w:t>.</w:t>
      </w:r>
      <w:r w:rsidRPr="00E74DF1">
        <w:rPr>
          <w:noProof/>
        </w:rPr>
        <w:t xml:space="preserve"> (2007) found </w:t>
      </w:r>
      <w:r>
        <w:rPr>
          <w:noProof/>
        </w:rPr>
        <w:t xml:space="preserve">slightly </w:t>
      </w:r>
      <w:r w:rsidRPr="00E74DF1">
        <w:rPr>
          <w:noProof/>
        </w:rPr>
        <w:t xml:space="preserve">different results to Boughner </w:t>
      </w:r>
      <w:r w:rsidR="00404907">
        <w:rPr>
          <w:i/>
          <w:noProof/>
        </w:rPr>
        <w:t xml:space="preserve">et al. </w:t>
      </w:r>
      <w:r w:rsidRPr="00E74DF1">
        <w:rPr>
          <w:noProof/>
        </w:rPr>
        <w:t xml:space="preserve">(2012) but these may have been consequent of the sampling methods using mandibular vs. maxillary teeth, with the maxilla tending to </w:t>
      </w:r>
      <w:r w:rsidR="006B4BD8">
        <w:rPr>
          <w:noProof/>
        </w:rPr>
        <w:t>show more</w:t>
      </w:r>
      <w:r w:rsidRPr="00E74DF1">
        <w:rPr>
          <w:noProof/>
        </w:rPr>
        <w:t xml:space="preserve"> advanced</w:t>
      </w:r>
      <w:r w:rsidR="006B4BD8">
        <w:rPr>
          <w:noProof/>
        </w:rPr>
        <w:t xml:space="preserve"> development</w:t>
      </w:r>
      <w:r w:rsidRPr="00E74DF1">
        <w:rPr>
          <w:noProof/>
        </w:rPr>
        <w:t>.</w:t>
      </w:r>
      <w:r>
        <w:rPr>
          <w:noProof/>
        </w:rPr>
        <w:t xml:space="preserve">  There were </w:t>
      </w:r>
      <w:r w:rsidR="00045139">
        <w:rPr>
          <w:noProof/>
        </w:rPr>
        <w:t xml:space="preserve">also </w:t>
      </w:r>
      <w:r>
        <w:rPr>
          <w:noProof/>
        </w:rPr>
        <w:t xml:space="preserve">some slight contradictions </w:t>
      </w:r>
      <w:r w:rsidR="006B4BD8">
        <w:rPr>
          <w:noProof/>
        </w:rPr>
        <w:t xml:space="preserve">in the results </w:t>
      </w:r>
      <w:r>
        <w:rPr>
          <w:noProof/>
        </w:rPr>
        <w:t>between Bolt</w:t>
      </w:r>
      <w:r w:rsidRPr="00763CCD">
        <w:rPr>
          <w:noProof/>
        </w:rPr>
        <w:t>er and Zihlman (201</w:t>
      </w:r>
      <w:r w:rsidR="007E40F1">
        <w:rPr>
          <w:noProof/>
        </w:rPr>
        <w:t>1</w:t>
      </w:r>
      <w:r w:rsidRPr="00763CCD">
        <w:rPr>
          <w:noProof/>
        </w:rPr>
        <w:t xml:space="preserve">) and Boughner </w:t>
      </w:r>
      <w:r w:rsidR="00A42243">
        <w:rPr>
          <w:i/>
          <w:noProof/>
        </w:rPr>
        <w:t>et al</w:t>
      </w:r>
      <w:r w:rsidR="00A42243">
        <w:rPr>
          <w:noProof/>
        </w:rPr>
        <w:t xml:space="preserve">. </w:t>
      </w:r>
      <w:r w:rsidRPr="00763CCD">
        <w:rPr>
          <w:noProof/>
        </w:rPr>
        <w:t>(2012).  Bolter and Zihlman (2012) found the sequence</w:t>
      </w:r>
      <w:r w:rsidR="00A42243">
        <w:rPr>
          <w:noProof/>
        </w:rPr>
        <w:t xml:space="preserve"> [</w:t>
      </w:r>
      <w:r w:rsidR="00A42243" w:rsidRPr="00763CCD">
        <w:rPr>
          <w:noProof/>
        </w:rPr>
        <w:t>M1 I1 P4 M2 I2] P3 C M</w:t>
      </w:r>
      <w:r w:rsidR="00A42243">
        <w:rPr>
          <w:noProof/>
        </w:rPr>
        <w:t>3 f</w:t>
      </w:r>
      <w:r w:rsidRPr="00763CCD">
        <w:rPr>
          <w:noProof/>
        </w:rPr>
        <w:t xml:space="preserve">or the mandibular dentition while Boughner and Dean (2012) determined the sequence to be M1 I1 I2 [P3 P4] M2 C M3.  </w:t>
      </w:r>
      <w:r w:rsidR="00A42243">
        <w:rPr>
          <w:noProof/>
        </w:rPr>
        <w:t xml:space="preserve">In this context [] enclose teeth that may show sequence polymorphisms, or in other words, changes in sequence order.  </w:t>
      </w:r>
      <w:r w:rsidR="00671BE0">
        <w:rPr>
          <w:noProof/>
        </w:rPr>
        <w:t>Those teeth outside the brackets do not vary</w:t>
      </w:r>
      <w:r w:rsidR="00E82A6E">
        <w:rPr>
          <w:noProof/>
        </w:rPr>
        <w:t xml:space="preserve"> in order</w:t>
      </w:r>
      <w:r w:rsidR="00671BE0">
        <w:rPr>
          <w:noProof/>
        </w:rPr>
        <w:t xml:space="preserve">.  </w:t>
      </w:r>
      <w:r w:rsidRPr="00763CCD">
        <w:rPr>
          <w:noProof/>
        </w:rPr>
        <w:t xml:space="preserve">Again, these differences may be the result of sample size issues with that of Boughner and Dean (2012) being </w:t>
      </w:r>
      <w:r w:rsidR="00045139">
        <w:rPr>
          <w:noProof/>
        </w:rPr>
        <w:t>substantially</w:t>
      </w:r>
      <w:r w:rsidR="00045139" w:rsidRPr="00763CCD">
        <w:rPr>
          <w:noProof/>
        </w:rPr>
        <w:t xml:space="preserve"> </w:t>
      </w:r>
      <w:r w:rsidR="00D36477">
        <w:rPr>
          <w:noProof/>
        </w:rPr>
        <w:t>larger.</w:t>
      </w:r>
    </w:p>
    <w:p w:rsidR="006110DE" w:rsidRPr="00EF6828" w:rsidRDefault="00AC347C" w:rsidP="001708C0">
      <w:pPr>
        <w:rPr>
          <w:b/>
          <w:i/>
          <w:color w:val="000000" w:themeColor="text1"/>
        </w:rPr>
      </w:pPr>
      <w:r w:rsidRPr="00EF6828">
        <w:rPr>
          <w:b/>
          <w:i/>
          <w:color w:val="000000" w:themeColor="text1"/>
        </w:rPr>
        <w:t>2.4</w:t>
      </w:r>
      <w:r w:rsidR="00B50CE0" w:rsidRPr="00EF6828">
        <w:rPr>
          <w:b/>
          <w:i/>
          <w:color w:val="000000" w:themeColor="text1"/>
        </w:rPr>
        <w:t>.4</w:t>
      </w:r>
      <w:proofErr w:type="gramStart"/>
      <w:r w:rsidR="00B50CE0" w:rsidRPr="00EF6828">
        <w:rPr>
          <w:b/>
          <w:i/>
          <w:color w:val="000000" w:themeColor="text1"/>
        </w:rPr>
        <w:t>.c</w:t>
      </w:r>
      <w:proofErr w:type="gramEnd"/>
      <w:r w:rsidR="00045139" w:rsidRPr="00EF6828">
        <w:rPr>
          <w:b/>
          <w:i/>
          <w:color w:val="000000" w:themeColor="text1"/>
        </w:rPr>
        <w:tab/>
      </w:r>
      <w:r w:rsidR="006110DE" w:rsidRPr="00EF6828">
        <w:rPr>
          <w:b/>
          <w:i/>
          <w:color w:val="000000" w:themeColor="text1"/>
        </w:rPr>
        <w:t>Population differences in bonobo dentition</w:t>
      </w:r>
    </w:p>
    <w:p w:rsidR="006110DE" w:rsidRDefault="006110DE" w:rsidP="001708C0">
      <w:r>
        <w:t xml:space="preserve">There are no studies that exist that compare different populations of </w:t>
      </w:r>
      <w:r>
        <w:rPr>
          <w:i/>
        </w:rPr>
        <w:t xml:space="preserve">Pan </w:t>
      </w:r>
      <w:proofErr w:type="gramStart"/>
      <w:r>
        <w:rPr>
          <w:i/>
        </w:rPr>
        <w:t>paniscus</w:t>
      </w:r>
      <w:proofErr w:type="gramEnd"/>
      <w:r>
        <w:t xml:space="preserve">.  </w:t>
      </w:r>
      <w:r w:rsidR="00045139">
        <w:t>I</w:t>
      </w:r>
      <w:r>
        <w:t xml:space="preserve">t is </w:t>
      </w:r>
      <w:r w:rsidR="00045139">
        <w:t xml:space="preserve">inferred and </w:t>
      </w:r>
      <w:r>
        <w:t xml:space="preserve">may be expected </w:t>
      </w:r>
      <w:r w:rsidR="00045139">
        <w:t xml:space="preserve">that no substantial population variability is likely to be observed </w:t>
      </w:r>
      <w:r>
        <w:t>due to the much more restricted range of this species.</w:t>
      </w:r>
    </w:p>
    <w:p w:rsidR="006110DE" w:rsidRPr="001708C0" w:rsidRDefault="006110DE" w:rsidP="00D263E8">
      <w:pPr>
        <w:pStyle w:val="Heading3"/>
      </w:pPr>
      <w:bookmarkStart w:id="69" w:name="_Toc373477735"/>
      <w:bookmarkStart w:id="70" w:name="_Toc373480733"/>
      <w:r w:rsidRPr="009C276A">
        <w:t>Comparisons between chimpanzees and bonobos</w:t>
      </w:r>
      <w:bookmarkEnd w:id="69"/>
      <w:bookmarkEnd w:id="70"/>
    </w:p>
    <w:p w:rsidR="000B7B0C" w:rsidRPr="008E1A5E" w:rsidRDefault="000B7B0C" w:rsidP="001708C0">
      <w:pPr>
        <w:rPr>
          <w:noProof/>
        </w:rPr>
      </w:pPr>
      <w:r w:rsidRPr="000B7B0C">
        <w:t>It has been suggested that the pattern of dental development in bonobos does not differ</w:t>
      </w:r>
      <w:r w:rsidR="008C3DC6">
        <w:t xml:space="preserve"> significantly from chimpanzees </w:t>
      </w:r>
      <w:r w:rsidRPr="000B7B0C">
        <w:t xml:space="preserve">(Boughner and Dean 2004 and Boughner </w:t>
      </w:r>
      <w:r w:rsidRPr="000B7B0C">
        <w:rPr>
          <w:i/>
        </w:rPr>
        <w:t>et al</w:t>
      </w:r>
      <w:r>
        <w:t xml:space="preserve">. </w:t>
      </w:r>
      <w:r w:rsidRPr="000B7B0C">
        <w:t>2012)</w:t>
      </w:r>
      <w:r>
        <w:rPr>
          <w:noProof/>
        </w:rPr>
        <w:t xml:space="preserve">.  </w:t>
      </w:r>
      <w:r w:rsidR="006110DE" w:rsidRPr="000B7B0C">
        <w:rPr>
          <w:noProof/>
        </w:rPr>
        <w:t>Minor variations in emergence and mineralization seque</w:t>
      </w:r>
      <w:r w:rsidR="006110DE">
        <w:rPr>
          <w:noProof/>
        </w:rPr>
        <w:t xml:space="preserve">nce have been reported between chimpanzees and bonobos.  Boughner </w:t>
      </w:r>
      <w:r w:rsidR="006110DE">
        <w:rPr>
          <w:i/>
          <w:noProof/>
        </w:rPr>
        <w:t>et al</w:t>
      </w:r>
      <w:r w:rsidR="001C6D56">
        <w:rPr>
          <w:i/>
          <w:noProof/>
        </w:rPr>
        <w:t>.</w:t>
      </w:r>
      <w:r w:rsidR="006110DE">
        <w:rPr>
          <w:noProof/>
        </w:rPr>
        <w:t xml:space="preserve"> (2012) found that in bonobos the P3 began to mineralize before the canine whereas in chimpanzees the canine and the P3 </w:t>
      </w:r>
      <w:r w:rsidR="00723AA5">
        <w:rPr>
          <w:noProof/>
        </w:rPr>
        <w:t>mineraliz</w:t>
      </w:r>
      <w:r w:rsidR="006110DE">
        <w:rPr>
          <w:noProof/>
        </w:rPr>
        <w:t xml:space="preserve">ed at the same time.  They found that these differences </w:t>
      </w:r>
      <w:r w:rsidR="00922A49">
        <w:rPr>
          <w:noProof/>
        </w:rPr>
        <w:t>were</w:t>
      </w:r>
      <w:r w:rsidR="006110DE">
        <w:rPr>
          <w:noProof/>
        </w:rPr>
        <w:t xml:space="preserve"> only characterised for the initiation of mineralization but not the completion sequence of teeth</w:t>
      </w:r>
      <w:r w:rsidR="005F29DD">
        <w:rPr>
          <w:noProof/>
        </w:rPr>
        <w:t xml:space="preserve">.  </w:t>
      </w:r>
      <w:r w:rsidR="00374DE6">
        <w:rPr>
          <w:noProof/>
        </w:rPr>
        <w:t>A</w:t>
      </w:r>
      <w:r w:rsidR="00220B06">
        <w:rPr>
          <w:noProof/>
        </w:rPr>
        <w:t xml:space="preserve"> possible </w:t>
      </w:r>
      <w:r w:rsidR="006110DE">
        <w:rPr>
          <w:noProof/>
        </w:rPr>
        <w:t xml:space="preserve">exception </w:t>
      </w:r>
      <w:r w:rsidR="00922A49">
        <w:rPr>
          <w:noProof/>
        </w:rPr>
        <w:t>wa</w:t>
      </w:r>
      <w:r w:rsidR="00220B06">
        <w:rPr>
          <w:noProof/>
        </w:rPr>
        <w:t>s that the P3 and P4 complet</w:t>
      </w:r>
      <w:r w:rsidR="00922A49">
        <w:rPr>
          <w:noProof/>
        </w:rPr>
        <w:t>ed</w:t>
      </w:r>
      <w:r w:rsidR="006110DE">
        <w:rPr>
          <w:noProof/>
        </w:rPr>
        <w:t xml:space="preserve"> </w:t>
      </w:r>
      <w:r w:rsidR="00374DE6">
        <w:rPr>
          <w:noProof/>
        </w:rPr>
        <w:t xml:space="preserve">mineralization </w:t>
      </w:r>
      <w:r w:rsidR="006110DE">
        <w:rPr>
          <w:noProof/>
        </w:rPr>
        <w:t xml:space="preserve">at the same time in </w:t>
      </w:r>
      <w:r w:rsidR="006110DE" w:rsidRPr="003B2E9B">
        <w:rPr>
          <w:i/>
          <w:noProof/>
        </w:rPr>
        <w:t>Pan paniscus</w:t>
      </w:r>
      <w:r w:rsidR="00922A49">
        <w:rPr>
          <w:noProof/>
        </w:rPr>
        <w:t>, while there wa</w:t>
      </w:r>
      <w:r w:rsidR="006110DE">
        <w:rPr>
          <w:noProof/>
        </w:rPr>
        <w:t xml:space="preserve">s an offset in </w:t>
      </w:r>
      <w:r w:rsidR="006110DE">
        <w:rPr>
          <w:i/>
          <w:noProof/>
        </w:rPr>
        <w:t xml:space="preserve">Pan troglodytes </w:t>
      </w:r>
      <w:r w:rsidR="00922A49">
        <w:rPr>
          <w:noProof/>
        </w:rPr>
        <w:t>with P3 completing</w:t>
      </w:r>
      <w:r w:rsidR="00001A9C">
        <w:rPr>
          <w:noProof/>
        </w:rPr>
        <w:t xml:space="preserve"> before P4.  Table 2.10</w:t>
      </w:r>
      <w:r w:rsidR="006110DE" w:rsidRPr="00F62E9C">
        <w:rPr>
          <w:noProof/>
          <w:color w:val="000000" w:themeColor="text1"/>
        </w:rPr>
        <w:t xml:space="preserve"> </w:t>
      </w:r>
      <w:r w:rsidR="006110DE">
        <w:rPr>
          <w:noProof/>
        </w:rPr>
        <w:t>illustrates differences in completion timing found in emergence and mineralization.  It should be noted that this table does not indicate reported polymorph</w:t>
      </w:r>
      <w:r w:rsidR="006110DE" w:rsidRPr="001708C0">
        <w:rPr>
          <w:noProof/>
          <w:color w:val="000000" w:themeColor="text1"/>
        </w:rPr>
        <w:t>isms for the sake of simplicity</w:t>
      </w:r>
      <w:r w:rsidR="00F32200" w:rsidRPr="001708C0">
        <w:rPr>
          <w:noProof/>
          <w:color w:val="000000" w:themeColor="text1"/>
        </w:rPr>
        <w:t>, and the level of p</w:t>
      </w:r>
      <w:r w:rsidR="006110DE" w:rsidRPr="001708C0">
        <w:rPr>
          <w:noProof/>
          <w:color w:val="000000" w:themeColor="text1"/>
        </w:rPr>
        <w:t>olymorphisms do vary between studies.</w:t>
      </w:r>
    </w:p>
    <w:p w:rsidR="00E94CEE" w:rsidRDefault="00E94CEE">
      <w:pPr>
        <w:spacing w:before="0" w:after="200" w:line="276" w:lineRule="auto"/>
        <w:jc w:val="left"/>
        <w:rPr>
          <w:b/>
          <w:bCs/>
          <w:szCs w:val="18"/>
        </w:rPr>
      </w:pPr>
      <w:r>
        <w:rPr>
          <w:b/>
        </w:rPr>
        <w:br w:type="page"/>
      </w:r>
    </w:p>
    <w:p w:rsidR="006110DE" w:rsidRPr="00D557BE" w:rsidRDefault="00D557BE" w:rsidP="00D557BE">
      <w:pPr>
        <w:pStyle w:val="Caption"/>
        <w:keepNext/>
        <w:jc w:val="left"/>
      </w:pPr>
      <w:bookmarkStart w:id="71" w:name="_Toc373180111"/>
      <w:proofErr w:type="gramStart"/>
      <w:r w:rsidRPr="00D557BE">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10</w:t>
      </w:r>
      <w:r w:rsidR="008943E4">
        <w:rPr>
          <w:b/>
        </w:rPr>
        <w:fldChar w:fldCharType="end"/>
      </w:r>
      <w:r>
        <w:t xml:space="preserve"> </w:t>
      </w:r>
      <w:r w:rsidR="00A57CC1">
        <w:t xml:space="preserve"> </w:t>
      </w:r>
      <w:r w:rsidR="006110DE" w:rsidRPr="001708C0">
        <w:t xml:space="preserve">Sequence </w:t>
      </w:r>
      <w:r w:rsidR="006110DE" w:rsidRPr="00D36477">
        <w:t xml:space="preserve">variations in completion order reported for mandibular </w:t>
      </w:r>
      <w:r w:rsidR="006110DE" w:rsidRPr="00D36477">
        <w:rPr>
          <w:i/>
        </w:rPr>
        <w:t xml:space="preserve">Pan </w:t>
      </w:r>
      <w:proofErr w:type="gramStart"/>
      <w:r w:rsidR="006110DE" w:rsidRPr="00D36477">
        <w:rPr>
          <w:i/>
        </w:rPr>
        <w:t>paniscus</w:t>
      </w:r>
      <w:proofErr w:type="gramEnd"/>
      <w:r w:rsidR="006110DE" w:rsidRPr="00D36477">
        <w:t xml:space="preserve"> and comparison to </w:t>
      </w:r>
      <w:r w:rsidR="006110DE" w:rsidRPr="00D36477">
        <w:rPr>
          <w:i/>
        </w:rPr>
        <w:t>Pan</w:t>
      </w:r>
      <w:r w:rsidR="00EA5623" w:rsidRPr="00D36477">
        <w:rPr>
          <w:i/>
        </w:rPr>
        <w:t xml:space="preserve"> troglodytes</w:t>
      </w:r>
      <w:r w:rsidR="006110DE" w:rsidRPr="00D36477">
        <w:t>.</w:t>
      </w:r>
      <w:bookmarkEnd w:id="71"/>
    </w:p>
    <w:tbl>
      <w:tblPr>
        <w:tblW w:w="9214" w:type="dxa"/>
        <w:jc w:val="center"/>
        <w:tblInd w:w="93" w:type="dxa"/>
        <w:tblBorders>
          <w:top w:val="single" w:sz="4" w:space="0" w:color="auto"/>
          <w:bottom w:val="single" w:sz="4" w:space="0" w:color="auto"/>
        </w:tblBorders>
        <w:tblLook w:val="04A0" w:firstRow="1" w:lastRow="0" w:firstColumn="1" w:lastColumn="0" w:noHBand="0" w:noVBand="1"/>
      </w:tblPr>
      <w:tblGrid>
        <w:gridCol w:w="4823"/>
        <w:gridCol w:w="595"/>
        <w:gridCol w:w="466"/>
        <w:gridCol w:w="522"/>
        <w:gridCol w:w="522"/>
        <w:gridCol w:w="522"/>
        <w:gridCol w:w="522"/>
        <w:gridCol w:w="533"/>
        <w:gridCol w:w="709"/>
      </w:tblGrid>
      <w:tr w:rsidR="00A57CC1" w:rsidRPr="00D36477" w:rsidTr="00CA5FBB">
        <w:trPr>
          <w:trHeight w:val="300"/>
          <w:jc w:val="center"/>
        </w:trPr>
        <w:tc>
          <w:tcPr>
            <w:tcW w:w="4823" w:type="dxa"/>
            <w:vMerge w:val="restart"/>
            <w:tcBorders>
              <w:top w:val="single" w:sz="4" w:space="0" w:color="auto"/>
              <w:bottom w:val="single" w:sz="4" w:space="0" w:color="auto"/>
            </w:tcBorders>
            <w:shd w:val="clear" w:color="auto" w:fill="auto"/>
            <w:noWrap/>
            <w:vAlign w:val="center"/>
            <w:hideMark/>
          </w:tcPr>
          <w:p w:rsidR="00A35CA0" w:rsidRPr="00CA5FBB" w:rsidRDefault="00387915" w:rsidP="00CA5FBB">
            <w:pPr>
              <w:spacing w:before="0" w:line="240" w:lineRule="auto"/>
              <w:jc w:val="center"/>
              <w:rPr>
                <w:rFonts w:eastAsia="Times New Roman"/>
                <w:b/>
                <w:color w:val="000000" w:themeColor="text1"/>
                <w:lang w:val="en-GB" w:eastAsia="en-GB"/>
              </w:rPr>
            </w:pPr>
            <w:r>
              <w:rPr>
                <w:rFonts w:eastAsia="Times New Roman"/>
                <w:b/>
                <w:color w:val="000000" w:themeColor="text1"/>
                <w:lang w:val="en-GB" w:eastAsia="en-GB"/>
              </w:rPr>
              <w:t>s</w:t>
            </w:r>
            <w:r w:rsidR="008943E4" w:rsidRPr="00CA5FBB">
              <w:rPr>
                <w:rFonts w:eastAsia="Times New Roman"/>
                <w:b/>
                <w:color w:val="000000" w:themeColor="text1"/>
                <w:lang w:val="en-GB" w:eastAsia="en-GB"/>
              </w:rPr>
              <w:t>pecies (study)</w:t>
            </w:r>
          </w:p>
        </w:tc>
        <w:tc>
          <w:tcPr>
            <w:tcW w:w="595" w:type="dxa"/>
            <w:tcBorders>
              <w:top w:val="single" w:sz="4" w:space="0" w:color="auto"/>
              <w:bottom w:val="single" w:sz="4" w:space="0" w:color="auto"/>
            </w:tcBorders>
            <w:shd w:val="clear" w:color="auto" w:fill="auto"/>
            <w:noWrap/>
            <w:vAlign w:val="bottom"/>
            <w:hideMark/>
          </w:tcPr>
          <w:p w:rsidR="00A57CC1" w:rsidRPr="00A57CC1" w:rsidRDefault="00A57CC1" w:rsidP="001708C0">
            <w:pPr>
              <w:spacing w:before="0" w:line="240" w:lineRule="auto"/>
              <w:rPr>
                <w:rFonts w:eastAsia="Times New Roman"/>
                <w:color w:val="000000" w:themeColor="text1"/>
                <w:lang w:val="en-GB" w:eastAsia="en-GB"/>
              </w:rPr>
            </w:pPr>
            <w:r w:rsidRPr="00A57CC1">
              <w:rPr>
                <w:rFonts w:eastAsia="Times New Roman"/>
                <w:color w:val="000000" w:themeColor="text1"/>
                <w:lang w:val="en-GB" w:eastAsia="en-GB"/>
              </w:rPr>
              <w:t> </w:t>
            </w:r>
          </w:p>
        </w:tc>
        <w:tc>
          <w:tcPr>
            <w:tcW w:w="466" w:type="dxa"/>
            <w:tcBorders>
              <w:top w:val="single" w:sz="4" w:space="0" w:color="auto"/>
              <w:bottom w:val="single" w:sz="4" w:space="0" w:color="auto"/>
            </w:tcBorders>
            <w:shd w:val="clear" w:color="auto" w:fill="auto"/>
            <w:noWrap/>
            <w:vAlign w:val="bottom"/>
            <w:hideMark/>
          </w:tcPr>
          <w:p w:rsidR="00A57CC1" w:rsidRPr="00A57CC1" w:rsidRDefault="00A57CC1" w:rsidP="001708C0">
            <w:pPr>
              <w:spacing w:before="0" w:line="240" w:lineRule="auto"/>
              <w:rPr>
                <w:rFonts w:eastAsia="Times New Roman"/>
                <w:color w:val="000000" w:themeColor="text1"/>
                <w:lang w:val="en-GB" w:eastAsia="en-GB"/>
              </w:rPr>
            </w:pPr>
            <w:r w:rsidRPr="00A57CC1">
              <w:rPr>
                <w:rFonts w:eastAsia="Times New Roman"/>
                <w:color w:val="000000" w:themeColor="text1"/>
                <w:lang w:val="en-GB" w:eastAsia="en-GB"/>
              </w:rPr>
              <w:t> </w:t>
            </w:r>
          </w:p>
        </w:tc>
        <w:tc>
          <w:tcPr>
            <w:tcW w:w="522" w:type="dxa"/>
            <w:tcBorders>
              <w:top w:val="single" w:sz="4" w:space="0" w:color="auto"/>
              <w:bottom w:val="single" w:sz="4" w:space="0" w:color="auto"/>
            </w:tcBorders>
            <w:shd w:val="clear" w:color="auto" w:fill="auto"/>
            <w:noWrap/>
            <w:vAlign w:val="bottom"/>
            <w:hideMark/>
          </w:tcPr>
          <w:p w:rsidR="00A57CC1" w:rsidRPr="00A57CC1" w:rsidRDefault="00A57CC1" w:rsidP="001708C0">
            <w:pPr>
              <w:spacing w:before="0" w:line="240" w:lineRule="auto"/>
              <w:rPr>
                <w:rFonts w:eastAsia="Times New Roman"/>
                <w:color w:val="000000" w:themeColor="text1"/>
                <w:lang w:val="en-GB" w:eastAsia="en-GB"/>
              </w:rPr>
            </w:pPr>
            <w:r w:rsidRPr="00A57CC1">
              <w:rPr>
                <w:rFonts w:eastAsia="Times New Roman"/>
                <w:color w:val="000000" w:themeColor="text1"/>
                <w:lang w:val="en-GB" w:eastAsia="en-GB"/>
              </w:rPr>
              <w:t> </w:t>
            </w:r>
          </w:p>
        </w:tc>
        <w:tc>
          <w:tcPr>
            <w:tcW w:w="522" w:type="dxa"/>
            <w:tcBorders>
              <w:top w:val="single" w:sz="4" w:space="0" w:color="auto"/>
              <w:bottom w:val="single" w:sz="4" w:space="0" w:color="auto"/>
            </w:tcBorders>
            <w:shd w:val="clear" w:color="auto" w:fill="auto"/>
            <w:noWrap/>
            <w:vAlign w:val="bottom"/>
            <w:hideMark/>
          </w:tcPr>
          <w:p w:rsidR="00A57CC1" w:rsidRPr="00A57CC1" w:rsidRDefault="00A57CC1" w:rsidP="001708C0">
            <w:pPr>
              <w:spacing w:before="0" w:line="240" w:lineRule="auto"/>
              <w:rPr>
                <w:rFonts w:eastAsia="Times New Roman"/>
                <w:color w:val="000000" w:themeColor="text1"/>
                <w:lang w:val="en-GB" w:eastAsia="en-GB"/>
              </w:rPr>
            </w:pPr>
            <w:r w:rsidRPr="00A57CC1">
              <w:rPr>
                <w:rFonts w:eastAsia="Times New Roman"/>
                <w:color w:val="000000" w:themeColor="text1"/>
                <w:lang w:val="en-GB" w:eastAsia="en-GB"/>
              </w:rPr>
              <w:t> </w:t>
            </w:r>
          </w:p>
        </w:tc>
        <w:tc>
          <w:tcPr>
            <w:tcW w:w="1044" w:type="dxa"/>
            <w:gridSpan w:val="2"/>
            <w:tcBorders>
              <w:top w:val="single" w:sz="4" w:space="0" w:color="auto"/>
              <w:bottom w:val="single" w:sz="4" w:space="0" w:color="auto"/>
            </w:tcBorders>
            <w:shd w:val="clear" w:color="auto" w:fill="auto"/>
            <w:noWrap/>
            <w:vAlign w:val="bottom"/>
            <w:hideMark/>
          </w:tcPr>
          <w:p w:rsidR="00A57CC1" w:rsidRPr="00CA5FBB" w:rsidRDefault="00387915" w:rsidP="001708C0">
            <w:pPr>
              <w:spacing w:before="0" w:line="240" w:lineRule="auto"/>
              <w:rPr>
                <w:rFonts w:eastAsia="Times New Roman"/>
                <w:b/>
                <w:color w:val="000000" w:themeColor="text1"/>
                <w:lang w:val="en-GB" w:eastAsia="en-GB"/>
              </w:rPr>
            </w:pPr>
            <w:r>
              <w:rPr>
                <w:rFonts w:eastAsia="Times New Roman"/>
                <w:b/>
                <w:color w:val="000000" w:themeColor="text1"/>
                <w:lang w:val="en-GB" w:eastAsia="en-GB"/>
              </w:rPr>
              <w:t>o</w:t>
            </w:r>
            <w:r w:rsidR="008943E4" w:rsidRPr="00CA5FBB">
              <w:rPr>
                <w:rFonts w:eastAsia="Times New Roman"/>
                <w:b/>
                <w:color w:val="000000" w:themeColor="text1"/>
                <w:lang w:val="en-GB" w:eastAsia="en-GB"/>
              </w:rPr>
              <w:t>rder</w:t>
            </w:r>
          </w:p>
        </w:tc>
        <w:tc>
          <w:tcPr>
            <w:tcW w:w="533" w:type="dxa"/>
            <w:tcBorders>
              <w:top w:val="single" w:sz="4" w:space="0" w:color="auto"/>
              <w:bottom w:val="single" w:sz="4" w:space="0" w:color="auto"/>
            </w:tcBorders>
            <w:shd w:val="clear" w:color="auto" w:fill="auto"/>
            <w:noWrap/>
            <w:vAlign w:val="bottom"/>
            <w:hideMark/>
          </w:tcPr>
          <w:p w:rsidR="00A57CC1" w:rsidRPr="00A57CC1" w:rsidRDefault="00A57CC1" w:rsidP="001708C0">
            <w:pPr>
              <w:spacing w:before="0" w:line="240" w:lineRule="auto"/>
              <w:rPr>
                <w:rFonts w:eastAsia="Times New Roman"/>
                <w:color w:val="000000" w:themeColor="text1"/>
                <w:lang w:val="en-GB" w:eastAsia="en-GB"/>
              </w:rPr>
            </w:pPr>
            <w:r w:rsidRPr="00A57CC1">
              <w:rPr>
                <w:rFonts w:eastAsia="Times New Roman"/>
                <w:color w:val="000000" w:themeColor="text1"/>
                <w:lang w:val="en-GB" w:eastAsia="en-GB"/>
              </w:rPr>
              <w:t> </w:t>
            </w:r>
          </w:p>
        </w:tc>
        <w:tc>
          <w:tcPr>
            <w:tcW w:w="709" w:type="dxa"/>
            <w:tcBorders>
              <w:top w:val="single" w:sz="4" w:space="0" w:color="auto"/>
              <w:bottom w:val="single" w:sz="4" w:space="0" w:color="auto"/>
            </w:tcBorders>
            <w:shd w:val="clear" w:color="auto" w:fill="auto"/>
            <w:noWrap/>
            <w:vAlign w:val="bottom"/>
            <w:hideMark/>
          </w:tcPr>
          <w:p w:rsidR="00A57CC1" w:rsidRPr="00A57CC1" w:rsidRDefault="00A57CC1" w:rsidP="001708C0">
            <w:pPr>
              <w:spacing w:before="0" w:line="240" w:lineRule="auto"/>
              <w:rPr>
                <w:rFonts w:eastAsia="Times New Roman"/>
                <w:color w:val="000000" w:themeColor="text1"/>
                <w:lang w:val="en-GB" w:eastAsia="en-GB"/>
              </w:rPr>
            </w:pPr>
            <w:r w:rsidRPr="00A57CC1">
              <w:rPr>
                <w:rFonts w:eastAsia="Times New Roman"/>
                <w:color w:val="000000" w:themeColor="text1"/>
                <w:lang w:val="en-GB" w:eastAsia="en-GB"/>
              </w:rPr>
              <w:t> </w:t>
            </w:r>
          </w:p>
        </w:tc>
      </w:tr>
      <w:tr w:rsidR="00A57CC1" w:rsidRPr="00D36477" w:rsidTr="00CA5FBB">
        <w:trPr>
          <w:trHeight w:val="300"/>
          <w:jc w:val="center"/>
        </w:trPr>
        <w:tc>
          <w:tcPr>
            <w:tcW w:w="4823" w:type="dxa"/>
            <w:vMerge/>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p>
        </w:tc>
        <w:tc>
          <w:tcPr>
            <w:tcW w:w="595" w:type="dxa"/>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r w:rsidRPr="00A57CC1">
              <w:rPr>
                <w:rFonts w:eastAsia="Times New Roman"/>
                <w:color w:val="000000" w:themeColor="text1"/>
                <w:lang w:val="en-GB" w:eastAsia="en-GB"/>
              </w:rPr>
              <w:t>1</w:t>
            </w:r>
            <w:r w:rsidRPr="00A57CC1">
              <w:rPr>
                <w:rFonts w:eastAsia="Times New Roman"/>
                <w:color w:val="000000" w:themeColor="text1"/>
                <w:vertAlign w:val="superscript"/>
                <w:lang w:val="en-GB" w:eastAsia="en-GB"/>
              </w:rPr>
              <w:t>st</w:t>
            </w:r>
          </w:p>
        </w:tc>
        <w:tc>
          <w:tcPr>
            <w:tcW w:w="466" w:type="dxa"/>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r w:rsidRPr="00A57CC1">
              <w:rPr>
                <w:rFonts w:eastAsia="Times New Roman"/>
                <w:color w:val="000000" w:themeColor="text1"/>
                <w:lang w:val="en-GB" w:eastAsia="en-GB"/>
              </w:rPr>
              <w:t>2</w:t>
            </w:r>
            <w:r w:rsidRPr="00A57CC1">
              <w:rPr>
                <w:rFonts w:eastAsia="Times New Roman"/>
                <w:color w:val="000000" w:themeColor="text1"/>
                <w:vertAlign w:val="superscript"/>
                <w:lang w:val="en-GB" w:eastAsia="en-GB"/>
              </w:rPr>
              <w:t>nd</w:t>
            </w:r>
          </w:p>
        </w:tc>
        <w:tc>
          <w:tcPr>
            <w:tcW w:w="522" w:type="dxa"/>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r w:rsidRPr="00A57CC1">
              <w:rPr>
                <w:rFonts w:eastAsia="Times New Roman"/>
                <w:color w:val="000000" w:themeColor="text1"/>
                <w:lang w:val="en-GB" w:eastAsia="en-GB"/>
              </w:rPr>
              <w:t>3</w:t>
            </w:r>
            <w:r w:rsidRPr="00A57CC1">
              <w:rPr>
                <w:rFonts w:eastAsia="Times New Roman"/>
                <w:color w:val="000000" w:themeColor="text1"/>
                <w:vertAlign w:val="superscript"/>
                <w:lang w:val="en-GB" w:eastAsia="en-GB"/>
              </w:rPr>
              <w:t>rd</w:t>
            </w:r>
          </w:p>
        </w:tc>
        <w:tc>
          <w:tcPr>
            <w:tcW w:w="522" w:type="dxa"/>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r w:rsidRPr="00A57CC1">
              <w:rPr>
                <w:rFonts w:eastAsia="Times New Roman"/>
                <w:color w:val="000000" w:themeColor="text1"/>
                <w:lang w:val="en-GB" w:eastAsia="en-GB"/>
              </w:rPr>
              <w:t>4</w:t>
            </w:r>
            <w:r w:rsidR="008943E4" w:rsidRPr="00CA5FBB">
              <w:rPr>
                <w:rFonts w:eastAsia="Times New Roman"/>
                <w:color w:val="000000" w:themeColor="text1"/>
                <w:vertAlign w:val="superscript"/>
                <w:lang w:val="en-GB" w:eastAsia="en-GB"/>
              </w:rPr>
              <w:t>th</w:t>
            </w:r>
          </w:p>
        </w:tc>
        <w:tc>
          <w:tcPr>
            <w:tcW w:w="522" w:type="dxa"/>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r w:rsidRPr="00A57CC1">
              <w:rPr>
                <w:rFonts w:eastAsia="Times New Roman"/>
                <w:color w:val="000000" w:themeColor="text1"/>
                <w:lang w:val="en-GB" w:eastAsia="en-GB"/>
              </w:rPr>
              <w:t>5</w:t>
            </w:r>
            <w:r w:rsidRPr="00A57CC1">
              <w:rPr>
                <w:rFonts w:eastAsia="Times New Roman"/>
                <w:color w:val="000000" w:themeColor="text1"/>
                <w:vertAlign w:val="superscript"/>
                <w:lang w:val="en-GB" w:eastAsia="en-GB"/>
              </w:rPr>
              <w:t>th</w:t>
            </w:r>
          </w:p>
        </w:tc>
        <w:tc>
          <w:tcPr>
            <w:tcW w:w="522" w:type="dxa"/>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r w:rsidRPr="00A57CC1">
              <w:rPr>
                <w:rFonts w:eastAsia="Times New Roman"/>
                <w:color w:val="000000" w:themeColor="text1"/>
                <w:lang w:val="en-GB" w:eastAsia="en-GB"/>
              </w:rPr>
              <w:t>6</w:t>
            </w:r>
            <w:r w:rsidR="008943E4" w:rsidRPr="00CA5FBB">
              <w:rPr>
                <w:rFonts w:eastAsia="Times New Roman"/>
                <w:color w:val="000000" w:themeColor="text1"/>
                <w:vertAlign w:val="superscript"/>
                <w:lang w:val="en-GB" w:eastAsia="en-GB"/>
              </w:rPr>
              <w:t>th</w:t>
            </w:r>
          </w:p>
        </w:tc>
        <w:tc>
          <w:tcPr>
            <w:tcW w:w="533" w:type="dxa"/>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r w:rsidRPr="00A57CC1">
              <w:rPr>
                <w:rFonts w:eastAsia="Times New Roman"/>
                <w:color w:val="000000" w:themeColor="text1"/>
                <w:lang w:val="en-GB" w:eastAsia="en-GB"/>
              </w:rPr>
              <w:t>7</w:t>
            </w:r>
            <w:r w:rsidR="008943E4" w:rsidRPr="00CA5FBB">
              <w:rPr>
                <w:rFonts w:eastAsia="Times New Roman"/>
                <w:color w:val="000000" w:themeColor="text1"/>
                <w:vertAlign w:val="superscript"/>
                <w:lang w:val="en-GB" w:eastAsia="en-GB"/>
              </w:rPr>
              <w:t>th</w:t>
            </w:r>
          </w:p>
        </w:tc>
        <w:tc>
          <w:tcPr>
            <w:tcW w:w="709" w:type="dxa"/>
            <w:tcBorders>
              <w:top w:val="single" w:sz="4" w:space="0" w:color="auto"/>
              <w:bottom w:val="single" w:sz="4" w:space="0" w:color="auto"/>
            </w:tcBorders>
            <w:shd w:val="clear" w:color="auto" w:fill="auto"/>
            <w:noWrap/>
            <w:vAlign w:val="center"/>
            <w:hideMark/>
          </w:tcPr>
          <w:p w:rsidR="00A57CC1" w:rsidRPr="00A57CC1" w:rsidRDefault="00A57CC1" w:rsidP="001708C0">
            <w:pPr>
              <w:spacing w:before="0" w:line="240" w:lineRule="auto"/>
              <w:jc w:val="center"/>
              <w:rPr>
                <w:rFonts w:eastAsia="Times New Roman"/>
                <w:color w:val="000000" w:themeColor="text1"/>
                <w:lang w:val="en-GB" w:eastAsia="en-GB"/>
              </w:rPr>
            </w:pPr>
            <w:r w:rsidRPr="00A57CC1">
              <w:rPr>
                <w:rFonts w:eastAsia="Times New Roman"/>
                <w:color w:val="000000" w:themeColor="text1"/>
                <w:lang w:val="en-GB" w:eastAsia="en-GB"/>
              </w:rPr>
              <w:t>8</w:t>
            </w:r>
            <w:r w:rsidRPr="00A57CC1">
              <w:rPr>
                <w:rFonts w:eastAsia="Times New Roman"/>
                <w:color w:val="000000" w:themeColor="text1"/>
                <w:vertAlign w:val="superscript"/>
                <w:lang w:val="en-GB" w:eastAsia="en-GB"/>
              </w:rPr>
              <w:t>th</w:t>
            </w:r>
          </w:p>
        </w:tc>
      </w:tr>
      <w:tr w:rsidR="00D36477" w:rsidRPr="00D36477" w:rsidTr="00CA5FBB">
        <w:trPr>
          <w:trHeight w:val="300"/>
          <w:jc w:val="center"/>
        </w:trPr>
        <w:tc>
          <w:tcPr>
            <w:tcW w:w="4823" w:type="dxa"/>
            <w:tcBorders>
              <w:top w:val="single" w:sz="4" w:space="0" w:color="auto"/>
            </w:tcBorders>
            <w:shd w:val="clear" w:color="auto" w:fill="auto"/>
            <w:noWrap/>
            <w:vAlign w:val="center"/>
            <w:hideMark/>
          </w:tcPr>
          <w:p w:rsidR="006110DE" w:rsidRPr="00D36477" w:rsidRDefault="006110DE" w:rsidP="001708C0">
            <w:pPr>
              <w:spacing w:before="0" w:line="240" w:lineRule="auto"/>
              <w:rPr>
                <w:rFonts w:eastAsia="Times New Roman"/>
                <w:color w:val="000000" w:themeColor="text1"/>
                <w:lang w:val="en-GB" w:eastAsia="en-GB"/>
              </w:rPr>
            </w:pPr>
            <w:r w:rsidRPr="00D36477">
              <w:rPr>
                <w:rFonts w:eastAsia="Times New Roman"/>
                <w:i/>
                <w:iCs/>
                <w:color w:val="000000" w:themeColor="text1"/>
                <w:lang w:val="en-GB" w:eastAsia="en-GB"/>
              </w:rPr>
              <w:t>P. paniscus</w:t>
            </w:r>
            <w:r w:rsidRPr="00D36477">
              <w:rPr>
                <w:rFonts w:eastAsia="Times New Roman"/>
                <w:color w:val="000000" w:themeColor="text1"/>
                <w:lang w:val="en-GB" w:eastAsia="en-GB"/>
              </w:rPr>
              <w:t xml:space="preserve"> emergence (Bolter and Zihlman 2011)</w:t>
            </w:r>
          </w:p>
        </w:tc>
        <w:tc>
          <w:tcPr>
            <w:tcW w:w="595" w:type="dxa"/>
            <w:tcBorders>
              <w:top w:val="single" w:sz="4" w:space="0" w:color="auto"/>
            </w:tcBorders>
            <w:shd w:val="clear" w:color="auto" w:fill="auto"/>
            <w:noWrap/>
            <w:vAlign w:val="center"/>
            <w:hideMark/>
          </w:tcPr>
          <w:p w:rsidR="006110DE" w:rsidRPr="00D36477" w:rsidRDefault="006110DE" w:rsidP="001708C0">
            <w:pPr>
              <w:spacing w:before="0" w:line="240" w:lineRule="auto"/>
              <w:jc w:val="center"/>
              <w:rPr>
                <w:rFonts w:eastAsia="Times New Roman"/>
                <w:color w:val="000000" w:themeColor="text1"/>
                <w:lang w:val="en-GB" w:eastAsia="en-GB"/>
              </w:rPr>
            </w:pPr>
            <w:r w:rsidRPr="00D36477">
              <w:rPr>
                <w:noProof/>
                <w:color w:val="000000" w:themeColor="text1"/>
              </w:rPr>
              <w:t>[</w:t>
            </w:r>
            <w:r w:rsidRPr="00D36477">
              <w:rPr>
                <w:rFonts w:eastAsia="Times New Roman"/>
                <w:color w:val="000000" w:themeColor="text1"/>
                <w:lang w:val="en-GB" w:eastAsia="en-GB"/>
              </w:rPr>
              <w:t>M1</w:t>
            </w:r>
          </w:p>
        </w:tc>
        <w:tc>
          <w:tcPr>
            <w:tcW w:w="466" w:type="dxa"/>
            <w:tcBorders>
              <w:top w:val="single" w:sz="4" w:space="0" w:color="auto"/>
            </w:tcBorders>
            <w:shd w:val="clear" w:color="auto" w:fill="auto"/>
            <w:noWrap/>
            <w:vAlign w:val="center"/>
            <w:hideMark/>
          </w:tcPr>
          <w:p w:rsidR="006110DE" w:rsidRPr="00D36477" w:rsidRDefault="006110DE" w:rsidP="001708C0">
            <w:pPr>
              <w:spacing w:before="0" w:line="240" w:lineRule="auto"/>
              <w:jc w:val="center"/>
              <w:rPr>
                <w:rFonts w:eastAsia="Times New Roman"/>
                <w:color w:val="000000" w:themeColor="text1"/>
                <w:lang w:val="en-GB" w:eastAsia="en-GB"/>
              </w:rPr>
            </w:pPr>
            <w:r w:rsidRPr="00D36477">
              <w:rPr>
                <w:rFonts w:eastAsia="Times New Roman"/>
                <w:color w:val="000000" w:themeColor="text1"/>
                <w:lang w:val="en-GB" w:eastAsia="en-GB"/>
              </w:rPr>
              <w:t>I1</w:t>
            </w:r>
          </w:p>
        </w:tc>
        <w:tc>
          <w:tcPr>
            <w:tcW w:w="522" w:type="dxa"/>
            <w:tcBorders>
              <w:top w:val="single" w:sz="4" w:space="0" w:color="auto"/>
            </w:tcBorders>
            <w:shd w:val="clear" w:color="auto" w:fill="auto"/>
            <w:noWrap/>
            <w:vAlign w:val="center"/>
            <w:hideMark/>
          </w:tcPr>
          <w:p w:rsidR="006110DE" w:rsidRPr="00D36477" w:rsidRDefault="006110DE" w:rsidP="001708C0">
            <w:pPr>
              <w:spacing w:before="0" w:line="240" w:lineRule="auto"/>
              <w:jc w:val="center"/>
              <w:rPr>
                <w:rFonts w:eastAsia="Times New Roman"/>
                <w:bCs/>
                <w:color w:val="000000" w:themeColor="text1"/>
                <w:lang w:val="en-GB" w:eastAsia="en-GB"/>
              </w:rPr>
            </w:pPr>
            <w:r w:rsidRPr="00D36477">
              <w:rPr>
                <w:rFonts w:eastAsia="Times New Roman"/>
                <w:bCs/>
                <w:color w:val="000000" w:themeColor="text1"/>
                <w:lang w:val="en-GB" w:eastAsia="en-GB"/>
              </w:rPr>
              <w:t>P4</w:t>
            </w:r>
          </w:p>
        </w:tc>
        <w:tc>
          <w:tcPr>
            <w:tcW w:w="522" w:type="dxa"/>
            <w:tcBorders>
              <w:top w:val="single" w:sz="4" w:space="0" w:color="auto"/>
            </w:tcBorders>
            <w:shd w:val="clear" w:color="auto" w:fill="auto"/>
            <w:noWrap/>
            <w:vAlign w:val="center"/>
            <w:hideMark/>
          </w:tcPr>
          <w:p w:rsidR="006110DE" w:rsidRPr="00D36477" w:rsidRDefault="006110DE" w:rsidP="001708C0">
            <w:pPr>
              <w:spacing w:before="0" w:line="240" w:lineRule="auto"/>
              <w:jc w:val="center"/>
              <w:rPr>
                <w:rFonts w:eastAsia="Times New Roman"/>
                <w:bCs/>
                <w:color w:val="000000" w:themeColor="text1"/>
                <w:lang w:val="en-GB" w:eastAsia="en-GB"/>
              </w:rPr>
            </w:pPr>
            <w:r w:rsidRPr="00D36477">
              <w:rPr>
                <w:rFonts w:eastAsia="Times New Roman"/>
                <w:bCs/>
                <w:color w:val="000000" w:themeColor="text1"/>
                <w:lang w:val="en-GB" w:eastAsia="en-GB"/>
              </w:rPr>
              <w:t>M2</w:t>
            </w:r>
          </w:p>
        </w:tc>
        <w:tc>
          <w:tcPr>
            <w:tcW w:w="522" w:type="dxa"/>
            <w:tcBorders>
              <w:top w:val="single" w:sz="4" w:space="0" w:color="auto"/>
            </w:tcBorders>
            <w:shd w:val="clear" w:color="auto" w:fill="auto"/>
            <w:noWrap/>
            <w:vAlign w:val="center"/>
            <w:hideMark/>
          </w:tcPr>
          <w:p w:rsidR="006110DE" w:rsidRPr="00D36477" w:rsidRDefault="006110DE" w:rsidP="001708C0">
            <w:pPr>
              <w:spacing w:before="0" w:line="240" w:lineRule="auto"/>
              <w:jc w:val="center"/>
              <w:rPr>
                <w:rFonts w:eastAsia="Times New Roman"/>
                <w:bCs/>
                <w:color w:val="000000" w:themeColor="text1"/>
                <w:lang w:val="en-GB" w:eastAsia="en-GB"/>
              </w:rPr>
            </w:pPr>
            <w:r w:rsidRPr="00D36477">
              <w:rPr>
                <w:rFonts w:eastAsia="Times New Roman"/>
                <w:bCs/>
                <w:color w:val="000000" w:themeColor="text1"/>
                <w:lang w:val="en-GB" w:eastAsia="en-GB"/>
              </w:rPr>
              <w:t>I2</w:t>
            </w:r>
            <w:r w:rsidRPr="00D36477">
              <w:rPr>
                <w:noProof/>
                <w:color w:val="000000" w:themeColor="text1"/>
              </w:rPr>
              <w:t>]</w:t>
            </w:r>
          </w:p>
        </w:tc>
        <w:tc>
          <w:tcPr>
            <w:tcW w:w="522" w:type="dxa"/>
            <w:tcBorders>
              <w:top w:val="single" w:sz="4" w:space="0" w:color="auto"/>
            </w:tcBorders>
            <w:shd w:val="clear" w:color="auto" w:fill="auto"/>
            <w:noWrap/>
            <w:vAlign w:val="center"/>
            <w:hideMark/>
          </w:tcPr>
          <w:p w:rsidR="006110DE" w:rsidRPr="00D36477" w:rsidRDefault="006110DE" w:rsidP="001708C0">
            <w:pPr>
              <w:spacing w:before="0" w:line="240" w:lineRule="auto"/>
              <w:jc w:val="center"/>
              <w:rPr>
                <w:rFonts w:eastAsia="Times New Roman"/>
                <w:bCs/>
                <w:color w:val="000000" w:themeColor="text1"/>
                <w:lang w:val="en-GB" w:eastAsia="en-GB"/>
              </w:rPr>
            </w:pPr>
            <w:r w:rsidRPr="00D36477">
              <w:rPr>
                <w:rFonts w:eastAsia="Times New Roman"/>
                <w:bCs/>
                <w:color w:val="000000" w:themeColor="text1"/>
                <w:lang w:val="en-GB" w:eastAsia="en-GB"/>
              </w:rPr>
              <w:t>P3</w:t>
            </w:r>
          </w:p>
        </w:tc>
        <w:tc>
          <w:tcPr>
            <w:tcW w:w="533" w:type="dxa"/>
            <w:tcBorders>
              <w:top w:val="single" w:sz="4" w:space="0" w:color="auto"/>
            </w:tcBorders>
            <w:shd w:val="clear" w:color="auto" w:fill="auto"/>
            <w:noWrap/>
            <w:vAlign w:val="center"/>
            <w:hideMark/>
          </w:tcPr>
          <w:p w:rsidR="006110DE" w:rsidRPr="00D36477" w:rsidRDefault="006110DE" w:rsidP="001708C0">
            <w:pPr>
              <w:spacing w:before="0" w:line="240" w:lineRule="auto"/>
              <w:jc w:val="center"/>
              <w:rPr>
                <w:rFonts w:eastAsia="Times New Roman"/>
                <w:color w:val="000000" w:themeColor="text1"/>
                <w:lang w:val="en-GB" w:eastAsia="en-GB"/>
              </w:rPr>
            </w:pPr>
            <w:r w:rsidRPr="00D36477">
              <w:rPr>
                <w:rFonts w:eastAsia="Times New Roman"/>
                <w:color w:val="000000" w:themeColor="text1"/>
                <w:lang w:val="en-GB" w:eastAsia="en-GB"/>
              </w:rPr>
              <w:t>C</w:t>
            </w:r>
          </w:p>
        </w:tc>
        <w:tc>
          <w:tcPr>
            <w:tcW w:w="709" w:type="dxa"/>
            <w:tcBorders>
              <w:top w:val="single" w:sz="4" w:space="0" w:color="auto"/>
            </w:tcBorders>
            <w:shd w:val="clear" w:color="auto" w:fill="auto"/>
            <w:noWrap/>
            <w:vAlign w:val="center"/>
            <w:hideMark/>
          </w:tcPr>
          <w:p w:rsidR="006110DE" w:rsidRPr="00D36477" w:rsidRDefault="006110DE" w:rsidP="001708C0">
            <w:pPr>
              <w:spacing w:before="0" w:line="240" w:lineRule="auto"/>
              <w:jc w:val="center"/>
              <w:rPr>
                <w:rFonts w:eastAsia="Times New Roman"/>
                <w:color w:val="000000" w:themeColor="text1"/>
                <w:lang w:val="en-GB" w:eastAsia="en-GB"/>
              </w:rPr>
            </w:pPr>
            <w:r w:rsidRPr="00D36477">
              <w:rPr>
                <w:rFonts w:eastAsia="Times New Roman"/>
                <w:color w:val="000000" w:themeColor="text1"/>
                <w:lang w:val="en-GB" w:eastAsia="en-GB"/>
              </w:rPr>
              <w:t>M3</w:t>
            </w:r>
          </w:p>
        </w:tc>
      </w:tr>
      <w:tr w:rsidR="00D36477" w:rsidRPr="00D36477" w:rsidTr="00CA5FBB">
        <w:trPr>
          <w:trHeight w:val="300"/>
          <w:jc w:val="center"/>
        </w:trPr>
        <w:tc>
          <w:tcPr>
            <w:tcW w:w="4823" w:type="dxa"/>
            <w:shd w:val="clear" w:color="auto" w:fill="auto"/>
            <w:noWrap/>
            <w:vAlign w:val="center"/>
            <w:hideMark/>
          </w:tcPr>
          <w:p w:rsidR="006110DE" w:rsidRPr="00D36477" w:rsidRDefault="006110DE" w:rsidP="001708C0">
            <w:pPr>
              <w:spacing w:before="0" w:line="240" w:lineRule="auto"/>
              <w:rPr>
                <w:rFonts w:eastAsia="Times New Roman"/>
                <w:color w:val="000000" w:themeColor="text1"/>
                <w:lang w:val="en-GB" w:eastAsia="en-GB"/>
              </w:rPr>
            </w:pPr>
            <w:r w:rsidRPr="00D36477">
              <w:rPr>
                <w:rFonts w:eastAsia="Times New Roman"/>
                <w:i/>
                <w:iCs/>
                <w:color w:val="000000" w:themeColor="text1"/>
                <w:lang w:val="en-GB" w:eastAsia="en-GB"/>
              </w:rPr>
              <w:t>P. paniscus</w:t>
            </w:r>
            <w:r w:rsidRPr="00D36477">
              <w:rPr>
                <w:rFonts w:eastAsia="Times New Roman"/>
                <w:color w:val="000000" w:themeColor="text1"/>
                <w:lang w:val="en-GB" w:eastAsia="en-GB"/>
              </w:rPr>
              <w:t xml:space="preserve"> emergence (Kinzey 1984)</w:t>
            </w:r>
          </w:p>
        </w:tc>
        <w:tc>
          <w:tcPr>
            <w:tcW w:w="595" w:type="dxa"/>
            <w:shd w:val="clear" w:color="auto" w:fill="auto"/>
            <w:noWrap/>
            <w:vAlign w:val="center"/>
            <w:hideMark/>
          </w:tcPr>
          <w:p w:rsidR="006110DE" w:rsidRPr="00D36477" w:rsidRDefault="006110DE" w:rsidP="001708C0">
            <w:pPr>
              <w:spacing w:before="0" w:line="240" w:lineRule="auto"/>
              <w:jc w:val="center"/>
              <w:rPr>
                <w:rFonts w:eastAsia="Times New Roman"/>
                <w:color w:val="000000" w:themeColor="text1"/>
                <w:lang w:val="en-GB" w:eastAsia="en-GB"/>
              </w:rPr>
            </w:pPr>
            <w:r w:rsidRPr="00D36477">
              <w:rPr>
                <w:rFonts w:eastAsia="Times New Roman"/>
                <w:color w:val="000000" w:themeColor="text1"/>
                <w:lang w:val="en-GB" w:eastAsia="en-GB"/>
              </w:rPr>
              <w:t>M1</w:t>
            </w:r>
          </w:p>
        </w:tc>
        <w:tc>
          <w:tcPr>
            <w:tcW w:w="466" w:type="dxa"/>
            <w:shd w:val="clear" w:color="auto" w:fill="auto"/>
            <w:noWrap/>
            <w:vAlign w:val="center"/>
            <w:hideMark/>
          </w:tcPr>
          <w:p w:rsidR="006110DE" w:rsidRPr="00D36477" w:rsidRDefault="006110DE" w:rsidP="001708C0">
            <w:pPr>
              <w:spacing w:before="0" w:line="240" w:lineRule="auto"/>
              <w:jc w:val="center"/>
              <w:rPr>
                <w:rFonts w:eastAsia="Times New Roman"/>
                <w:color w:val="000000" w:themeColor="text1"/>
                <w:lang w:val="en-GB" w:eastAsia="en-GB"/>
              </w:rPr>
            </w:pPr>
            <w:r w:rsidRPr="00D36477">
              <w:rPr>
                <w:rFonts w:eastAsia="Times New Roman"/>
                <w:color w:val="000000" w:themeColor="text1"/>
                <w:lang w:val="en-GB" w:eastAsia="en-GB"/>
              </w:rPr>
              <w:t>I1</w:t>
            </w:r>
          </w:p>
        </w:tc>
        <w:tc>
          <w:tcPr>
            <w:tcW w:w="522" w:type="dxa"/>
            <w:shd w:val="clear" w:color="auto" w:fill="auto"/>
            <w:noWrap/>
            <w:vAlign w:val="center"/>
            <w:hideMark/>
          </w:tcPr>
          <w:p w:rsidR="006110DE" w:rsidRPr="00D36477" w:rsidRDefault="006110DE" w:rsidP="001708C0">
            <w:pPr>
              <w:spacing w:before="0" w:line="240" w:lineRule="auto"/>
              <w:jc w:val="center"/>
              <w:rPr>
                <w:rFonts w:eastAsia="Times New Roman"/>
                <w:bCs/>
                <w:color w:val="000000" w:themeColor="text1"/>
                <w:lang w:val="en-GB" w:eastAsia="en-GB"/>
              </w:rPr>
            </w:pPr>
            <w:r w:rsidRPr="00D36477">
              <w:rPr>
                <w:rFonts w:eastAsia="Times New Roman"/>
                <w:bCs/>
                <w:color w:val="000000" w:themeColor="text1"/>
                <w:lang w:val="en-GB" w:eastAsia="en-GB"/>
              </w:rPr>
              <w:t>M2</w:t>
            </w:r>
          </w:p>
        </w:tc>
        <w:tc>
          <w:tcPr>
            <w:tcW w:w="522" w:type="dxa"/>
            <w:shd w:val="clear" w:color="auto" w:fill="auto"/>
            <w:noWrap/>
            <w:vAlign w:val="center"/>
            <w:hideMark/>
          </w:tcPr>
          <w:p w:rsidR="006110DE" w:rsidRPr="00D36477" w:rsidRDefault="006110DE" w:rsidP="001708C0">
            <w:pPr>
              <w:spacing w:before="0" w:line="240" w:lineRule="auto"/>
              <w:jc w:val="center"/>
              <w:rPr>
                <w:rFonts w:eastAsia="Times New Roman"/>
                <w:bCs/>
                <w:color w:val="000000" w:themeColor="text1"/>
                <w:lang w:val="en-GB" w:eastAsia="en-GB"/>
              </w:rPr>
            </w:pPr>
            <w:r w:rsidRPr="00D36477">
              <w:rPr>
                <w:noProof/>
                <w:color w:val="000000" w:themeColor="text1"/>
              </w:rPr>
              <w:t>[</w:t>
            </w:r>
            <w:r w:rsidRPr="00D36477">
              <w:rPr>
                <w:rFonts w:eastAsia="Times New Roman"/>
                <w:bCs/>
                <w:color w:val="000000" w:themeColor="text1"/>
                <w:lang w:val="en-GB" w:eastAsia="en-GB"/>
              </w:rPr>
              <w:t>I2</w:t>
            </w:r>
          </w:p>
        </w:tc>
        <w:tc>
          <w:tcPr>
            <w:tcW w:w="522" w:type="dxa"/>
            <w:shd w:val="clear" w:color="auto" w:fill="auto"/>
            <w:noWrap/>
            <w:vAlign w:val="center"/>
            <w:hideMark/>
          </w:tcPr>
          <w:p w:rsidR="006110DE" w:rsidRPr="00D36477" w:rsidRDefault="006110DE" w:rsidP="001708C0">
            <w:pPr>
              <w:spacing w:before="0" w:line="240" w:lineRule="auto"/>
              <w:jc w:val="center"/>
              <w:rPr>
                <w:rFonts w:eastAsia="Times New Roman"/>
                <w:bCs/>
                <w:color w:val="000000" w:themeColor="text1"/>
                <w:lang w:val="en-GB" w:eastAsia="en-GB"/>
              </w:rPr>
            </w:pPr>
            <w:r w:rsidRPr="00D36477">
              <w:rPr>
                <w:rFonts w:eastAsia="Times New Roman"/>
                <w:bCs/>
                <w:color w:val="000000" w:themeColor="text1"/>
                <w:lang w:val="en-GB" w:eastAsia="en-GB"/>
              </w:rPr>
              <w:t>P3</w:t>
            </w:r>
          </w:p>
        </w:tc>
        <w:tc>
          <w:tcPr>
            <w:tcW w:w="522" w:type="dxa"/>
            <w:shd w:val="clear" w:color="auto" w:fill="auto"/>
            <w:noWrap/>
            <w:vAlign w:val="center"/>
            <w:hideMark/>
          </w:tcPr>
          <w:p w:rsidR="006110DE" w:rsidRPr="00D36477" w:rsidRDefault="006110DE" w:rsidP="001708C0">
            <w:pPr>
              <w:spacing w:before="0" w:line="240" w:lineRule="auto"/>
              <w:jc w:val="center"/>
              <w:rPr>
                <w:rFonts w:eastAsia="Times New Roman"/>
                <w:bCs/>
                <w:color w:val="000000" w:themeColor="text1"/>
                <w:lang w:val="en-GB" w:eastAsia="en-GB"/>
              </w:rPr>
            </w:pPr>
            <w:r w:rsidRPr="00D36477">
              <w:rPr>
                <w:rFonts w:eastAsia="Times New Roman"/>
                <w:bCs/>
                <w:color w:val="000000" w:themeColor="text1"/>
                <w:lang w:val="en-GB" w:eastAsia="en-GB"/>
              </w:rPr>
              <w:t>P4</w:t>
            </w:r>
            <w:r w:rsidRPr="00D36477">
              <w:rPr>
                <w:noProof/>
                <w:color w:val="000000" w:themeColor="text1"/>
              </w:rPr>
              <w:t>]</w:t>
            </w:r>
          </w:p>
        </w:tc>
        <w:tc>
          <w:tcPr>
            <w:tcW w:w="533" w:type="dxa"/>
            <w:shd w:val="clear" w:color="auto" w:fill="auto"/>
            <w:noWrap/>
            <w:vAlign w:val="center"/>
            <w:hideMark/>
          </w:tcPr>
          <w:p w:rsidR="006110DE" w:rsidRPr="00D36477" w:rsidRDefault="006110DE" w:rsidP="001708C0">
            <w:pPr>
              <w:spacing w:before="0" w:line="240" w:lineRule="auto"/>
              <w:jc w:val="center"/>
              <w:rPr>
                <w:rFonts w:eastAsia="Times New Roman"/>
                <w:color w:val="000000" w:themeColor="text1"/>
                <w:lang w:val="en-GB" w:eastAsia="en-GB"/>
              </w:rPr>
            </w:pPr>
            <w:r w:rsidRPr="00D36477">
              <w:rPr>
                <w:rFonts w:eastAsia="Times New Roman"/>
                <w:color w:val="000000" w:themeColor="text1"/>
                <w:lang w:val="en-GB" w:eastAsia="en-GB"/>
              </w:rPr>
              <w:t>C</w:t>
            </w:r>
          </w:p>
        </w:tc>
        <w:tc>
          <w:tcPr>
            <w:tcW w:w="709" w:type="dxa"/>
            <w:shd w:val="clear" w:color="auto" w:fill="auto"/>
            <w:noWrap/>
            <w:vAlign w:val="center"/>
            <w:hideMark/>
          </w:tcPr>
          <w:p w:rsidR="006110DE" w:rsidRPr="00D36477" w:rsidRDefault="006110DE" w:rsidP="001708C0">
            <w:pPr>
              <w:spacing w:before="0" w:line="240" w:lineRule="auto"/>
              <w:jc w:val="center"/>
              <w:rPr>
                <w:rFonts w:eastAsia="Times New Roman"/>
                <w:color w:val="000000" w:themeColor="text1"/>
                <w:lang w:val="en-GB" w:eastAsia="en-GB"/>
              </w:rPr>
            </w:pPr>
            <w:r w:rsidRPr="00D36477">
              <w:rPr>
                <w:rFonts w:eastAsia="Times New Roman"/>
                <w:color w:val="000000" w:themeColor="text1"/>
                <w:lang w:val="en-GB" w:eastAsia="en-GB"/>
              </w:rPr>
              <w:t>M3</w:t>
            </w:r>
          </w:p>
        </w:tc>
      </w:tr>
      <w:tr w:rsidR="006110DE" w:rsidRPr="009F1951" w:rsidTr="00CA5FBB">
        <w:trPr>
          <w:trHeight w:val="300"/>
          <w:jc w:val="center"/>
        </w:trPr>
        <w:tc>
          <w:tcPr>
            <w:tcW w:w="4823" w:type="dxa"/>
            <w:shd w:val="clear" w:color="auto" w:fill="auto"/>
            <w:noWrap/>
            <w:vAlign w:val="center"/>
            <w:hideMark/>
          </w:tcPr>
          <w:p w:rsidR="006110DE" w:rsidRPr="009F1951" w:rsidRDefault="006110DE" w:rsidP="001708C0">
            <w:pPr>
              <w:spacing w:before="0" w:line="240" w:lineRule="auto"/>
              <w:rPr>
                <w:rFonts w:eastAsia="Times New Roman"/>
                <w:color w:val="000000"/>
                <w:lang w:val="en-GB" w:eastAsia="en-GB"/>
              </w:rPr>
            </w:pPr>
            <w:r w:rsidRPr="009F1951">
              <w:rPr>
                <w:rFonts w:eastAsia="Times New Roman"/>
                <w:i/>
                <w:iCs/>
                <w:color w:val="000000"/>
                <w:lang w:val="en-GB" w:eastAsia="en-GB"/>
              </w:rPr>
              <w:t>P. paniscus</w:t>
            </w:r>
            <w:r w:rsidRPr="009F1951">
              <w:rPr>
                <w:rFonts w:eastAsia="Times New Roman"/>
                <w:color w:val="000000"/>
                <w:lang w:val="en-GB" w:eastAsia="en-GB"/>
              </w:rPr>
              <w:t xml:space="preserve"> mineralization (Boughner </w:t>
            </w:r>
            <w:r w:rsidR="00D36A25">
              <w:rPr>
                <w:rFonts w:eastAsia="Times New Roman"/>
                <w:i/>
                <w:color w:val="000000"/>
                <w:lang w:val="en-GB" w:eastAsia="en-GB"/>
              </w:rPr>
              <w:t xml:space="preserve">et </w:t>
            </w:r>
            <w:r w:rsidR="00D36A25" w:rsidRPr="00573E36">
              <w:rPr>
                <w:rFonts w:eastAsia="Times New Roman"/>
                <w:i/>
                <w:color w:val="000000"/>
                <w:lang w:val="en-GB" w:eastAsia="en-GB"/>
              </w:rPr>
              <w:t>al</w:t>
            </w:r>
            <w:r w:rsidR="00D36A25">
              <w:rPr>
                <w:rFonts w:eastAsia="Times New Roman"/>
                <w:color w:val="000000"/>
                <w:lang w:val="en-GB" w:eastAsia="en-GB"/>
              </w:rPr>
              <w:t xml:space="preserve">. </w:t>
            </w:r>
            <w:r w:rsidRPr="00D36A25">
              <w:rPr>
                <w:rFonts w:eastAsia="Times New Roman"/>
                <w:color w:val="000000"/>
                <w:lang w:val="en-GB" w:eastAsia="en-GB"/>
              </w:rPr>
              <w:t>2012</w:t>
            </w:r>
            <w:r w:rsidRPr="009F1951">
              <w:rPr>
                <w:rFonts w:eastAsia="Times New Roman"/>
                <w:color w:val="000000"/>
                <w:lang w:val="en-GB" w:eastAsia="en-GB"/>
              </w:rPr>
              <w:t>)</w:t>
            </w:r>
          </w:p>
        </w:tc>
        <w:tc>
          <w:tcPr>
            <w:tcW w:w="595"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M1</w:t>
            </w:r>
          </w:p>
        </w:tc>
        <w:tc>
          <w:tcPr>
            <w:tcW w:w="466"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I1</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noProof/>
                <w:color w:val="000000"/>
              </w:rPr>
              <w:t>[</w:t>
            </w:r>
            <w:r w:rsidRPr="00EA5623">
              <w:rPr>
                <w:rFonts w:eastAsia="Times New Roman"/>
                <w:bCs/>
                <w:color w:val="000000"/>
                <w:lang w:val="en-GB" w:eastAsia="en-GB"/>
              </w:rPr>
              <w:t>I2</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P3</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P4</w:t>
            </w:r>
            <w:r w:rsidRPr="00EA5623">
              <w:rPr>
                <w:noProof/>
                <w:color w:val="000000"/>
              </w:rPr>
              <w:t>]</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M2</w:t>
            </w:r>
          </w:p>
        </w:tc>
        <w:tc>
          <w:tcPr>
            <w:tcW w:w="533"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C</w:t>
            </w:r>
          </w:p>
        </w:tc>
        <w:tc>
          <w:tcPr>
            <w:tcW w:w="709"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M3</w:t>
            </w:r>
          </w:p>
        </w:tc>
      </w:tr>
      <w:tr w:rsidR="006110DE" w:rsidRPr="009F1951" w:rsidTr="00CA5FBB">
        <w:trPr>
          <w:trHeight w:val="300"/>
          <w:jc w:val="center"/>
        </w:trPr>
        <w:tc>
          <w:tcPr>
            <w:tcW w:w="4823" w:type="dxa"/>
            <w:shd w:val="clear" w:color="auto" w:fill="auto"/>
            <w:noWrap/>
            <w:vAlign w:val="center"/>
            <w:hideMark/>
          </w:tcPr>
          <w:p w:rsidR="006110DE" w:rsidRPr="009F1951" w:rsidRDefault="006110DE" w:rsidP="001708C0">
            <w:pPr>
              <w:spacing w:before="0" w:line="240" w:lineRule="auto"/>
              <w:rPr>
                <w:rFonts w:eastAsia="Times New Roman"/>
                <w:color w:val="000000"/>
                <w:lang w:val="en-GB" w:eastAsia="en-GB"/>
              </w:rPr>
            </w:pPr>
            <w:r w:rsidRPr="009F1951">
              <w:rPr>
                <w:rFonts w:eastAsia="Times New Roman"/>
                <w:i/>
                <w:iCs/>
                <w:color w:val="000000"/>
                <w:lang w:val="en-GB" w:eastAsia="en-GB"/>
              </w:rPr>
              <w:t>P. troglodytes</w:t>
            </w:r>
            <w:r w:rsidRPr="009F1951">
              <w:rPr>
                <w:rFonts w:eastAsia="Times New Roman"/>
                <w:color w:val="000000"/>
                <w:lang w:val="en-GB" w:eastAsia="en-GB"/>
              </w:rPr>
              <w:t xml:space="preserve"> mineralization (Kuykendall 1996)</w:t>
            </w:r>
          </w:p>
        </w:tc>
        <w:tc>
          <w:tcPr>
            <w:tcW w:w="595"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M1</w:t>
            </w:r>
          </w:p>
        </w:tc>
        <w:tc>
          <w:tcPr>
            <w:tcW w:w="466"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I1</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I2</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P3</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P4</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M2</w:t>
            </w:r>
          </w:p>
        </w:tc>
        <w:tc>
          <w:tcPr>
            <w:tcW w:w="533"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C</w:t>
            </w:r>
          </w:p>
        </w:tc>
        <w:tc>
          <w:tcPr>
            <w:tcW w:w="709"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M3</w:t>
            </w:r>
          </w:p>
        </w:tc>
      </w:tr>
      <w:tr w:rsidR="006110DE" w:rsidRPr="009F1951" w:rsidTr="00CA5FBB">
        <w:trPr>
          <w:trHeight w:val="300"/>
          <w:jc w:val="center"/>
        </w:trPr>
        <w:tc>
          <w:tcPr>
            <w:tcW w:w="4823" w:type="dxa"/>
            <w:shd w:val="clear" w:color="auto" w:fill="auto"/>
            <w:noWrap/>
            <w:vAlign w:val="bottom"/>
            <w:hideMark/>
          </w:tcPr>
          <w:p w:rsidR="006110DE" w:rsidRPr="009F1951" w:rsidRDefault="006110DE" w:rsidP="001708C0">
            <w:pPr>
              <w:spacing w:before="0" w:line="240" w:lineRule="auto"/>
              <w:rPr>
                <w:rFonts w:eastAsia="Times New Roman"/>
                <w:color w:val="000000"/>
                <w:lang w:val="en-GB" w:eastAsia="en-GB"/>
              </w:rPr>
            </w:pPr>
            <w:r w:rsidRPr="009F1951">
              <w:rPr>
                <w:rFonts w:eastAsia="Times New Roman"/>
                <w:i/>
                <w:iCs/>
                <w:color w:val="000000"/>
                <w:lang w:val="en-GB" w:eastAsia="en-GB"/>
              </w:rPr>
              <w:t>P.</w:t>
            </w:r>
            <w:r w:rsidRPr="007906E8">
              <w:rPr>
                <w:rFonts w:eastAsia="Times New Roman"/>
                <w:iCs/>
                <w:color w:val="000000"/>
                <w:lang w:val="en-GB" w:eastAsia="en-GB"/>
              </w:rPr>
              <w:t xml:space="preserve"> </w:t>
            </w:r>
            <w:r w:rsidRPr="009F1951">
              <w:rPr>
                <w:rFonts w:eastAsia="Times New Roman"/>
                <w:i/>
                <w:iCs/>
                <w:color w:val="000000"/>
                <w:lang w:val="en-GB" w:eastAsia="en-GB"/>
              </w:rPr>
              <w:t>troglodytes</w:t>
            </w:r>
            <w:r w:rsidRPr="007906E8">
              <w:rPr>
                <w:rFonts w:eastAsia="Times New Roman"/>
                <w:color w:val="000000"/>
                <w:lang w:val="en-GB" w:eastAsia="en-GB"/>
              </w:rPr>
              <w:t xml:space="preserve"> </w:t>
            </w:r>
            <w:r w:rsidRPr="009F1951">
              <w:rPr>
                <w:rFonts w:eastAsia="Times New Roman"/>
                <w:color w:val="000000"/>
                <w:lang w:val="en-GB" w:eastAsia="en-GB"/>
              </w:rPr>
              <w:t>emergence (Conroy and Mahoney 1991)</w:t>
            </w:r>
          </w:p>
        </w:tc>
        <w:tc>
          <w:tcPr>
            <w:tcW w:w="595"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M1</w:t>
            </w:r>
          </w:p>
        </w:tc>
        <w:tc>
          <w:tcPr>
            <w:tcW w:w="466"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I1</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I2</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M2</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P3</w:t>
            </w:r>
          </w:p>
        </w:tc>
        <w:tc>
          <w:tcPr>
            <w:tcW w:w="522" w:type="dxa"/>
            <w:shd w:val="clear" w:color="auto" w:fill="auto"/>
            <w:noWrap/>
            <w:vAlign w:val="center"/>
            <w:hideMark/>
          </w:tcPr>
          <w:p w:rsidR="006110DE" w:rsidRPr="00EA5623" w:rsidRDefault="006110DE" w:rsidP="001708C0">
            <w:pPr>
              <w:spacing w:before="0" w:line="240" w:lineRule="auto"/>
              <w:jc w:val="center"/>
              <w:rPr>
                <w:rFonts w:eastAsia="Times New Roman"/>
                <w:bCs/>
                <w:color w:val="000000"/>
                <w:lang w:val="en-GB" w:eastAsia="en-GB"/>
              </w:rPr>
            </w:pPr>
            <w:r w:rsidRPr="00EA5623">
              <w:rPr>
                <w:rFonts w:eastAsia="Times New Roman"/>
                <w:bCs/>
                <w:color w:val="000000"/>
                <w:lang w:val="en-GB" w:eastAsia="en-GB"/>
              </w:rPr>
              <w:t>P4</w:t>
            </w:r>
          </w:p>
        </w:tc>
        <w:tc>
          <w:tcPr>
            <w:tcW w:w="533"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C</w:t>
            </w:r>
          </w:p>
        </w:tc>
        <w:tc>
          <w:tcPr>
            <w:tcW w:w="709" w:type="dxa"/>
            <w:shd w:val="clear" w:color="auto" w:fill="auto"/>
            <w:noWrap/>
            <w:vAlign w:val="center"/>
            <w:hideMark/>
          </w:tcPr>
          <w:p w:rsidR="006110DE" w:rsidRPr="009F1951" w:rsidRDefault="006110DE" w:rsidP="001708C0">
            <w:pPr>
              <w:spacing w:before="0" w:line="240" w:lineRule="auto"/>
              <w:jc w:val="center"/>
              <w:rPr>
                <w:rFonts w:eastAsia="Times New Roman"/>
                <w:color w:val="000000"/>
                <w:lang w:val="en-GB" w:eastAsia="en-GB"/>
              </w:rPr>
            </w:pPr>
            <w:r w:rsidRPr="009F1951">
              <w:rPr>
                <w:rFonts w:eastAsia="Times New Roman"/>
                <w:color w:val="000000"/>
                <w:lang w:val="en-GB" w:eastAsia="en-GB"/>
              </w:rPr>
              <w:t>M3</w:t>
            </w:r>
          </w:p>
        </w:tc>
      </w:tr>
    </w:tbl>
    <w:p w:rsidR="006110DE" w:rsidRDefault="006110DE" w:rsidP="001708C0">
      <w:pPr>
        <w:rPr>
          <w:noProof/>
        </w:rPr>
      </w:pPr>
      <w:r>
        <w:rPr>
          <w:noProof/>
        </w:rPr>
        <w:t xml:space="preserve">Boughner </w:t>
      </w:r>
      <w:r>
        <w:rPr>
          <w:i/>
          <w:noProof/>
        </w:rPr>
        <w:t>et al</w:t>
      </w:r>
      <w:r w:rsidR="00573E36">
        <w:rPr>
          <w:i/>
          <w:noProof/>
        </w:rPr>
        <w:t>.</w:t>
      </w:r>
      <w:r>
        <w:rPr>
          <w:noProof/>
        </w:rPr>
        <w:t xml:space="preserve"> (2012) compared bonobos to chimpanzees and determined that there were no statistically significant differences between the two species with regards to </w:t>
      </w:r>
      <w:r w:rsidR="00573E36">
        <w:rPr>
          <w:noProof/>
        </w:rPr>
        <w:t xml:space="preserve">root </w:t>
      </w:r>
      <w:r>
        <w:rPr>
          <w:noProof/>
        </w:rPr>
        <w:t xml:space="preserve">mineralization pattern.  This finding allows </w:t>
      </w:r>
      <w:r w:rsidR="00573E36">
        <w:rPr>
          <w:noProof/>
        </w:rPr>
        <w:t>for the application of</w:t>
      </w:r>
      <w:r>
        <w:rPr>
          <w:noProof/>
        </w:rPr>
        <w:t xml:space="preserve"> the same scale of dental score to both </w:t>
      </w:r>
      <w:r>
        <w:rPr>
          <w:i/>
          <w:noProof/>
        </w:rPr>
        <w:t>Pan paniscus</w:t>
      </w:r>
      <w:r>
        <w:rPr>
          <w:noProof/>
        </w:rPr>
        <w:t xml:space="preserve"> and </w:t>
      </w:r>
      <w:r>
        <w:rPr>
          <w:i/>
          <w:noProof/>
        </w:rPr>
        <w:t>Pan troglodytes</w:t>
      </w:r>
      <w:r>
        <w:rPr>
          <w:noProof/>
        </w:rPr>
        <w:t>.  It should be noted that individual variation, although not statistically significant, does show some patterning with the delay of the second incisor in bonobos relative to chimpanzees. This was also noted by Kinzey (1984).  I</w:t>
      </w:r>
      <w:r w:rsidR="00121ED2">
        <w:rPr>
          <w:noProof/>
        </w:rPr>
        <w:t>n addition i</w:t>
      </w:r>
      <w:r>
        <w:rPr>
          <w:noProof/>
        </w:rPr>
        <w:t>t appear</w:t>
      </w:r>
      <w:r w:rsidR="00CA6102">
        <w:rPr>
          <w:noProof/>
        </w:rPr>
        <w:t>s</w:t>
      </w:r>
      <w:r>
        <w:rPr>
          <w:noProof/>
        </w:rPr>
        <w:t xml:space="preserve"> that there is some consistency in the deviation between the emergence of M2 and the mineralization of M2 in both species.</w:t>
      </w:r>
    </w:p>
    <w:p w:rsidR="006110DE" w:rsidRPr="001708C0" w:rsidRDefault="006110DE" w:rsidP="001708C0">
      <w:pPr>
        <w:rPr>
          <w:noProof/>
        </w:rPr>
      </w:pPr>
      <w:r>
        <w:rPr>
          <w:noProof/>
        </w:rPr>
        <w:t xml:space="preserve">The data for bonobos explored by Boughner </w:t>
      </w:r>
      <w:r>
        <w:rPr>
          <w:i/>
          <w:noProof/>
        </w:rPr>
        <w:t>et al</w:t>
      </w:r>
      <w:r w:rsidR="00573631">
        <w:rPr>
          <w:noProof/>
        </w:rPr>
        <w:t>.</w:t>
      </w:r>
      <w:r>
        <w:rPr>
          <w:noProof/>
        </w:rPr>
        <w:t xml:space="preserve"> (2012) did not use individuals of known age.  </w:t>
      </w:r>
      <w:r w:rsidR="006D56E5">
        <w:rPr>
          <w:noProof/>
        </w:rPr>
        <w:t>Present k</w:t>
      </w:r>
      <w:r>
        <w:rPr>
          <w:noProof/>
        </w:rPr>
        <w:t>nowledge of the chronological timing of dental development relies solely on Bolter and Zihlman (2011, 2012).  Similarly to other overall observations of growth and development, chimpanzee and bonobos dental development appears to follow effectively the same chronologic sch</w:t>
      </w:r>
      <w:r w:rsidR="00D36477">
        <w:rPr>
          <w:noProof/>
        </w:rPr>
        <w:t>eduling of dental development.</w:t>
      </w:r>
    </w:p>
    <w:p w:rsidR="006110DE" w:rsidRPr="009C276A" w:rsidRDefault="006110DE" w:rsidP="00D263E8">
      <w:pPr>
        <w:pStyle w:val="Heading3"/>
      </w:pPr>
      <w:bookmarkStart w:id="72" w:name="_Toc373477736"/>
      <w:bookmarkStart w:id="73" w:name="_Toc373480734"/>
      <w:r w:rsidRPr="009C276A">
        <w:t>Comparisons between chimpanzees</w:t>
      </w:r>
      <w:r>
        <w:t xml:space="preserve">, </w:t>
      </w:r>
      <w:r w:rsidRPr="009C276A">
        <w:t>bonobos</w:t>
      </w:r>
      <w:r>
        <w:t xml:space="preserve"> and humans</w:t>
      </w:r>
      <w:bookmarkEnd w:id="72"/>
      <w:bookmarkEnd w:id="73"/>
    </w:p>
    <w:p w:rsidR="006110DE" w:rsidRDefault="00B82844" w:rsidP="001708C0">
      <w:pPr>
        <w:rPr>
          <w:noProof/>
        </w:rPr>
      </w:pPr>
      <w:r>
        <w:rPr>
          <w:noProof/>
        </w:rPr>
        <w:t>G</w:t>
      </w:r>
      <w:r w:rsidR="006110DE">
        <w:rPr>
          <w:noProof/>
        </w:rPr>
        <w:t>iven the previous comparison of chimpanzees and bonobos</w:t>
      </w:r>
      <w:r>
        <w:rPr>
          <w:noProof/>
        </w:rPr>
        <w:t>,</w:t>
      </w:r>
      <w:r w:rsidR="006110DE">
        <w:rPr>
          <w:noProof/>
        </w:rPr>
        <w:t xml:space="preserve"> these species </w:t>
      </w:r>
      <w:r w:rsidR="00121ED2">
        <w:rPr>
          <w:noProof/>
        </w:rPr>
        <w:t xml:space="preserve">will be considered </w:t>
      </w:r>
      <w:r w:rsidR="006110DE">
        <w:rPr>
          <w:noProof/>
        </w:rPr>
        <w:t xml:space="preserve">to be effectively the same with regards </w:t>
      </w:r>
      <w:r>
        <w:rPr>
          <w:noProof/>
        </w:rPr>
        <w:t>to emergence</w:t>
      </w:r>
      <w:r w:rsidR="00674730">
        <w:rPr>
          <w:noProof/>
        </w:rPr>
        <w:t xml:space="preserve"> timing</w:t>
      </w:r>
      <w:r>
        <w:rPr>
          <w:noProof/>
        </w:rPr>
        <w:t xml:space="preserve"> and mineralization </w:t>
      </w:r>
      <w:r w:rsidR="00674730">
        <w:rPr>
          <w:noProof/>
        </w:rPr>
        <w:t>sequences</w:t>
      </w:r>
      <w:r>
        <w:rPr>
          <w:noProof/>
        </w:rPr>
        <w:t>.</w:t>
      </w:r>
      <w:r w:rsidR="006110DE">
        <w:rPr>
          <w:noProof/>
        </w:rPr>
        <w:t xml:space="preserve">  Comparisons between chimpanzees and humans considering </w:t>
      </w:r>
      <w:r w:rsidR="00B94501">
        <w:rPr>
          <w:noProof/>
        </w:rPr>
        <w:t xml:space="preserve">both </w:t>
      </w:r>
      <w:r w:rsidR="00573ECE">
        <w:rPr>
          <w:noProof/>
        </w:rPr>
        <w:t xml:space="preserve">timing and sequence of mineralization </w:t>
      </w:r>
      <w:r w:rsidR="00E15174">
        <w:rPr>
          <w:noProof/>
        </w:rPr>
        <w:t>have been made in the past.</w:t>
      </w:r>
      <w:r w:rsidR="00B94501">
        <w:rPr>
          <w:noProof/>
        </w:rPr>
        <w:t xml:space="preserve">  </w:t>
      </w:r>
      <w:r w:rsidR="006A0F41">
        <w:rPr>
          <w:noProof/>
        </w:rPr>
        <w:t>C</w:t>
      </w:r>
      <w:r w:rsidR="00B94501">
        <w:rPr>
          <w:noProof/>
        </w:rPr>
        <w:t>omparisons</w:t>
      </w:r>
      <w:r w:rsidR="006A0F41">
        <w:rPr>
          <w:noProof/>
        </w:rPr>
        <w:t xml:space="preserve"> </w:t>
      </w:r>
      <w:r w:rsidR="00057D49">
        <w:rPr>
          <w:noProof/>
        </w:rPr>
        <w:t>for these two species</w:t>
      </w:r>
      <w:r w:rsidR="00B94501">
        <w:rPr>
          <w:noProof/>
        </w:rPr>
        <w:t xml:space="preserve"> also exist for for timing and sequence of dental emergence.</w:t>
      </w:r>
    </w:p>
    <w:p w:rsidR="00E94CEE" w:rsidRDefault="00E94CEE">
      <w:pPr>
        <w:spacing w:before="0" w:after="200" w:line="276" w:lineRule="auto"/>
        <w:jc w:val="left"/>
        <w:rPr>
          <w:b/>
          <w:i/>
          <w:noProof/>
        </w:rPr>
      </w:pPr>
      <w:r>
        <w:rPr>
          <w:b/>
          <w:i/>
          <w:noProof/>
        </w:rPr>
        <w:br w:type="page"/>
      </w:r>
    </w:p>
    <w:p w:rsidR="006110DE" w:rsidRPr="00EF6828" w:rsidRDefault="00121ED2" w:rsidP="001708C0">
      <w:pPr>
        <w:rPr>
          <w:b/>
          <w:i/>
          <w:noProof/>
        </w:rPr>
      </w:pPr>
      <w:r w:rsidRPr="00EF6828">
        <w:rPr>
          <w:b/>
          <w:i/>
          <w:noProof/>
        </w:rPr>
        <w:lastRenderedPageBreak/>
        <w:t>2.4</w:t>
      </w:r>
      <w:r w:rsidR="00160FAD" w:rsidRPr="00EF6828">
        <w:rPr>
          <w:b/>
          <w:i/>
          <w:noProof/>
        </w:rPr>
        <w:t>.6.a</w:t>
      </w:r>
      <w:r w:rsidR="00160FAD" w:rsidRPr="00EF6828">
        <w:rPr>
          <w:b/>
          <w:i/>
          <w:noProof/>
        </w:rPr>
        <w:tab/>
      </w:r>
      <w:r w:rsidR="006110DE" w:rsidRPr="00EF6828">
        <w:rPr>
          <w:b/>
          <w:i/>
          <w:noProof/>
        </w:rPr>
        <w:t>Emergence and mineralization</w:t>
      </w:r>
    </w:p>
    <w:p w:rsidR="00DA5557" w:rsidRDefault="006110DE" w:rsidP="001708C0">
      <w:pPr>
        <w:rPr>
          <w:noProof/>
        </w:rPr>
      </w:pPr>
      <w:r>
        <w:rPr>
          <w:noProof/>
        </w:rPr>
        <w:t xml:space="preserve">For mineralization, Kuykendall and Conroy (1996) noted </w:t>
      </w:r>
      <w:r w:rsidR="005606C3">
        <w:rPr>
          <w:noProof/>
        </w:rPr>
        <w:t xml:space="preserve">some </w:t>
      </w:r>
      <w:r>
        <w:rPr>
          <w:noProof/>
        </w:rPr>
        <w:t>significant shift</w:t>
      </w:r>
      <w:r w:rsidR="005606C3">
        <w:rPr>
          <w:noProof/>
        </w:rPr>
        <w:t>s</w:t>
      </w:r>
      <w:r>
        <w:rPr>
          <w:noProof/>
        </w:rPr>
        <w:t xml:space="preserve"> in sequence between chimpanzees and human dental mineralization</w:t>
      </w:r>
      <w:r w:rsidR="005606C3">
        <w:rPr>
          <w:noProof/>
        </w:rPr>
        <w:t>.  Notable</w:t>
      </w:r>
      <w:r>
        <w:rPr>
          <w:noProof/>
        </w:rPr>
        <w:t xml:space="preserve"> was the delayed crown formation of the canine</w:t>
      </w:r>
      <w:r w:rsidR="005606C3">
        <w:rPr>
          <w:noProof/>
        </w:rPr>
        <w:t xml:space="preserve"> and the earlier maturation of the first molar</w:t>
      </w:r>
      <w:r w:rsidR="00D522C9">
        <w:rPr>
          <w:noProof/>
        </w:rPr>
        <w:t xml:space="preserve"> in chimpanzees</w:t>
      </w:r>
      <w:r>
        <w:rPr>
          <w:noProof/>
        </w:rPr>
        <w:t xml:space="preserve">.  </w:t>
      </w:r>
      <w:r w:rsidR="005606C3">
        <w:rPr>
          <w:noProof/>
        </w:rPr>
        <w:t>For the canine, t</w:t>
      </w:r>
      <w:r>
        <w:rPr>
          <w:noProof/>
        </w:rPr>
        <w:t xml:space="preserve">his was </w:t>
      </w:r>
      <w:r w:rsidR="00440FC5">
        <w:rPr>
          <w:noProof/>
        </w:rPr>
        <w:t>potentially</w:t>
      </w:r>
      <w:r>
        <w:rPr>
          <w:noProof/>
        </w:rPr>
        <w:t xml:space="preserve"> a result </w:t>
      </w:r>
      <w:r w:rsidR="0069583E">
        <w:rPr>
          <w:noProof/>
        </w:rPr>
        <w:t>of the difference in</w:t>
      </w:r>
      <w:r>
        <w:rPr>
          <w:noProof/>
        </w:rPr>
        <w:t xml:space="preserve"> size of these teeth</w:t>
      </w:r>
      <w:r w:rsidR="00C10E20">
        <w:rPr>
          <w:noProof/>
        </w:rPr>
        <w:t xml:space="preserve"> between the two species</w:t>
      </w:r>
      <w:r w:rsidR="00457FD3">
        <w:rPr>
          <w:noProof/>
        </w:rPr>
        <w:t>.  The difference wa</w:t>
      </w:r>
      <w:r w:rsidR="00C10E20">
        <w:rPr>
          <w:noProof/>
        </w:rPr>
        <w:t xml:space="preserve">s </w:t>
      </w:r>
      <w:r w:rsidR="00466B69">
        <w:rPr>
          <w:noProof/>
        </w:rPr>
        <w:t>quite extreme, with chimpanzees having substantially larger canines</w:t>
      </w:r>
      <w:r>
        <w:rPr>
          <w:noProof/>
        </w:rPr>
        <w:t xml:space="preserve">.  There </w:t>
      </w:r>
      <w:r w:rsidR="00457FD3">
        <w:rPr>
          <w:noProof/>
        </w:rPr>
        <w:t>were</w:t>
      </w:r>
      <w:r>
        <w:rPr>
          <w:noProof/>
        </w:rPr>
        <w:t xml:space="preserve"> also some other very im</w:t>
      </w:r>
      <w:r w:rsidR="00001A9C">
        <w:rPr>
          <w:noProof/>
        </w:rPr>
        <w:t>portant differences.  Table 2.11</w:t>
      </w:r>
      <w:r w:rsidRPr="00ED76A6">
        <w:rPr>
          <w:noProof/>
          <w:color w:val="000000" w:themeColor="text1"/>
        </w:rPr>
        <w:t xml:space="preserve"> </w:t>
      </w:r>
      <w:r>
        <w:rPr>
          <w:noProof/>
        </w:rPr>
        <w:t>demonstrates human, chimpanzee</w:t>
      </w:r>
      <w:r w:rsidR="005606C3">
        <w:rPr>
          <w:noProof/>
        </w:rPr>
        <w:t>,</w:t>
      </w:r>
      <w:r>
        <w:rPr>
          <w:noProof/>
        </w:rPr>
        <w:t xml:space="preserve"> and bonobo emergence and mineralzation sequences.  </w:t>
      </w:r>
      <w:r w:rsidR="006E1EF6" w:rsidRPr="00020049">
        <w:rPr>
          <w:noProof/>
        </w:rPr>
        <w:t xml:space="preserve">It is evident that there is also a </w:t>
      </w:r>
      <w:r w:rsidR="007E668C">
        <w:rPr>
          <w:noProof/>
        </w:rPr>
        <w:t xml:space="preserve">polymorphism for </w:t>
      </w:r>
      <w:r w:rsidR="006E1EF6" w:rsidRPr="00020049">
        <w:rPr>
          <w:noProof/>
        </w:rPr>
        <w:t>M1 and I1</w:t>
      </w:r>
      <w:r w:rsidR="006E1EF6">
        <w:rPr>
          <w:noProof/>
        </w:rPr>
        <w:t xml:space="preserve"> </w:t>
      </w:r>
      <w:r w:rsidR="007E668C">
        <w:rPr>
          <w:noProof/>
        </w:rPr>
        <w:t xml:space="preserve">in </w:t>
      </w:r>
      <w:r w:rsidR="006E1EF6" w:rsidRPr="00020049">
        <w:rPr>
          <w:noProof/>
        </w:rPr>
        <w:t xml:space="preserve">humans </w:t>
      </w:r>
      <w:r w:rsidR="00CF6DFC">
        <w:rPr>
          <w:noProof/>
        </w:rPr>
        <w:t>f</w:t>
      </w:r>
      <w:r w:rsidR="007E668C">
        <w:rPr>
          <w:noProof/>
        </w:rPr>
        <w:t>r</w:t>
      </w:r>
      <w:r w:rsidR="00CF6DFC">
        <w:rPr>
          <w:noProof/>
        </w:rPr>
        <w:t>om</w:t>
      </w:r>
      <w:r w:rsidR="007E668C">
        <w:rPr>
          <w:noProof/>
        </w:rPr>
        <w:t xml:space="preserve"> </w:t>
      </w:r>
      <w:r w:rsidR="006E1EF6">
        <w:rPr>
          <w:noProof/>
        </w:rPr>
        <w:t>one study</w:t>
      </w:r>
      <w:r w:rsidR="007E668C">
        <w:rPr>
          <w:noProof/>
        </w:rPr>
        <w:t xml:space="preserve"> (Garn 1987)</w:t>
      </w:r>
      <w:r w:rsidR="006E1EF6">
        <w:rPr>
          <w:noProof/>
        </w:rPr>
        <w:t>.  T</w:t>
      </w:r>
      <w:r w:rsidR="006E1EF6" w:rsidRPr="00020049">
        <w:rPr>
          <w:noProof/>
        </w:rPr>
        <w:t xml:space="preserve">he second molar </w:t>
      </w:r>
      <w:r w:rsidR="006E1EF6">
        <w:rPr>
          <w:noProof/>
        </w:rPr>
        <w:t>also deviates later in sequence in humans</w:t>
      </w:r>
      <w:r w:rsidR="006E1EF6" w:rsidRPr="00020049">
        <w:rPr>
          <w:noProof/>
        </w:rPr>
        <w:t xml:space="preserve"> compared to chimpanzees and bonobos.</w:t>
      </w:r>
    </w:p>
    <w:p w:rsidR="006110DE" w:rsidRPr="001708C0" w:rsidRDefault="00D557BE" w:rsidP="00D557BE">
      <w:pPr>
        <w:pStyle w:val="Caption"/>
        <w:keepNext/>
        <w:jc w:val="left"/>
      </w:pPr>
      <w:bookmarkStart w:id="74" w:name="_Toc373180112"/>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2</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11</w:t>
      </w:r>
      <w:r w:rsidR="008943E4">
        <w:rPr>
          <w:b/>
        </w:rPr>
        <w:fldChar w:fldCharType="end"/>
      </w:r>
      <w:r w:rsidR="006110DE">
        <w:t xml:space="preserve"> Chimpanzee, bonobo, and human emergence and mineral</w:t>
      </w:r>
      <w:r w:rsidR="00D924CD">
        <w:t>i</w:t>
      </w:r>
      <w:r w:rsidR="006110DE">
        <w:t>zation sequences.</w:t>
      </w:r>
      <w:bookmarkEnd w:id="74"/>
    </w:p>
    <w:tbl>
      <w:tblPr>
        <w:tblW w:w="8943" w:type="dxa"/>
        <w:jc w:val="center"/>
        <w:tblInd w:w="-592" w:type="dxa"/>
        <w:tblBorders>
          <w:top w:val="single" w:sz="4" w:space="0" w:color="auto"/>
          <w:bottom w:val="single" w:sz="4" w:space="0" w:color="auto"/>
        </w:tblBorders>
        <w:tblLook w:val="04A0" w:firstRow="1" w:lastRow="0" w:firstColumn="1" w:lastColumn="0" w:noHBand="0" w:noVBand="1"/>
      </w:tblPr>
      <w:tblGrid>
        <w:gridCol w:w="4018"/>
        <w:gridCol w:w="700"/>
        <w:gridCol w:w="603"/>
        <w:gridCol w:w="708"/>
        <w:gridCol w:w="567"/>
        <w:gridCol w:w="611"/>
        <w:gridCol w:w="595"/>
        <w:gridCol w:w="595"/>
        <w:gridCol w:w="546"/>
      </w:tblGrid>
      <w:tr w:rsidR="00A57CC1" w:rsidRPr="005606C3" w:rsidTr="00151139">
        <w:trPr>
          <w:trHeight w:val="315"/>
          <w:jc w:val="center"/>
        </w:trPr>
        <w:tc>
          <w:tcPr>
            <w:tcW w:w="4018" w:type="dxa"/>
            <w:vMerge w:val="restart"/>
            <w:tcBorders>
              <w:top w:val="single" w:sz="4" w:space="0" w:color="auto"/>
              <w:bottom w:val="nil"/>
            </w:tcBorders>
            <w:shd w:val="clear" w:color="auto" w:fill="auto"/>
            <w:noWrap/>
            <w:vAlign w:val="center"/>
            <w:hideMark/>
          </w:tcPr>
          <w:p w:rsidR="00A35CA0" w:rsidRPr="00CA5FBB" w:rsidRDefault="00151139"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pecies/study</w:t>
            </w:r>
          </w:p>
        </w:tc>
        <w:tc>
          <w:tcPr>
            <w:tcW w:w="700"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rPr>
                <w:rFonts w:eastAsia="Times New Roman"/>
                <w:color w:val="000000"/>
                <w:lang w:val="en-GB" w:eastAsia="en-GB"/>
              </w:rPr>
            </w:pPr>
            <w:r w:rsidRPr="005606C3">
              <w:rPr>
                <w:rFonts w:eastAsia="Times New Roman"/>
                <w:color w:val="000000"/>
                <w:lang w:val="en-GB" w:eastAsia="en-GB"/>
              </w:rPr>
              <w:t> </w:t>
            </w:r>
          </w:p>
        </w:tc>
        <w:tc>
          <w:tcPr>
            <w:tcW w:w="603"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rPr>
                <w:rFonts w:eastAsia="Times New Roman"/>
                <w:color w:val="000000"/>
                <w:lang w:val="en-GB" w:eastAsia="en-GB"/>
              </w:rPr>
            </w:pPr>
            <w:r w:rsidRPr="005606C3">
              <w:rPr>
                <w:rFonts w:eastAsia="Times New Roman"/>
                <w:color w:val="000000"/>
                <w:lang w:val="en-GB" w:eastAsia="en-GB"/>
              </w:rPr>
              <w:t> </w:t>
            </w:r>
          </w:p>
        </w:tc>
        <w:tc>
          <w:tcPr>
            <w:tcW w:w="708"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rPr>
                <w:rFonts w:eastAsia="Times New Roman"/>
                <w:color w:val="000000"/>
                <w:lang w:val="en-GB" w:eastAsia="en-GB"/>
              </w:rPr>
            </w:pPr>
            <w:r w:rsidRPr="005606C3">
              <w:rPr>
                <w:rFonts w:eastAsia="Times New Roman"/>
                <w:color w:val="000000"/>
                <w:lang w:val="en-GB" w:eastAsia="en-GB"/>
              </w:rPr>
              <w:t> </w:t>
            </w:r>
          </w:p>
        </w:tc>
        <w:tc>
          <w:tcPr>
            <w:tcW w:w="567" w:type="dxa"/>
            <w:tcBorders>
              <w:top w:val="single" w:sz="4" w:space="0" w:color="auto"/>
              <w:bottom w:val="single" w:sz="4" w:space="0" w:color="auto"/>
            </w:tcBorders>
            <w:shd w:val="clear" w:color="auto" w:fill="auto"/>
            <w:noWrap/>
            <w:vAlign w:val="center"/>
            <w:hideMark/>
          </w:tcPr>
          <w:p w:rsidR="00A57CC1" w:rsidRPr="00CA5FBB" w:rsidRDefault="008943E4" w:rsidP="001708C0">
            <w:pPr>
              <w:spacing w:before="0" w:line="240" w:lineRule="auto"/>
              <w:rPr>
                <w:rFonts w:eastAsia="Times New Roman"/>
                <w:b/>
                <w:color w:val="000000"/>
                <w:lang w:val="en-GB" w:eastAsia="en-GB"/>
              </w:rPr>
            </w:pPr>
            <w:r w:rsidRPr="00CA5FBB">
              <w:rPr>
                <w:rFonts w:eastAsia="Times New Roman"/>
                <w:b/>
                <w:color w:val="000000"/>
                <w:lang w:val="en-GB" w:eastAsia="en-GB"/>
              </w:rPr>
              <w:t> </w:t>
            </w:r>
          </w:p>
        </w:tc>
        <w:tc>
          <w:tcPr>
            <w:tcW w:w="1206" w:type="dxa"/>
            <w:gridSpan w:val="2"/>
            <w:tcBorders>
              <w:top w:val="single" w:sz="4" w:space="0" w:color="auto"/>
              <w:bottom w:val="single" w:sz="4" w:space="0" w:color="auto"/>
            </w:tcBorders>
            <w:shd w:val="clear" w:color="auto" w:fill="auto"/>
            <w:noWrap/>
            <w:vAlign w:val="center"/>
            <w:hideMark/>
          </w:tcPr>
          <w:p w:rsidR="00A57CC1" w:rsidRPr="00CA5FBB" w:rsidRDefault="00151139" w:rsidP="001708C0">
            <w:pPr>
              <w:spacing w:before="0" w:line="240" w:lineRule="auto"/>
              <w:rPr>
                <w:rFonts w:eastAsia="Times New Roman"/>
                <w:b/>
                <w:color w:val="000000"/>
                <w:lang w:val="en-GB" w:eastAsia="en-GB"/>
              </w:rPr>
            </w:pPr>
            <w:r>
              <w:rPr>
                <w:rFonts w:eastAsia="Times New Roman"/>
                <w:b/>
                <w:color w:val="000000"/>
                <w:lang w:val="en-GB" w:eastAsia="en-GB"/>
              </w:rPr>
              <w:t>o</w:t>
            </w:r>
            <w:r w:rsidR="008943E4" w:rsidRPr="00CA5FBB">
              <w:rPr>
                <w:rFonts w:eastAsia="Times New Roman"/>
                <w:b/>
                <w:color w:val="000000"/>
                <w:lang w:val="en-GB" w:eastAsia="en-GB"/>
              </w:rPr>
              <w:t>rder</w:t>
            </w:r>
          </w:p>
        </w:tc>
        <w:tc>
          <w:tcPr>
            <w:tcW w:w="595"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rPr>
                <w:rFonts w:eastAsia="Times New Roman"/>
                <w:color w:val="000000"/>
                <w:lang w:val="en-GB" w:eastAsia="en-GB"/>
              </w:rPr>
            </w:pPr>
            <w:r w:rsidRPr="005606C3">
              <w:rPr>
                <w:rFonts w:eastAsia="Times New Roman"/>
                <w:color w:val="000000"/>
                <w:lang w:val="en-GB" w:eastAsia="en-GB"/>
              </w:rPr>
              <w:t> </w:t>
            </w:r>
          </w:p>
        </w:tc>
        <w:tc>
          <w:tcPr>
            <w:tcW w:w="546"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rPr>
                <w:rFonts w:eastAsia="Times New Roman"/>
                <w:color w:val="000000"/>
                <w:lang w:val="en-GB" w:eastAsia="en-GB"/>
              </w:rPr>
            </w:pPr>
            <w:r w:rsidRPr="005606C3">
              <w:rPr>
                <w:rFonts w:eastAsia="Times New Roman"/>
                <w:color w:val="000000"/>
                <w:lang w:val="en-GB" w:eastAsia="en-GB"/>
              </w:rPr>
              <w:t> </w:t>
            </w:r>
          </w:p>
        </w:tc>
      </w:tr>
      <w:tr w:rsidR="00A57CC1" w:rsidRPr="005606C3" w:rsidTr="00151139">
        <w:trPr>
          <w:trHeight w:val="375"/>
          <w:jc w:val="center"/>
        </w:trPr>
        <w:tc>
          <w:tcPr>
            <w:tcW w:w="4018" w:type="dxa"/>
            <w:vMerge/>
            <w:tcBorders>
              <w:top w:val="nil"/>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p>
        </w:tc>
        <w:tc>
          <w:tcPr>
            <w:tcW w:w="700"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1</w:t>
            </w:r>
            <w:r w:rsidRPr="005606C3">
              <w:rPr>
                <w:rFonts w:eastAsia="Times New Roman"/>
                <w:color w:val="000000"/>
                <w:vertAlign w:val="superscript"/>
                <w:lang w:val="en-GB" w:eastAsia="en-GB"/>
              </w:rPr>
              <w:t>st</w:t>
            </w:r>
          </w:p>
        </w:tc>
        <w:tc>
          <w:tcPr>
            <w:tcW w:w="603"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2</w:t>
            </w:r>
            <w:r w:rsidRPr="005606C3">
              <w:rPr>
                <w:rFonts w:eastAsia="Times New Roman"/>
                <w:color w:val="000000"/>
                <w:vertAlign w:val="superscript"/>
                <w:lang w:val="en-GB" w:eastAsia="en-GB"/>
              </w:rPr>
              <w:t>nd</w:t>
            </w:r>
          </w:p>
        </w:tc>
        <w:tc>
          <w:tcPr>
            <w:tcW w:w="708"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3</w:t>
            </w:r>
            <w:r w:rsidRPr="005606C3">
              <w:rPr>
                <w:rFonts w:eastAsia="Times New Roman"/>
                <w:color w:val="000000"/>
                <w:vertAlign w:val="superscript"/>
                <w:lang w:val="en-GB" w:eastAsia="en-GB"/>
              </w:rPr>
              <w:t>rd</w:t>
            </w:r>
          </w:p>
        </w:tc>
        <w:tc>
          <w:tcPr>
            <w:tcW w:w="567"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4</w:t>
            </w:r>
            <w:r w:rsidRPr="005606C3">
              <w:rPr>
                <w:rFonts w:eastAsia="Times New Roman"/>
                <w:color w:val="000000"/>
                <w:vertAlign w:val="superscript"/>
                <w:lang w:val="en-GB" w:eastAsia="en-GB"/>
              </w:rPr>
              <w:t>th</w:t>
            </w:r>
          </w:p>
        </w:tc>
        <w:tc>
          <w:tcPr>
            <w:tcW w:w="611"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5</w:t>
            </w:r>
            <w:r w:rsidRPr="005606C3">
              <w:rPr>
                <w:rFonts w:eastAsia="Times New Roman"/>
                <w:color w:val="000000"/>
                <w:vertAlign w:val="superscript"/>
                <w:lang w:val="en-GB" w:eastAsia="en-GB"/>
              </w:rPr>
              <w:t>th</w:t>
            </w:r>
          </w:p>
        </w:tc>
        <w:tc>
          <w:tcPr>
            <w:tcW w:w="595"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6</w:t>
            </w:r>
            <w:r w:rsidRPr="005606C3">
              <w:rPr>
                <w:rFonts w:eastAsia="Times New Roman"/>
                <w:color w:val="000000"/>
                <w:vertAlign w:val="superscript"/>
                <w:lang w:val="en-GB" w:eastAsia="en-GB"/>
              </w:rPr>
              <w:t>th</w:t>
            </w:r>
          </w:p>
        </w:tc>
        <w:tc>
          <w:tcPr>
            <w:tcW w:w="595"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7</w:t>
            </w:r>
            <w:r w:rsidRPr="005606C3">
              <w:rPr>
                <w:rFonts w:eastAsia="Times New Roman"/>
                <w:color w:val="000000"/>
                <w:vertAlign w:val="superscript"/>
                <w:lang w:val="en-GB" w:eastAsia="en-GB"/>
              </w:rPr>
              <w:t>th</w:t>
            </w:r>
          </w:p>
        </w:tc>
        <w:tc>
          <w:tcPr>
            <w:tcW w:w="546" w:type="dxa"/>
            <w:tcBorders>
              <w:top w:val="single" w:sz="4" w:space="0" w:color="auto"/>
              <w:bottom w:val="single" w:sz="4" w:space="0" w:color="auto"/>
            </w:tcBorders>
            <w:shd w:val="clear" w:color="auto" w:fill="auto"/>
            <w:noWrap/>
            <w:vAlign w:val="center"/>
            <w:hideMark/>
          </w:tcPr>
          <w:p w:rsidR="00A57CC1" w:rsidRPr="005606C3" w:rsidRDefault="00A57CC1"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8</w:t>
            </w:r>
            <w:r w:rsidRPr="005606C3">
              <w:rPr>
                <w:rFonts w:eastAsia="Times New Roman"/>
                <w:color w:val="000000"/>
                <w:vertAlign w:val="superscript"/>
                <w:lang w:val="en-GB" w:eastAsia="en-GB"/>
              </w:rPr>
              <w:t>th</w:t>
            </w:r>
          </w:p>
        </w:tc>
      </w:tr>
      <w:tr w:rsidR="005606C3" w:rsidRPr="005606C3" w:rsidTr="00151139">
        <w:trPr>
          <w:trHeight w:val="375"/>
          <w:jc w:val="center"/>
        </w:trPr>
        <w:tc>
          <w:tcPr>
            <w:tcW w:w="4018" w:type="dxa"/>
            <w:tcBorders>
              <w:top w:val="single" w:sz="4" w:space="0" w:color="auto"/>
            </w:tcBorders>
            <w:shd w:val="clear" w:color="auto" w:fill="auto"/>
            <w:noWrap/>
            <w:vAlign w:val="center"/>
            <w:hideMark/>
          </w:tcPr>
          <w:p w:rsidR="00A35CA0" w:rsidRDefault="005606C3" w:rsidP="00CA5FBB">
            <w:pPr>
              <w:spacing w:before="0" w:line="240" w:lineRule="auto"/>
              <w:jc w:val="left"/>
              <w:rPr>
                <w:rFonts w:eastAsia="Times New Roman"/>
                <w:i/>
                <w:iCs/>
                <w:color w:val="000000"/>
                <w:lang w:val="en-GB" w:eastAsia="en-GB"/>
              </w:rPr>
            </w:pPr>
            <w:r w:rsidRPr="005606C3">
              <w:rPr>
                <w:rFonts w:eastAsia="Times New Roman"/>
                <w:i/>
                <w:iCs/>
                <w:color w:val="000000"/>
                <w:lang w:val="en-GB" w:eastAsia="en-GB"/>
              </w:rPr>
              <w:t>P. paniscus</w:t>
            </w:r>
            <w:r w:rsidRPr="005606C3">
              <w:rPr>
                <w:rFonts w:eastAsia="Times New Roman"/>
                <w:color w:val="000000"/>
                <w:lang w:val="en-GB" w:eastAsia="en-GB"/>
              </w:rPr>
              <w:t xml:space="preserve"> emergence (Bolter and Zihlman 2011)</w:t>
            </w:r>
          </w:p>
        </w:tc>
        <w:tc>
          <w:tcPr>
            <w:tcW w:w="700" w:type="dxa"/>
            <w:tcBorders>
              <w:top w:val="single" w:sz="4" w:space="0" w:color="auto"/>
            </w:tcBorders>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eastAsia="en-GB"/>
              </w:rPr>
              <w:t>[</w:t>
            </w:r>
            <w:r w:rsidRPr="005606C3">
              <w:rPr>
                <w:rFonts w:eastAsia="Times New Roman"/>
                <w:color w:val="000000"/>
                <w:vertAlign w:val="superscript"/>
                <w:lang w:eastAsia="en-GB"/>
              </w:rPr>
              <w:t>1.</w:t>
            </w:r>
            <w:r w:rsidRPr="005606C3">
              <w:rPr>
                <w:rFonts w:eastAsia="Times New Roman"/>
                <w:color w:val="000000"/>
                <w:lang w:eastAsia="en-GB"/>
              </w:rPr>
              <w:t>M1</w:t>
            </w:r>
          </w:p>
        </w:tc>
        <w:tc>
          <w:tcPr>
            <w:tcW w:w="603" w:type="dxa"/>
            <w:tcBorders>
              <w:top w:val="single" w:sz="4" w:space="0" w:color="auto"/>
            </w:tcBorders>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708" w:type="dxa"/>
            <w:tcBorders>
              <w:top w:val="single" w:sz="4" w:space="0" w:color="auto"/>
            </w:tcBorders>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P4</w:t>
            </w:r>
          </w:p>
        </w:tc>
        <w:tc>
          <w:tcPr>
            <w:tcW w:w="567" w:type="dxa"/>
            <w:tcBorders>
              <w:top w:val="single" w:sz="4" w:space="0" w:color="auto"/>
            </w:tcBorders>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611" w:type="dxa"/>
            <w:tcBorders>
              <w:top w:val="single" w:sz="4" w:space="0" w:color="auto"/>
            </w:tcBorders>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I2</w:t>
            </w:r>
            <w:r w:rsidRPr="005606C3">
              <w:rPr>
                <w:rFonts w:eastAsia="Times New Roman"/>
                <w:color w:val="000000"/>
                <w:vertAlign w:val="superscript"/>
                <w:lang w:val="en-GB" w:eastAsia="en-GB"/>
              </w:rPr>
              <w:t>1.</w:t>
            </w:r>
            <w:r w:rsidRPr="005606C3">
              <w:rPr>
                <w:rFonts w:eastAsia="Times New Roman"/>
                <w:color w:val="000000"/>
                <w:lang w:val="en-GB" w:eastAsia="en-GB"/>
              </w:rPr>
              <w:t>]</w:t>
            </w:r>
          </w:p>
        </w:tc>
        <w:tc>
          <w:tcPr>
            <w:tcW w:w="595" w:type="dxa"/>
            <w:tcBorders>
              <w:top w:val="single" w:sz="4" w:space="0" w:color="auto"/>
            </w:tcBorders>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P3</w:t>
            </w:r>
          </w:p>
        </w:tc>
        <w:tc>
          <w:tcPr>
            <w:tcW w:w="595" w:type="dxa"/>
            <w:tcBorders>
              <w:top w:val="single" w:sz="4" w:space="0" w:color="auto"/>
            </w:tcBorders>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546" w:type="dxa"/>
            <w:tcBorders>
              <w:top w:val="single" w:sz="4" w:space="0" w:color="auto"/>
            </w:tcBorders>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M3</w:t>
            </w:r>
          </w:p>
        </w:tc>
      </w:tr>
      <w:tr w:rsidR="005606C3" w:rsidRPr="005606C3" w:rsidTr="00151139">
        <w:trPr>
          <w:trHeight w:val="491"/>
          <w:jc w:val="center"/>
        </w:trPr>
        <w:tc>
          <w:tcPr>
            <w:tcW w:w="4018" w:type="dxa"/>
            <w:shd w:val="clear" w:color="auto" w:fill="auto"/>
            <w:noWrap/>
            <w:vAlign w:val="center"/>
            <w:hideMark/>
          </w:tcPr>
          <w:p w:rsidR="00A35CA0" w:rsidRDefault="005606C3" w:rsidP="00CA5FBB">
            <w:pPr>
              <w:spacing w:before="0" w:line="240" w:lineRule="auto"/>
              <w:jc w:val="left"/>
              <w:rPr>
                <w:rFonts w:eastAsia="Times New Roman"/>
                <w:i/>
                <w:iCs/>
                <w:color w:val="000000"/>
                <w:sz w:val="24"/>
                <w:szCs w:val="24"/>
                <w:lang w:val="en-GB" w:eastAsia="en-GB"/>
              </w:rPr>
            </w:pPr>
            <w:r w:rsidRPr="005606C3">
              <w:rPr>
                <w:rFonts w:eastAsia="Times New Roman"/>
                <w:i/>
                <w:iCs/>
                <w:color w:val="000000"/>
                <w:lang w:val="en-GB" w:eastAsia="en-GB"/>
              </w:rPr>
              <w:t>P. paniscus</w:t>
            </w:r>
            <w:r w:rsidRPr="005606C3">
              <w:rPr>
                <w:rFonts w:eastAsia="Times New Roman"/>
                <w:color w:val="000000"/>
                <w:lang w:val="en-GB" w:eastAsia="en-GB"/>
              </w:rPr>
              <w:t xml:space="preserve"> emergence (Kinzey 1984)</w:t>
            </w:r>
          </w:p>
        </w:tc>
        <w:tc>
          <w:tcPr>
            <w:tcW w:w="700"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M1</w:t>
            </w:r>
          </w:p>
        </w:tc>
        <w:tc>
          <w:tcPr>
            <w:tcW w:w="603"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708"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567"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eastAsia="en-GB"/>
              </w:rPr>
              <w:t>[I2</w:t>
            </w:r>
          </w:p>
        </w:tc>
        <w:tc>
          <w:tcPr>
            <w:tcW w:w="611"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P3</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P4]</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546"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M3</w:t>
            </w:r>
          </w:p>
        </w:tc>
      </w:tr>
      <w:tr w:rsidR="005606C3" w:rsidRPr="005606C3" w:rsidTr="00151139">
        <w:trPr>
          <w:trHeight w:val="315"/>
          <w:jc w:val="center"/>
        </w:trPr>
        <w:tc>
          <w:tcPr>
            <w:tcW w:w="4018" w:type="dxa"/>
            <w:shd w:val="clear" w:color="auto" w:fill="auto"/>
            <w:noWrap/>
            <w:vAlign w:val="center"/>
            <w:hideMark/>
          </w:tcPr>
          <w:p w:rsidR="00A35CA0" w:rsidRDefault="005606C3" w:rsidP="00CA5FBB">
            <w:pPr>
              <w:spacing w:before="0" w:line="240" w:lineRule="auto"/>
              <w:jc w:val="left"/>
              <w:rPr>
                <w:rFonts w:eastAsia="Times New Roman"/>
                <w:i/>
                <w:iCs/>
                <w:color w:val="000000"/>
                <w:sz w:val="24"/>
                <w:szCs w:val="24"/>
                <w:lang w:val="en-GB" w:eastAsia="en-GB"/>
              </w:rPr>
            </w:pPr>
            <w:r w:rsidRPr="005606C3">
              <w:rPr>
                <w:rFonts w:eastAsia="Times New Roman"/>
                <w:i/>
                <w:iCs/>
                <w:color w:val="000000"/>
                <w:lang w:val="en-GB" w:eastAsia="en-GB"/>
              </w:rPr>
              <w:t>P. paniscus</w:t>
            </w:r>
            <w:r w:rsidRPr="005606C3">
              <w:rPr>
                <w:rFonts w:eastAsia="Times New Roman"/>
                <w:color w:val="000000"/>
                <w:lang w:val="en-GB" w:eastAsia="en-GB"/>
              </w:rPr>
              <w:t xml:space="preserve"> mineralization (Boughner and Dean 2012)</w:t>
            </w:r>
          </w:p>
        </w:tc>
        <w:tc>
          <w:tcPr>
            <w:tcW w:w="700"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M1</w:t>
            </w:r>
          </w:p>
        </w:tc>
        <w:tc>
          <w:tcPr>
            <w:tcW w:w="603"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708"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eastAsia="en-GB"/>
              </w:rPr>
              <w:t>[I2</w:t>
            </w:r>
          </w:p>
        </w:tc>
        <w:tc>
          <w:tcPr>
            <w:tcW w:w="567"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P3</w:t>
            </w:r>
          </w:p>
        </w:tc>
        <w:tc>
          <w:tcPr>
            <w:tcW w:w="611"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P4]</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546"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M3</w:t>
            </w:r>
          </w:p>
        </w:tc>
      </w:tr>
      <w:tr w:rsidR="005606C3" w:rsidRPr="005606C3" w:rsidTr="00151139">
        <w:trPr>
          <w:trHeight w:val="315"/>
          <w:jc w:val="center"/>
        </w:trPr>
        <w:tc>
          <w:tcPr>
            <w:tcW w:w="4018" w:type="dxa"/>
            <w:shd w:val="clear" w:color="auto" w:fill="auto"/>
            <w:noWrap/>
            <w:vAlign w:val="center"/>
            <w:hideMark/>
          </w:tcPr>
          <w:p w:rsidR="00A35CA0" w:rsidRDefault="005606C3" w:rsidP="00CA5FBB">
            <w:pPr>
              <w:spacing w:before="0" w:line="240" w:lineRule="auto"/>
              <w:jc w:val="left"/>
              <w:rPr>
                <w:rFonts w:eastAsia="Times New Roman"/>
                <w:i/>
                <w:iCs/>
                <w:color w:val="000000"/>
                <w:sz w:val="24"/>
                <w:szCs w:val="24"/>
                <w:lang w:val="en-GB" w:eastAsia="en-GB"/>
              </w:rPr>
            </w:pPr>
            <w:r w:rsidRPr="005606C3">
              <w:rPr>
                <w:rFonts w:eastAsia="Times New Roman"/>
                <w:i/>
                <w:iCs/>
                <w:color w:val="000000"/>
                <w:lang w:val="en-GB" w:eastAsia="en-GB"/>
              </w:rPr>
              <w:t>P. troglodytes</w:t>
            </w:r>
            <w:r w:rsidRPr="005606C3">
              <w:rPr>
                <w:rFonts w:eastAsia="Times New Roman"/>
                <w:color w:val="000000"/>
                <w:lang w:val="en-GB" w:eastAsia="en-GB"/>
              </w:rPr>
              <w:t xml:space="preserve"> mineralization (Kuykendall 1996)</w:t>
            </w:r>
          </w:p>
        </w:tc>
        <w:tc>
          <w:tcPr>
            <w:tcW w:w="700"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M1</w:t>
            </w:r>
          </w:p>
        </w:tc>
        <w:tc>
          <w:tcPr>
            <w:tcW w:w="603"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708"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I2</w:t>
            </w:r>
          </w:p>
        </w:tc>
        <w:tc>
          <w:tcPr>
            <w:tcW w:w="567"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P3</w:t>
            </w:r>
          </w:p>
        </w:tc>
        <w:tc>
          <w:tcPr>
            <w:tcW w:w="611"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P4</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546"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M3</w:t>
            </w:r>
          </w:p>
        </w:tc>
      </w:tr>
      <w:tr w:rsidR="005606C3" w:rsidRPr="005606C3" w:rsidTr="00151139">
        <w:trPr>
          <w:trHeight w:val="315"/>
          <w:jc w:val="center"/>
        </w:trPr>
        <w:tc>
          <w:tcPr>
            <w:tcW w:w="4018" w:type="dxa"/>
            <w:shd w:val="clear" w:color="auto" w:fill="auto"/>
            <w:noWrap/>
            <w:vAlign w:val="center"/>
            <w:hideMark/>
          </w:tcPr>
          <w:p w:rsidR="00A35CA0" w:rsidRDefault="005606C3" w:rsidP="00CA5FBB">
            <w:pPr>
              <w:spacing w:before="0" w:line="240" w:lineRule="auto"/>
              <w:jc w:val="left"/>
              <w:rPr>
                <w:rFonts w:eastAsia="Times New Roman"/>
                <w:i/>
                <w:iCs/>
                <w:color w:val="000000"/>
                <w:sz w:val="24"/>
                <w:szCs w:val="24"/>
                <w:lang w:val="en-GB" w:eastAsia="en-GB"/>
              </w:rPr>
            </w:pPr>
            <w:r w:rsidRPr="005606C3">
              <w:rPr>
                <w:rFonts w:eastAsia="Times New Roman"/>
                <w:i/>
                <w:iCs/>
                <w:color w:val="000000"/>
                <w:lang w:val="en-GB" w:eastAsia="en-GB"/>
              </w:rPr>
              <w:t>P. troglodytes</w:t>
            </w:r>
            <w:r w:rsidRPr="005606C3">
              <w:rPr>
                <w:rFonts w:eastAsia="Times New Roman"/>
                <w:color w:val="000000"/>
                <w:lang w:val="en-GB" w:eastAsia="en-GB"/>
              </w:rPr>
              <w:t xml:space="preserve"> mineralization (Kuykendall and Conroy 1996)</w:t>
            </w:r>
          </w:p>
        </w:tc>
        <w:tc>
          <w:tcPr>
            <w:tcW w:w="700"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M1</w:t>
            </w:r>
          </w:p>
        </w:tc>
        <w:tc>
          <w:tcPr>
            <w:tcW w:w="603"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708"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I2</w:t>
            </w:r>
          </w:p>
        </w:tc>
        <w:tc>
          <w:tcPr>
            <w:tcW w:w="567"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[P3</w:t>
            </w:r>
          </w:p>
        </w:tc>
        <w:tc>
          <w:tcPr>
            <w:tcW w:w="611"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P4</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546"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M3</w:t>
            </w:r>
          </w:p>
        </w:tc>
      </w:tr>
      <w:tr w:rsidR="005606C3" w:rsidRPr="005606C3" w:rsidTr="00151139">
        <w:trPr>
          <w:trHeight w:val="315"/>
          <w:jc w:val="center"/>
        </w:trPr>
        <w:tc>
          <w:tcPr>
            <w:tcW w:w="4018" w:type="dxa"/>
            <w:shd w:val="clear" w:color="auto" w:fill="auto"/>
            <w:noWrap/>
            <w:vAlign w:val="center"/>
            <w:hideMark/>
          </w:tcPr>
          <w:p w:rsidR="00A35CA0" w:rsidRDefault="005606C3" w:rsidP="00CA5FBB">
            <w:pPr>
              <w:spacing w:before="0" w:line="240" w:lineRule="auto"/>
              <w:jc w:val="left"/>
              <w:rPr>
                <w:rFonts w:eastAsia="Times New Roman"/>
                <w:i/>
                <w:iCs/>
                <w:color w:val="000000"/>
                <w:sz w:val="24"/>
                <w:szCs w:val="24"/>
                <w:lang w:val="en-GB" w:eastAsia="en-GB"/>
              </w:rPr>
            </w:pPr>
            <w:r w:rsidRPr="005606C3">
              <w:rPr>
                <w:rFonts w:eastAsia="Times New Roman"/>
                <w:i/>
                <w:iCs/>
                <w:color w:val="000000"/>
                <w:lang w:val="en-GB" w:eastAsia="en-GB"/>
              </w:rPr>
              <w:t>P. troglodytes</w:t>
            </w:r>
            <w:r w:rsidRPr="005606C3">
              <w:rPr>
                <w:rFonts w:eastAsia="Times New Roman"/>
                <w:color w:val="000000"/>
                <w:lang w:val="en-GB" w:eastAsia="en-GB"/>
              </w:rPr>
              <w:t xml:space="preserve"> emergence (Conroy and Mahoney 1991)</w:t>
            </w:r>
          </w:p>
        </w:tc>
        <w:tc>
          <w:tcPr>
            <w:tcW w:w="700"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M1</w:t>
            </w:r>
          </w:p>
        </w:tc>
        <w:tc>
          <w:tcPr>
            <w:tcW w:w="603"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708"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I2</w:t>
            </w:r>
          </w:p>
        </w:tc>
        <w:tc>
          <w:tcPr>
            <w:tcW w:w="567"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611"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P3</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P4</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546"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M3</w:t>
            </w:r>
          </w:p>
        </w:tc>
      </w:tr>
      <w:tr w:rsidR="005606C3" w:rsidRPr="005606C3" w:rsidTr="00151139">
        <w:trPr>
          <w:trHeight w:val="484"/>
          <w:jc w:val="center"/>
        </w:trPr>
        <w:tc>
          <w:tcPr>
            <w:tcW w:w="4018" w:type="dxa"/>
            <w:shd w:val="clear" w:color="auto" w:fill="auto"/>
            <w:noWrap/>
            <w:vAlign w:val="center"/>
            <w:hideMark/>
          </w:tcPr>
          <w:p w:rsidR="005606C3" w:rsidRPr="005606C3" w:rsidRDefault="005606C3" w:rsidP="001708C0">
            <w:pPr>
              <w:spacing w:before="0" w:line="240" w:lineRule="auto"/>
              <w:rPr>
                <w:rFonts w:eastAsia="Times New Roman"/>
                <w:i/>
                <w:iCs/>
                <w:color w:val="000000"/>
                <w:lang w:val="en-GB" w:eastAsia="en-GB"/>
              </w:rPr>
            </w:pPr>
            <w:r w:rsidRPr="005606C3">
              <w:rPr>
                <w:rFonts w:eastAsia="Times New Roman"/>
                <w:i/>
                <w:iCs/>
                <w:color w:val="000000"/>
                <w:lang w:val="en-GB" w:eastAsia="en-GB"/>
              </w:rPr>
              <w:t>H. sapiens</w:t>
            </w:r>
            <w:r w:rsidRPr="005606C3">
              <w:rPr>
                <w:rFonts w:eastAsia="Times New Roman"/>
                <w:color w:val="000000"/>
                <w:lang w:val="en-GB" w:eastAsia="en-GB"/>
              </w:rPr>
              <w:t xml:space="preserve"> emergence (Haavikko 1970)</w:t>
            </w:r>
          </w:p>
        </w:tc>
        <w:tc>
          <w:tcPr>
            <w:tcW w:w="700"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603"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M1</w:t>
            </w:r>
          </w:p>
        </w:tc>
        <w:tc>
          <w:tcPr>
            <w:tcW w:w="708"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I2</w:t>
            </w:r>
          </w:p>
        </w:tc>
        <w:tc>
          <w:tcPr>
            <w:tcW w:w="567"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611"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P3</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P4</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546"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M3</w:t>
            </w:r>
          </w:p>
        </w:tc>
      </w:tr>
      <w:tr w:rsidR="005606C3" w:rsidRPr="005606C3" w:rsidTr="00151139">
        <w:trPr>
          <w:trHeight w:val="315"/>
          <w:jc w:val="center"/>
        </w:trPr>
        <w:tc>
          <w:tcPr>
            <w:tcW w:w="4018" w:type="dxa"/>
            <w:shd w:val="clear" w:color="auto" w:fill="auto"/>
            <w:noWrap/>
            <w:vAlign w:val="center"/>
            <w:hideMark/>
          </w:tcPr>
          <w:p w:rsidR="005606C3" w:rsidRPr="005606C3" w:rsidRDefault="005606C3" w:rsidP="001708C0">
            <w:pPr>
              <w:spacing w:before="0" w:line="240" w:lineRule="auto"/>
              <w:rPr>
                <w:rFonts w:eastAsia="Times New Roman"/>
                <w:i/>
                <w:iCs/>
                <w:color w:val="000000"/>
                <w:lang w:val="en-GB" w:eastAsia="en-GB"/>
              </w:rPr>
            </w:pPr>
            <w:r w:rsidRPr="005606C3">
              <w:rPr>
                <w:rFonts w:eastAsia="Times New Roman"/>
                <w:i/>
                <w:iCs/>
                <w:color w:val="000000"/>
                <w:lang w:val="en-GB" w:eastAsia="en-GB"/>
              </w:rPr>
              <w:t>H. sapiens</w:t>
            </w:r>
            <w:r w:rsidRPr="005606C3">
              <w:rPr>
                <w:rFonts w:eastAsia="Times New Roman"/>
                <w:color w:val="000000"/>
                <w:lang w:val="en-GB" w:eastAsia="en-GB"/>
              </w:rPr>
              <w:t xml:space="preserve"> mineralization (Demirjian and Levesque 1980)</w:t>
            </w:r>
          </w:p>
        </w:tc>
        <w:tc>
          <w:tcPr>
            <w:tcW w:w="700"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603"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M1</w:t>
            </w:r>
          </w:p>
        </w:tc>
        <w:tc>
          <w:tcPr>
            <w:tcW w:w="708"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I2</w:t>
            </w:r>
          </w:p>
        </w:tc>
        <w:tc>
          <w:tcPr>
            <w:tcW w:w="567"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611"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P3</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P4</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546"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M3</w:t>
            </w:r>
          </w:p>
        </w:tc>
      </w:tr>
      <w:tr w:rsidR="005606C3" w:rsidRPr="005606C3" w:rsidTr="00151139">
        <w:trPr>
          <w:trHeight w:val="315"/>
          <w:jc w:val="center"/>
        </w:trPr>
        <w:tc>
          <w:tcPr>
            <w:tcW w:w="4018" w:type="dxa"/>
            <w:shd w:val="clear" w:color="auto" w:fill="auto"/>
            <w:noWrap/>
            <w:vAlign w:val="center"/>
            <w:hideMark/>
          </w:tcPr>
          <w:p w:rsidR="005606C3" w:rsidRPr="005606C3" w:rsidRDefault="005606C3" w:rsidP="001708C0">
            <w:pPr>
              <w:spacing w:before="0" w:line="240" w:lineRule="auto"/>
              <w:rPr>
                <w:rFonts w:eastAsia="Times New Roman"/>
                <w:i/>
                <w:iCs/>
                <w:color w:val="000000"/>
                <w:lang w:val="en-GB" w:eastAsia="en-GB"/>
              </w:rPr>
            </w:pPr>
            <w:r w:rsidRPr="005606C3">
              <w:rPr>
                <w:rFonts w:eastAsia="Times New Roman"/>
                <w:i/>
                <w:iCs/>
                <w:color w:val="000000"/>
                <w:lang w:val="en-GB" w:eastAsia="en-GB"/>
              </w:rPr>
              <w:t xml:space="preserve">H. sapiens </w:t>
            </w:r>
            <w:r w:rsidRPr="005606C3">
              <w:rPr>
                <w:rFonts w:eastAsia="Times New Roman"/>
                <w:color w:val="000000"/>
                <w:lang w:val="en-GB" w:eastAsia="en-GB"/>
              </w:rPr>
              <w:t>mandibular eruption (Smith and Garn 1987)</w:t>
            </w:r>
          </w:p>
        </w:tc>
        <w:tc>
          <w:tcPr>
            <w:tcW w:w="700"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[M1</w:t>
            </w:r>
          </w:p>
        </w:tc>
        <w:tc>
          <w:tcPr>
            <w:tcW w:w="603"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I1]</w:t>
            </w:r>
          </w:p>
        </w:tc>
        <w:tc>
          <w:tcPr>
            <w:tcW w:w="708"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I2</w:t>
            </w:r>
          </w:p>
        </w:tc>
        <w:tc>
          <w:tcPr>
            <w:tcW w:w="567"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[C</w:t>
            </w:r>
          </w:p>
        </w:tc>
        <w:tc>
          <w:tcPr>
            <w:tcW w:w="611"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P1]</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[P2</w:t>
            </w:r>
          </w:p>
        </w:tc>
        <w:tc>
          <w:tcPr>
            <w:tcW w:w="595"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M2]</w:t>
            </w:r>
          </w:p>
        </w:tc>
        <w:tc>
          <w:tcPr>
            <w:tcW w:w="546" w:type="dxa"/>
            <w:shd w:val="clear" w:color="auto" w:fill="auto"/>
            <w:noWrap/>
            <w:vAlign w:val="center"/>
            <w:hideMark/>
          </w:tcPr>
          <w:p w:rsidR="005606C3" w:rsidRPr="005606C3" w:rsidRDefault="005606C3" w:rsidP="001708C0">
            <w:pPr>
              <w:spacing w:before="0" w:line="240" w:lineRule="auto"/>
              <w:jc w:val="center"/>
              <w:rPr>
                <w:rFonts w:eastAsia="Times New Roman"/>
                <w:color w:val="000000"/>
                <w:lang w:val="en-GB" w:eastAsia="en-GB"/>
              </w:rPr>
            </w:pPr>
            <w:r w:rsidRPr="005606C3">
              <w:rPr>
                <w:rFonts w:eastAsia="Times New Roman"/>
                <w:color w:val="000000"/>
                <w:lang w:val="en-GB" w:eastAsia="en-GB"/>
              </w:rPr>
              <w:t>-</w:t>
            </w:r>
          </w:p>
        </w:tc>
      </w:tr>
    </w:tbl>
    <w:p w:rsidR="001708C0" w:rsidRPr="007F7637" w:rsidRDefault="00A57CC1" w:rsidP="00090CBF">
      <w:pPr>
        <w:spacing w:before="120" w:line="240" w:lineRule="auto"/>
        <w:ind w:left="84"/>
        <w:rPr>
          <w:noProof/>
          <w:color w:val="000000"/>
          <w:sz w:val="20"/>
          <w:szCs w:val="20"/>
        </w:rPr>
      </w:pPr>
      <w:r>
        <w:rPr>
          <w:noProof/>
          <w:color w:val="000000"/>
          <w:sz w:val="20"/>
          <w:szCs w:val="20"/>
        </w:rPr>
        <w:t xml:space="preserve">1. </w:t>
      </w:r>
      <w:r w:rsidR="001708C0" w:rsidRPr="007F7637">
        <w:rPr>
          <w:noProof/>
          <w:color w:val="000000"/>
          <w:sz w:val="20"/>
          <w:szCs w:val="20"/>
        </w:rPr>
        <w:t>Teeth for which polymorphisms occur are bracketed by [,].</w:t>
      </w:r>
    </w:p>
    <w:p w:rsidR="006110DE" w:rsidRPr="00EF6828" w:rsidRDefault="00121ED2" w:rsidP="001708C0">
      <w:pPr>
        <w:rPr>
          <w:b/>
          <w:i/>
          <w:noProof/>
        </w:rPr>
      </w:pPr>
      <w:r w:rsidRPr="00EF6828">
        <w:rPr>
          <w:b/>
          <w:i/>
          <w:noProof/>
        </w:rPr>
        <w:t>2.4</w:t>
      </w:r>
      <w:r w:rsidR="00160FAD" w:rsidRPr="00EF6828">
        <w:rPr>
          <w:b/>
          <w:i/>
          <w:noProof/>
        </w:rPr>
        <w:t>.6.b</w:t>
      </w:r>
      <w:r w:rsidR="00160FAD" w:rsidRPr="00EF6828">
        <w:rPr>
          <w:b/>
          <w:i/>
          <w:noProof/>
        </w:rPr>
        <w:tab/>
      </w:r>
      <w:r w:rsidR="006110DE" w:rsidRPr="00EF6828">
        <w:rPr>
          <w:b/>
          <w:i/>
          <w:noProof/>
        </w:rPr>
        <w:t>Polymorphisms</w:t>
      </w:r>
    </w:p>
    <w:p w:rsidR="00340413" w:rsidRPr="001708C0" w:rsidRDefault="007A582B" w:rsidP="001708C0">
      <w:pPr>
        <w:rPr>
          <w:b/>
          <w:noProof/>
        </w:rPr>
      </w:pPr>
      <w:r>
        <w:rPr>
          <w:noProof/>
        </w:rPr>
        <w:t>Changes</w:t>
      </w:r>
      <w:r w:rsidR="006110DE">
        <w:rPr>
          <w:noProof/>
        </w:rPr>
        <w:t xml:space="preserve"> in sequence order </w:t>
      </w:r>
      <w:r w:rsidR="00E61BA1">
        <w:rPr>
          <w:noProof/>
        </w:rPr>
        <w:t xml:space="preserve">of </w:t>
      </w:r>
      <w:r w:rsidR="00820D75">
        <w:rPr>
          <w:noProof/>
        </w:rPr>
        <w:t>specific</w:t>
      </w:r>
      <w:r>
        <w:rPr>
          <w:noProof/>
        </w:rPr>
        <w:t xml:space="preserve"> teeth </w:t>
      </w:r>
      <w:r w:rsidR="00CB2A36">
        <w:rPr>
          <w:noProof/>
        </w:rPr>
        <w:t xml:space="preserve">found in </w:t>
      </w:r>
      <w:r>
        <w:rPr>
          <w:noProof/>
        </w:rPr>
        <w:t>an individual</w:t>
      </w:r>
      <w:r w:rsidR="00CB2A36">
        <w:rPr>
          <w:noProof/>
        </w:rPr>
        <w:t xml:space="preserve"> relative to the expected pattern for their species </w:t>
      </w:r>
      <w:r>
        <w:rPr>
          <w:noProof/>
        </w:rPr>
        <w:t>are referred to</w:t>
      </w:r>
      <w:r w:rsidR="006110DE">
        <w:rPr>
          <w:noProof/>
        </w:rPr>
        <w:t xml:space="preserve"> as polymorphisms.  Humans have been the most extensively studied</w:t>
      </w:r>
      <w:r w:rsidR="004A2DFB">
        <w:rPr>
          <w:noProof/>
        </w:rPr>
        <w:t xml:space="preserve"> species</w:t>
      </w:r>
      <w:r w:rsidR="006110DE">
        <w:rPr>
          <w:noProof/>
        </w:rPr>
        <w:t xml:space="preserve"> for this phenomena and some regularities have been </w:t>
      </w:r>
      <w:r w:rsidR="005C03BF">
        <w:rPr>
          <w:noProof/>
        </w:rPr>
        <w:t>observ</w:t>
      </w:r>
      <w:r w:rsidR="006110DE">
        <w:rPr>
          <w:noProof/>
        </w:rPr>
        <w:t>ed.  Sequence polymorphisms have been reported by Diamonti and Townsend (</w:t>
      </w:r>
      <w:r w:rsidR="006110DE" w:rsidRPr="008B648B">
        <w:rPr>
          <w:noProof/>
        </w:rPr>
        <w:t xml:space="preserve">2003), Garn </w:t>
      </w:r>
      <w:r w:rsidR="006110DE" w:rsidRPr="008B648B">
        <w:rPr>
          <w:i/>
          <w:noProof/>
        </w:rPr>
        <w:t>et al</w:t>
      </w:r>
      <w:r w:rsidR="001F4C31">
        <w:rPr>
          <w:i/>
          <w:noProof/>
        </w:rPr>
        <w:t>.</w:t>
      </w:r>
      <w:r w:rsidR="006110DE" w:rsidRPr="008B648B">
        <w:rPr>
          <w:noProof/>
        </w:rPr>
        <w:t xml:space="preserve"> (1973), Liversidge and Speechley (2001), Nonaka </w:t>
      </w:r>
      <w:r w:rsidR="006110DE" w:rsidRPr="008B648B">
        <w:rPr>
          <w:i/>
          <w:noProof/>
        </w:rPr>
        <w:t>et al</w:t>
      </w:r>
      <w:r w:rsidR="001F4C31">
        <w:rPr>
          <w:i/>
          <w:noProof/>
        </w:rPr>
        <w:t>.</w:t>
      </w:r>
      <w:r w:rsidR="006110DE" w:rsidRPr="008B648B">
        <w:rPr>
          <w:noProof/>
        </w:rPr>
        <w:t xml:space="preserve"> (1990), and Smith and Garn (1987).  These studies have often used quite larges samples.  </w:t>
      </w:r>
      <w:r w:rsidR="006110DE" w:rsidRPr="008B648B">
        <w:rPr>
          <w:noProof/>
        </w:rPr>
        <w:lastRenderedPageBreak/>
        <w:t>For example, Smith and Garn (1987) looke</w:t>
      </w:r>
      <w:r w:rsidR="006110DE">
        <w:rPr>
          <w:noProof/>
        </w:rPr>
        <w:t xml:space="preserve">d at </w:t>
      </w:r>
      <w:r w:rsidR="006110DE" w:rsidRPr="005B2DF8">
        <w:rPr>
          <w:noProof/>
        </w:rPr>
        <w:t>human sequence polymorphisms in a large sample of 6</w:t>
      </w:r>
      <w:r w:rsidR="00873BBD">
        <w:rPr>
          <w:noProof/>
        </w:rPr>
        <w:t>,</w:t>
      </w:r>
      <w:r w:rsidR="006110DE" w:rsidRPr="005B2DF8">
        <w:rPr>
          <w:noProof/>
        </w:rPr>
        <w:t>000 black and white Americans.  They found polymorphisms for the mandible at [M1 I1] I2 [C P1] [P2 M2] with [</w:t>
      </w:r>
      <w:r w:rsidR="006110DE">
        <w:rPr>
          <w:noProof/>
        </w:rPr>
        <w:t>M1 I1] shifts the most common.  Diamonti and Townsend (2003) found similar results using a sample of 8</w:t>
      </w:r>
      <w:r w:rsidR="004F380B">
        <w:rPr>
          <w:noProof/>
        </w:rPr>
        <w:t>,</w:t>
      </w:r>
      <w:r w:rsidR="006110DE">
        <w:rPr>
          <w:noProof/>
        </w:rPr>
        <w:t xml:space="preserve">676 children from Australia whom were said to be typically of European ancestry.  Studies of children from other populations include South Asians (Kaul </w:t>
      </w:r>
      <w:r w:rsidR="006110DE">
        <w:rPr>
          <w:i/>
          <w:noProof/>
        </w:rPr>
        <w:t>et al</w:t>
      </w:r>
      <w:r w:rsidR="0052023F">
        <w:rPr>
          <w:noProof/>
        </w:rPr>
        <w:t>.</w:t>
      </w:r>
      <w:r w:rsidR="006110DE">
        <w:rPr>
          <w:i/>
          <w:noProof/>
        </w:rPr>
        <w:t xml:space="preserve"> </w:t>
      </w:r>
      <w:r w:rsidR="006110DE">
        <w:rPr>
          <w:noProof/>
        </w:rPr>
        <w:t xml:space="preserve">1975), Japanese (Nonaka </w:t>
      </w:r>
      <w:r w:rsidR="006110DE">
        <w:rPr>
          <w:i/>
          <w:noProof/>
        </w:rPr>
        <w:t xml:space="preserve">et al </w:t>
      </w:r>
      <w:r w:rsidR="006110DE">
        <w:rPr>
          <w:noProof/>
        </w:rPr>
        <w:t xml:space="preserve">1990), Malays (Hussin </w:t>
      </w:r>
      <w:r w:rsidR="006110DE">
        <w:rPr>
          <w:i/>
          <w:noProof/>
        </w:rPr>
        <w:t>et al</w:t>
      </w:r>
      <w:r w:rsidR="00B94501">
        <w:rPr>
          <w:i/>
          <w:noProof/>
        </w:rPr>
        <w:t>.</w:t>
      </w:r>
      <w:r w:rsidR="006110DE">
        <w:rPr>
          <w:noProof/>
        </w:rPr>
        <w:t xml:space="preserve"> 2007) among others.  The prevalence rate for the [M1 I1] polymorphism appear to vary from 30% to 50%.  The </w:t>
      </w:r>
      <w:r w:rsidR="006110DE" w:rsidRPr="005B2DF8">
        <w:rPr>
          <w:noProof/>
        </w:rPr>
        <w:t>[C P1] [P2 M2]</w:t>
      </w:r>
      <w:r w:rsidR="006110DE">
        <w:rPr>
          <w:noProof/>
        </w:rPr>
        <w:t xml:space="preserve"> polymorphisms appeared in all groups but less frequently and consistently.  The aforementioned studies of other populations have tended to find similar results.  Many of the differences observed  in these studies have been criticized for inconsistencies in definitions and methodological considerations such radiographic observation techniques (Braga and Heuze 2007).</w:t>
      </w:r>
    </w:p>
    <w:p w:rsidR="000718A7" w:rsidRPr="001708C0" w:rsidRDefault="006110DE" w:rsidP="001708C0">
      <w:pPr>
        <w:rPr>
          <w:noProof/>
        </w:rPr>
      </w:pPr>
      <w:r>
        <w:rPr>
          <w:noProof/>
        </w:rPr>
        <w:t xml:space="preserve">It is clear that human teeth are suceptible to sequence changes of emergence with relatively high frequencies.  </w:t>
      </w:r>
      <w:r w:rsidR="00796C87">
        <w:rPr>
          <w:noProof/>
        </w:rPr>
        <w:t>The frequency of</w:t>
      </w:r>
      <w:r>
        <w:rPr>
          <w:noProof/>
        </w:rPr>
        <w:t xml:space="preserve"> </w:t>
      </w:r>
      <w:r w:rsidR="00796C87">
        <w:rPr>
          <w:noProof/>
        </w:rPr>
        <w:t>sequence changes</w:t>
      </w:r>
      <w:r>
        <w:rPr>
          <w:noProof/>
        </w:rPr>
        <w:t xml:space="preserve"> </w:t>
      </w:r>
      <w:r w:rsidR="00796C87">
        <w:rPr>
          <w:noProof/>
        </w:rPr>
        <w:t>in</w:t>
      </w:r>
      <w:r>
        <w:rPr>
          <w:noProof/>
        </w:rPr>
        <w:t xml:space="preserve"> chimpanzees and bonobos is less</w:t>
      </w:r>
      <w:r w:rsidR="005A6E1E">
        <w:rPr>
          <w:noProof/>
        </w:rPr>
        <w:t xml:space="preserve"> clear</w:t>
      </w:r>
      <w:r>
        <w:rPr>
          <w:noProof/>
        </w:rPr>
        <w:t xml:space="preserve"> </w:t>
      </w:r>
      <w:r w:rsidR="005A6E1E">
        <w:rPr>
          <w:noProof/>
        </w:rPr>
        <w:t xml:space="preserve">when considering </w:t>
      </w:r>
      <w:r w:rsidR="004E76CE">
        <w:rPr>
          <w:noProof/>
        </w:rPr>
        <w:t>the studies</w:t>
      </w:r>
      <w:r w:rsidR="005A6E1E">
        <w:rPr>
          <w:noProof/>
        </w:rPr>
        <w:t xml:space="preserve"> in </w:t>
      </w:r>
      <w:r w:rsidR="00A17646">
        <w:rPr>
          <w:noProof/>
        </w:rPr>
        <w:t>T</w:t>
      </w:r>
      <w:r w:rsidR="005A6E1E">
        <w:rPr>
          <w:noProof/>
        </w:rPr>
        <w:t>able 2.1</w:t>
      </w:r>
      <w:r w:rsidR="003C04FF">
        <w:rPr>
          <w:noProof/>
        </w:rPr>
        <w:t>1</w:t>
      </w:r>
      <w:r>
        <w:rPr>
          <w:noProof/>
        </w:rPr>
        <w:t xml:space="preserve">.  </w:t>
      </w:r>
      <w:r w:rsidR="00BC411A">
        <w:rPr>
          <w:noProof/>
        </w:rPr>
        <w:t xml:space="preserve">Neither mineralization sequences or polymorphisms agree between studies.  </w:t>
      </w:r>
      <w:r w:rsidR="00796C87">
        <w:rPr>
          <w:noProof/>
        </w:rPr>
        <w:t>There is not</w:t>
      </w:r>
      <w:r>
        <w:rPr>
          <w:noProof/>
        </w:rPr>
        <w:t xml:space="preserve"> enough data to evaluate if the species of </w:t>
      </w:r>
      <w:r>
        <w:rPr>
          <w:i/>
          <w:noProof/>
        </w:rPr>
        <w:t>Pan</w:t>
      </w:r>
      <w:r>
        <w:rPr>
          <w:noProof/>
        </w:rPr>
        <w:t xml:space="preserve"> share the same level of variability as humans</w:t>
      </w:r>
      <w:r w:rsidR="00A13AA4">
        <w:rPr>
          <w:noProof/>
        </w:rPr>
        <w:t xml:space="preserve">.  </w:t>
      </w:r>
      <w:r w:rsidR="00D07BF9">
        <w:rPr>
          <w:noProof/>
        </w:rPr>
        <w:t xml:space="preserve">Given that </w:t>
      </w:r>
      <w:r w:rsidR="00A24F6D">
        <w:rPr>
          <w:noProof/>
        </w:rPr>
        <w:t xml:space="preserve">smaller human studies of only several hundred individuals often </w:t>
      </w:r>
      <w:r w:rsidR="00D07BF9">
        <w:rPr>
          <w:noProof/>
        </w:rPr>
        <w:t>retain a level of uncertainty</w:t>
      </w:r>
      <w:r w:rsidR="00A24F6D">
        <w:rPr>
          <w:noProof/>
        </w:rPr>
        <w:t xml:space="preserve"> as a consequence of sample size</w:t>
      </w:r>
      <w:r w:rsidR="00D07BF9">
        <w:rPr>
          <w:noProof/>
        </w:rPr>
        <w:t xml:space="preserve">, it may be </w:t>
      </w:r>
      <w:r>
        <w:rPr>
          <w:noProof/>
        </w:rPr>
        <w:t>infer</w:t>
      </w:r>
      <w:r w:rsidR="00D07BF9">
        <w:rPr>
          <w:noProof/>
        </w:rPr>
        <w:t>red</w:t>
      </w:r>
      <w:r>
        <w:rPr>
          <w:noProof/>
        </w:rPr>
        <w:t xml:space="preserve"> that exceptionally large</w:t>
      </w:r>
      <w:r w:rsidR="00A24F6D">
        <w:rPr>
          <w:noProof/>
        </w:rPr>
        <w:t>r</w:t>
      </w:r>
      <w:r>
        <w:rPr>
          <w:noProof/>
        </w:rPr>
        <w:t xml:space="preserve"> samples </w:t>
      </w:r>
      <w:r w:rsidR="00A24F6D">
        <w:rPr>
          <w:noProof/>
        </w:rPr>
        <w:t xml:space="preserve">are critical for finding </w:t>
      </w:r>
      <w:r>
        <w:rPr>
          <w:noProof/>
        </w:rPr>
        <w:t xml:space="preserve">trends.  Another important </w:t>
      </w:r>
      <w:r w:rsidR="00A47A77">
        <w:rPr>
          <w:noProof/>
        </w:rPr>
        <w:t xml:space="preserve">perspective to consider is sequences of mineralization irrespective of time.  </w:t>
      </w:r>
      <w:r w:rsidR="00B81FC9">
        <w:rPr>
          <w:noProof/>
        </w:rPr>
        <w:t xml:space="preserve">Braga and Heuze </w:t>
      </w:r>
      <w:r w:rsidR="00A47A77">
        <w:rPr>
          <w:noProof/>
        </w:rPr>
        <w:t>(</w:t>
      </w:r>
      <w:r w:rsidR="00B81FC9">
        <w:rPr>
          <w:noProof/>
        </w:rPr>
        <w:t>2007</w:t>
      </w:r>
      <w:r>
        <w:rPr>
          <w:noProof/>
        </w:rPr>
        <w:t>)</w:t>
      </w:r>
      <w:r w:rsidR="00A47A77">
        <w:rPr>
          <w:noProof/>
        </w:rPr>
        <w:t xml:space="preserve"> considered human teeth by looking at modularity using X-rays of 2089 human children</w:t>
      </w:r>
      <w:r w:rsidR="008119AC">
        <w:rPr>
          <w:noProof/>
        </w:rPr>
        <w:t xml:space="preserve">, finding </w:t>
      </w:r>
      <w:r w:rsidR="00811AD8">
        <w:rPr>
          <w:noProof/>
        </w:rPr>
        <w:t xml:space="preserve">that the incisors and post-incisors </w:t>
      </w:r>
      <w:r w:rsidR="00F61899">
        <w:rPr>
          <w:noProof/>
        </w:rPr>
        <w:t xml:space="preserve">may behave </w:t>
      </w:r>
      <w:r w:rsidR="0069794F">
        <w:rPr>
          <w:noProof/>
        </w:rPr>
        <w:t>as</w:t>
      </w:r>
      <w:r w:rsidR="00811AD8">
        <w:rPr>
          <w:noProof/>
        </w:rPr>
        <w:t xml:space="preserve"> variably independent subsets</w:t>
      </w:r>
      <w:r w:rsidR="004E2B6C">
        <w:rPr>
          <w:noProof/>
        </w:rPr>
        <w:t xml:space="preserve"> of teeth</w:t>
      </w:r>
      <w:r>
        <w:rPr>
          <w:noProof/>
        </w:rPr>
        <w:t>.</w:t>
      </w:r>
      <w:r w:rsidR="000C49A4">
        <w:rPr>
          <w:noProof/>
        </w:rPr>
        <w:t xml:space="preserve">  They suggested that a full understanding of sequence variability should not necessarily assume independence of teeth.</w:t>
      </w:r>
      <w:r w:rsidR="00DF1449">
        <w:rPr>
          <w:noProof/>
        </w:rPr>
        <w:t xml:space="preserve">  Emergence and mineralization may also not correlate.  </w:t>
      </w:r>
      <w:r>
        <w:rPr>
          <w:noProof/>
        </w:rPr>
        <w:t xml:space="preserve">Kuykendall and Conroy (1996) found that this </w:t>
      </w:r>
      <w:r w:rsidR="00796C87">
        <w:rPr>
          <w:noProof/>
        </w:rPr>
        <w:t>may</w:t>
      </w:r>
      <w:r>
        <w:rPr>
          <w:noProof/>
        </w:rPr>
        <w:t xml:space="preserve"> be true for chimpanzees.</w:t>
      </w:r>
    </w:p>
    <w:p w:rsidR="006110DE" w:rsidRDefault="00C81481" w:rsidP="00C81481">
      <w:pPr>
        <w:rPr>
          <w:noProof/>
        </w:rPr>
      </w:pPr>
      <w:r>
        <w:rPr>
          <w:noProof/>
        </w:rPr>
        <w:t xml:space="preserve">The observed variability in polymorphisms for chimpanzees and bonobos appears more likely a consequence of uncertainty caused by small sample rather than an actual species-level difference.  It will be assumed for the purposes of this study that these species do not </w:t>
      </w:r>
      <w:r w:rsidR="00A31EA1">
        <w:rPr>
          <w:noProof/>
        </w:rPr>
        <w:t>consistently differ in their polymorphic centres and that their dental development schedules are the same</w:t>
      </w:r>
      <w:r>
        <w:rPr>
          <w:noProof/>
        </w:rPr>
        <w:t>.</w:t>
      </w:r>
      <w:r w:rsidR="006110DE">
        <w:rPr>
          <w:noProof/>
        </w:rPr>
        <w:t xml:space="preserve"> </w:t>
      </w:r>
      <w:r w:rsidR="00E13432">
        <w:rPr>
          <w:noProof/>
        </w:rPr>
        <w:t xml:space="preserve"> </w:t>
      </w:r>
      <w:r w:rsidR="006110DE">
        <w:rPr>
          <w:noProof/>
        </w:rPr>
        <w:t>It may also be suggested that the observation of polymorphisms with the sample sized used in this study may or may not have an</w:t>
      </w:r>
      <w:r w:rsidR="00533858">
        <w:rPr>
          <w:noProof/>
        </w:rPr>
        <w:t>y</w:t>
      </w:r>
      <w:r w:rsidR="006110DE">
        <w:rPr>
          <w:noProof/>
        </w:rPr>
        <w:t xml:space="preserve"> statistical relevance.  </w:t>
      </w:r>
      <w:r w:rsidR="00DA5650">
        <w:rPr>
          <w:noProof/>
        </w:rPr>
        <w:t>Although it has not been directly tested by any of the aforementioned studies, t</w:t>
      </w:r>
      <w:r w:rsidR="003821AD">
        <w:rPr>
          <w:noProof/>
        </w:rPr>
        <w:t>here is no indication that changes in sequence necessarily affect dental score r</w:t>
      </w:r>
      <w:r w:rsidR="00533858">
        <w:rPr>
          <w:noProof/>
        </w:rPr>
        <w:t>elative to chronological time.</w:t>
      </w:r>
    </w:p>
    <w:p w:rsidR="00E94CEE" w:rsidRDefault="00E94CEE">
      <w:pPr>
        <w:spacing w:before="0" w:after="200" w:line="276" w:lineRule="auto"/>
        <w:jc w:val="left"/>
        <w:rPr>
          <w:b/>
          <w:i/>
          <w:noProof/>
        </w:rPr>
      </w:pPr>
      <w:r>
        <w:rPr>
          <w:b/>
          <w:i/>
          <w:noProof/>
        </w:rPr>
        <w:br w:type="page"/>
      </w:r>
    </w:p>
    <w:p w:rsidR="006110DE" w:rsidRPr="00EF6828" w:rsidRDefault="00121ED2" w:rsidP="001708C0">
      <w:pPr>
        <w:rPr>
          <w:b/>
          <w:i/>
          <w:noProof/>
        </w:rPr>
      </w:pPr>
      <w:r w:rsidRPr="00EF6828">
        <w:rPr>
          <w:b/>
          <w:i/>
          <w:noProof/>
        </w:rPr>
        <w:lastRenderedPageBreak/>
        <w:t>2.4</w:t>
      </w:r>
      <w:r w:rsidR="004F380B" w:rsidRPr="00EF6828">
        <w:rPr>
          <w:b/>
          <w:i/>
          <w:noProof/>
        </w:rPr>
        <w:t>.6.c</w:t>
      </w:r>
      <w:r w:rsidR="004F380B" w:rsidRPr="00EF6828">
        <w:rPr>
          <w:b/>
          <w:i/>
          <w:noProof/>
        </w:rPr>
        <w:tab/>
      </w:r>
      <w:r w:rsidR="006110DE" w:rsidRPr="00EF6828">
        <w:rPr>
          <w:b/>
          <w:i/>
          <w:noProof/>
        </w:rPr>
        <w:t>Chronological scheduling</w:t>
      </w:r>
    </w:p>
    <w:p w:rsidR="006110DE" w:rsidRPr="001708C0" w:rsidRDefault="006110DE" w:rsidP="001708C0">
      <w:pPr>
        <w:rPr>
          <w:noProof/>
        </w:rPr>
      </w:pPr>
      <w:r>
        <w:rPr>
          <w:noProof/>
        </w:rPr>
        <w:t xml:space="preserve">Due to the requirement of known-age samples, tying dental development to calendar years has been studied much less extensively for chimpanzees and bonobos than </w:t>
      </w:r>
      <w:r w:rsidR="008760FA">
        <w:rPr>
          <w:noProof/>
        </w:rPr>
        <w:t>sequences of mineralization and emergence</w:t>
      </w:r>
      <w:r>
        <w:rPr>
          <w:noProof/>
        </w:rPr>
        <w:t xml:space="preserve">.  The best data for providing estimated ages of completion for chimpanzees come from </w:t>
      </w:r>
      <w:r w:rsidR="001253D6">
        <w:rPr>
          <w:noProof/>
        </w:rPr>
        <w:t xml:space="preserve">Kuykendall (1996), </w:t>
      </w:r>
      <w:r>
        <w:rPr>
          <w:noProof/>
        </w:rPr>
        <w:t xml:space="preserve">Kuykendall </w:t>
      </w:r>
      <w:r>
        <w:rPr>
          <w:i/>
          <w:noProof/>
        </w:rPr>
        <w:t>et al</w:t>
      </w:r>
      <w:r w:rsidR="001253D6">
        <w:rPr>
          <w:i/>
          <w:noProof/>
        </w:rPr>
        <w:t>.</w:t>
      </w:r>
      <w:r>
        <w:rPr>
          <w:i/>
          <w:noProof/>
        </w:rPr>
        <w:t xml:space="preserve"> </w:t>
      </w:r>
      <w:r>
        <w:rPr>
          <w:noProof/>
        </w:rPr>
        <w:t>(1992)</w:t>
      </w:r>
      <w:r w:rsidR="001253D6">
        <w:rPr>
          <w:noProof/>
        </w:rPr>
        <w:t>,</w:t>
      </w:r>
      <w:r>
        <w:rPr>
          <w:noProof/>
        </w:rPr>
        <w:t xml:space="preserve"> and Kuykendall and Conroy (1996)</w:t>
      </w:r>
      <w:r w:rsidR="001253D6">
        <w:rPr>
          <w:noProof/>
        </w:rPr>
        <w:t>.  As an anatomical reference, i</w:t>
      </w:r>
      <w:r>
        <w:rPr>
          <w:noProof/>
        </w:rPr>
        <w:t xml:space="preserve">t has been found that the third molar is in occlusion prior to the fusion of the proximal humerus (Bolter and Zihlman 2012, Zihlman </w:t>
      </w:r>
      <w:r>
        <w:rPr>
          <w:i/>
          <w:noProof/>
        </w:rPr>
        <w:t>et al</w:t>
      </w:r>
      <w:r w:rsidR="004F20FF">
        <w:rPr>
          <w:noProof/>
        </w:rPr>
        <w:t>.</w:t>
      </w:r>
      <w:r>
        <w:rPr>
          <w:noProof/>
        </w:rPr>
        <w:t xml:space="preserve"> 2007)</w:t>
      </w:r>
      <w:r w:rsidR="001253D6">
        <w:rPr>
          <w:noProof/>
        </w:rPr>
        <w:t>.  O</w:t>
      </w:r>
      <w:r>
        <w:rPr>
          <w:noProof/>
        </w:rPr>
        <w:t>ther studies</w:t>
      </w:r>
      <w:r w:rsidR="001253D6">
        <w:rPr>
          <w:noProof/>
        </w:rPr>
        <w:t xml:space="preserve"> that link chronological time to mineralization have been completed as well</w:t>
      </w:r>
      <w:r>
        <w:rPr>
          <w:noProof/>
        </w:rPr>
        <w:t xml:space="preserve"> (e.g.</w:t>
      </w:r>
      <w:r w:rsidR="00374A1D">
        <w:rPr>
          <w:noProof/>
        </w:rPr>
        <w:t>,</w:t>
      </w:r>
      <w:r>
        <w:rPr>
          <w:noProof/>
        </w:rPr>
        <w:t xml:space="preserve"> Anemone </w:t>
      </w:r>
      <w:r>
        <w:rPr>
          <w:i/>
          <w:noProof/>
        </w:rPr>
        <w:t>et al</w:t>
      </w:r>
      <w:r w:rsidR="000C3A3A" w:rsidRPr="000C3A3A">
        <w:rPr>
          <w:noProof/>
        </w:rPr>
        <w:t>.</w:t>
      </w:r>
      <w:r>
        <w:rPr>
          <w:noProof/>
        </w:rPr>
        <w:t xml:space="preserve"> 1996, Smith </w:t>
      </w:r>
      <w:r>
        <w:rPr>
          <w:i/>
          <w:noProof/>
        </w:rPr>
        <w:t>et al</w:t>
      </w:r>
      <w:r w:rsidR="000C3A3A" w:rsidRPr="000C3A3A">
        <w:rPr>
          <w:noProof/>
        </w:rPr>
        <w:t>.</w:t>
      </w:r>
      <w:r>
        <w:rPr>
          <w:noProof/>
        </w:rPr>
        <w:t xml:space="preserve"> 2007).  For bonobos, </w:t>
      </w:r>
      <w:r w:rsidR="001B04FA">
        <w:rPr>
          <w:noProof/>
        </w:rPr>
        <w:t xml:space="preserve">there is reliance </w:t>
      </w:r>
      <w:r>
        <w:rPr>
          <w:noProof/>
        </w:rPr>
        <w:t>on the compartively small sample sizes of Bolter and Zihlman (2011, 2012).  The data provided by these studies do suggest that there is no remarkable deviation between chimpanzees and bonobos with regards to overall period of dental maturation.</w:t>
      </w:r>
    </w:p>
    <w:p w:rsidR="006110DE" w:rsidRPr="00187758" w:rsidRDefault="006110DE" w:rsidP="00D263E8">
      <w:pPr>
        <w:pStyle w:val="Heading3"/>
      </w:pPr>
      <w:bookmarkStart w:id="75" w:name="_Toc373477737"/>
      <w:bookmarkStart w:id="76" w:name="_Toc373480735"/>
      <w:r>
        <w:t xml:space="preserve">Assessment of environmental factors affecting dental development: </w:t>
      </w:r>
      <w:r w:rsidRPr="00187758">
        <w:t>Pathology and systemic stress</w:t>
      </w:r>
      <w:bookmarkEnd w:id="75"/>
      <w:bookmarkEnd w:id="76"/>
    </w:p>
    <w:p w:rsidR="00E94CEE" w:rsidRDefault="006110DE" w:rsidP="001708C0">
      <w:pPr>
        <w:rPr>
          <w:lang w:val="en-CA"/>
        </w:rPr>
      </w:pPr>
      <w:r>
        <w:rPr>
          <w:noProof/>
        </w:rPr>
        <w:t xml:space="preserve">It has been found in humans that that the dentition is less affected by systemic insult than is skeletal growth (Demirjian </w:t>
      </w:r>
      <w:r>
        <w:rPr>
          <w:i/>
          <w:noProof/>
        </w:rPr>
        <w:t>et al</w:t>
      </w:r>
      <w:r w:rsidR="00E739AD">
        <w:rPr>
          <w:i/>
          <w:noProof/>
        </w:rPr>
        <w:t>.</w:t>
      </w:r>
      <w:r>
        <w:rPr>
          <w:i/>
          <w:noProof/>
        </w:rPr>
        <w:t xml:space="preserve"> </w:t>
      </w:r>
      <w:r>
        <w:rPr>
          <w:noProof/>
        </w:rPr>
        <w:t>1985, Lewis and Garn 1960,</w:t>
      </w:r>
      <w:r w:rsidRPr="00767D23">
        <w:rPr>
          <w:noProof/>
        </w:rPr>
        <w:t xml:space="preserve"> </w:t>
      </w:r>
      <w:r>
        <w:rPr>
          <w:noProof/>
        </w:rPr>
        <w:t>Smith</w:t>
      </w:r>
      <w:r w:rsidRPr="00E12AF8">
        <w:rPr>
          <w:noProof/>
        </w:rPr>
        <w:t xml:space="preserve"> 1991</w:t>
      </w:r>
      <w:r>
        <w:rPr>
          <w:noProof/>
        </w:rPr>
        <w:t>).  Archaeological studies comparing skeletal maturation and dental development have found the same result (Cardoso 2007).  For chimpanzees there is less data and for bonobos there is none at all.  It has</w:t>
      </w:r>
      <w:r w:rsidR="00E739AD">
        <w:rPr>
          <w:noProof/>
        </w:rPr>
        <w:t xml:space="preserve"> been suggest that in primates </w:t>
      </w:r>
      <w:r>
        <w:rPr>
          <w:noProof/>
        </w:rPr>
        <w:t>captive individuals demonstrate advanced dental emergence (Phillips-Conroy and Jolly 1988).</w:t>
      </w:r>
      <w:r>
        <w:rPr>
          <w:lang w:val="en-CA"/>
        </w:rPr>
        <w:t xml:space="preserve">  </w:t>
      </w:r>
      <w:r w:rsidRPr="00C35C11">
        <w:rPr>
          <w:lang w:val="en-CA"/>
        </w:rPr>
        <w:t>Zihlman</w:t>
      </w:r>
      <w:r>
        <w:rPr>
          <w:lang w:val="en-CA"/>
        </w:rPr>
        <w:t xml:space="preserve"> </w:t>
      </w:r>
      <w:r>
        <w:rPr>
          <w:i/>
          <w:lang w:val="en-CA"/>
        </w:rPr>
        <w:t>et al</w:t>
      </w:r>
      <w:r w:rsidR="00707885">
        <w:rPr>
          <w:i/>
          <w:lang w:val="en-CA"/>
        </w:rPr>
        <w:t>.</w:t>
      </w:r>
      <w:r>
        <w:rPr>
          <w:lang w:val="en-CA"/>
        </w:rPr>
        <w:t xml:space="preserve"> (2004, 2007) compared wild and captive chimpanzee dental developmental, finding that captive individuals were much more advanced when compared to the wild sample.</w:t>
      </w:r>
      <w:r w:rsidRPr="00B602CF">
        <w:rPr>
          <w:noProof/>
        </w:rPr>
        <w:t xml:space="preserve"> </w:t>
      </w:r>
      <w:r w:rsidR="00707885">
        <w:rPr>
          <w:noProof/>
        </w:rPr>
        <w:t xml:space="preserve"> </w:t>
      </w:r>
      <w:r>
        <w:rPr>
          <w:lang w:val="en-CA"/>
        </w:rPr>
        <w:t xml:space="preserve">These studies </w:t>
      </w:r>
      <w:r w:rsidR="00D41AD2">
        <w:rPr>
          <w:lang w:val="en-CA"/>
        </w:rPr>
        <w:t xml:space="preserve">made the assumption </w:t>
      </w:r>
      <w:r>
        <w:rPr>
          <w:lang w:val="en-CA"/>
        </w:rPr>
        <w:t xml:space="preserve">that wild individuals were more stressed than captive.  </w:t>
      </w:r>
      <w:r w:rsidRPr="00912608">
        <w:rPr>
          <w:lang w:val="en-CA"/>
        </w:rPr>
        <w:t xml:space="preserve">These findings were refuted by Smith </w:t>
      </w:r>
      <w:r w:rsidRPr="00AF2BC9">
        <w:rPr>
          <w:i/>
          <w:lang w:val="en-CA"/>
        </w:rPr>
        <w:t>et al</w:t>
      </w:r>
      <w:r w:rsidR="00815DCC">
        <w:rPr>
          <w:i/>
          <w:lang w:val="en-CA"/>
        </w:rPr>
        <w:t>.</w:t>
      </w:r>
      <w:r w:rsidRPr="00912608">
        <w:rPr>
          <w:lang w:val="en-CA"/>
        </w:rPr>
        <w:t xml:space="preserve"> (2010) who re-assessed the same material with some additional individuals.</w:t>
      </w:r>
      <w:r>
        <w:rPr>
          <w:lang w:val="en-CA"/>
        </w:rPr>
        <w:t xml:space="preserve">  They found that wild and captive emergence timings greatly overlap.  Smith </w:t>
      </w:r>
      <w:r>
        <w:rPr>
          <w:i/>
          <w:lang w:val="en-CA"/>
        </w:rPr>
        <w:t>et al</w:t>
      </w:r>
      <w:r w:rsidR="00815DCC">
        <w:rPr>
          <w:i/>
          <w:lang w:val="en-CA"/>
        </w:rPr>
        <w:t>.</w:t>
      </w:r>
      <w:r>
        <w:rPr>
          <w:lang w:val="en-CA"/>
        </w:rPr>
        <w:t xml:space="preserve"> (2010) also used radiographic methods to further clarify their results.  It is important to keep in mind that ‘captive’ and ‘wild’ are not direct analogues of ‘healthy’ and ‘stressed’ and with other environmental variables likely, these studies are inherently ambiguous.  Aside from these comparisons, there exist no studies with well-defined stressed and unstressed individuals.  Smith </w:t>
      </w:r>
      <w:r>
        <w:rPr>
          <w:i/>
          <w:lang w:val="en-CA"/>
        </w:rPr>
        <w:t>et al</w:t>
      </w:r>
      <w:r w:rsidR="004B2DEB">
        <w:rPr>
          <w:i/>
          <w:lang w:val="en-CA"/>
        </w:rPr>
        <w:t>.</w:t>
      </w:r>
      <w:r w:rsidRPr="00507D10">
        <w:rPr>
          <w:lang w:val="en-CA"/>
        </w:rPr>
        <w:t>’s</w:t>
      </w:r>
      <w:r>
        <w:rPr>
          <w:lang w:val="en-CA"/>
        </w:rPr>
        <w:t xml:space="preserve"> (2010) results may be important for the interpretation of results of studies such as this one where mixed captive and wild individuals are included.  </w:t>
      </w:r>
      <w:r w:rsidR="00104BE0">
        <w:rPr>
          <w:lang w:val="en-CA"/>
        </w:rPr>
        <w:t xml:space="preserve">Although </w:t>
      </w:r>
      <w:r>
        <w:rPr>
          <w:lang w:val="en-CA"/>
        </w:rPr>
        <w:t xml:space="preserve">it cannot be demonstrated that the nutritional status of their sample mirrors that of other skeletal collections, </w:t>
      </w:r>
      <w:r w:rsidR="00104BE0">
        <w:rPr>
          <w:lang w:val="en-CA"/>
        </w:rPr>
        <w:t xml:space="preserve">their conclusions suggest that </w:t>
      </w:r>
      <w:r>
        <w:rPr>
          <w:lang w:val="en-CA"/>
        </w:rPr>
        <w:t>large deviations between captive and wild groups should not be expected.</w:t>
      </w:r>
    </w:p>
    <w:p w:rsidR="00E94CEE" w:rsidRDefault="00E94CEE">
      <w:pPr>
        <w:spacing w:before="0" w:after="200" w:line="276" w:lineRule="auto"/>
        <w:jc w:val="left"/>
        <w:rPr>
          <w:lang w:val="en-CA"/>
        </w:rPr>
      </w:pPr>
      <w:r>
        <w:rPr>
          <w:lang w:val="en-CA"/>
        </w:rPr>
        <w:br w:type="page"/>
      </w:r>
    </w:p>
    <w:p w:rsidR="006110DE" w:rsidRPr="00C72162" w:rsidRDefault="006110DE" w:rsidP="00D263E8">
      <w:pPr>
        <w:pStyle w:val="Heading2"/>
      </w:pPr>
      <w:bookmarkStart w:id="77" w:name="_Toc373477738"/>
      <w:bookmarkStart w:id="78" w:name="_Toc373480736"/>
      <w:r w:rsidRPr="00110110">
        <w:lastRenderedPageBreak/>
        <w:t>Lon</w:t>
      </w:r>
      <w:r>
        <w:t xml:space="preserve">g bone </w:t>
      </w:r>
      <w:r w:rsidR="00642142">
        <w:t xml:space="preserve">growth in </w:t>
      </w:r>
      <w:r>
        <w:t xml:space="preserve">length: </w:t>
      </w:r>
      <w:r w:rsidR="00E92500">
        <w:t>I</w:t>
      </w:r>
      <w:r>
        <w:t>ntroduction</w:t>
      </w:r>
      <w:bookmarkEnd w:id="77"/>
      <w:bookmarkEnd w:id="78"/>
    </w:p>
    <w:p w:rsidR="006110DE" w:rsidRDefault="006110DE" w:rsidP="007A1AFA">
      <w:pPr>
        <w:rPr>
          <w:noProof/>
        </w:rPr>
      </w:pPr>
      <w:r>
        <w:rPr>
          <w:noProof/>
        </w:rPr>
        <w:t>There are two main factors to consider with respect to long</w:t>
      </w:r>
      <w:r w:rsidR="002456A0">
        <w:rPr>
          <w:noProof/>
        </w:rPr>
        <w:t>-</w:t>
      </w:r>
      <w:r>
        <w:rPr>
          <w:noProof/>
        </w:rPr>
        <w:t>bone growth and these stem from two separate questions.  First</w:t>
      </w:r>
      <w:r w:rsidR="001A6722">
        <w:rPr>
          <w:noProof/>
        </w:rPr>
        <w:t>,</w:t>
      </w:r>
      <w:r>
        <w:rPr>
          <w:noProof/>
        </w:rPr>
        <w:t xml:space="preserve"> changes in allometry between species and the achievement of these difference during growth</w:t>
      </w:r>
      <w:r w:rsidR="004B2DEB">
        <w:rPr>
          <w:noProof/>
        </w:rPr>
        <w:t xml:space="preserve"> must be considered</w:t>
      </w:r>
      <w:r>
        <w:rPr>
          <w:noProof/>
        </w:rPr>
        <w:t>.  Mere observation suggests tha</w:t>
      </w:r>
      <w:r w:rsidR="00981EF3">
        <w:rPr>
          <w:noProof/>
        </w:rPr>
        <w:t>t adult humans limb proportions</w:t>
      </w:r>
      <w:r>
        <w:rPr>
          <w:noProof/>
        </w:rPr>
        <w:t xml:space="preserve"> deviate from the patterns seen in adult chimpanzees and bonobos.  It has also been demonstrated that adult bonobos and chimpanzees differ slightly </w:t>
      </w:r>
      <w:r w:rsidR="008D5C97">
        <w:rPr>
          <w:noProof/>
        </w:rPr>
        <w:t xml:space="preserve">from each other </w:t>
      </w:r>
      <w:r>
        <w:rPr>
          <w:noProof/>
        </w:rPr>
        <w:t xml:space="preserve">with bonobos having slightly longer femora and feet as well as scapular dimensions (Coolidge and Shea 1982, Shea 1984).  However, these differences are slight in comparison </w:t>
      </w:r>
      <w:r w:rsidR="00981EF3">
        <w:rPr>
          <w:noProof/>
        </w:rPr>
        <w:t xml:space="preserve">with </w:t>
      </w:r>
      <w:r>
        <w:rPr>
          <w:noProof/>
        </w:rPr>
        <w:t xml:space="preserve">the difference between </w:t>
      </w:r>
      <w:r>
        <w:rPr>
          <w:i/>
          <w:noProof/>
        </w:rPr>
        <w:t xml:space="preserve">Pan </w:t>
      </w:r>
      <w:r>
        <w:rPr>
          <w:noProof/>
        </w:rPr>
        <w:t xml:space="preserve">and </w:t>
      </w:r>
      <w:r>
        <w:rPr>
          <w:i/>
          <w:noProof/>
        </w:rPr>
        <w:t>Homo</w:t>
      </w:r>
      <w:r>
        <w:rPr>
          <w:noProof/>
        </w:rPr>
        <w:t xml:space="preserve">.  These differences in allometry have been linked to locomotor behaviour.  Humans are strictly bipedal while chimpanzees and bonobos exhibit suspensory and knuckle-walking behaviour.  Bonobos may also be somewhat more arboreal with regards to suspensory behaviour than chimpanzees </w:t>
      </w:r>
      <w:r w:rsidRPr="00EC789A">
        <w:rPr>
          <w:noProof/>
          <w:color w:val="000000"/>
        </w:rPr>
        <w:t>(Doran 1993</w:t>
      </w:r>
      <w:r>
        <w:rPr>
          <w:noProof/>
        </w:rPr>
        <w:t xml:space="preserve">).  It </w:t>
      </w:r>
      <w:r w:rsidR="00DE0594">
        <w:rPr>
          <w:noProof/>
        </w:rPr>
        <w:t xml:space="preserve">has been observed that differences in proportions of long-bones remain constant </w:t>
      </w:r>
      <w:r>
        <w:rPr>
          <w:noProof/>
        </w:rPr>
        <w:t xml:space="preserve">from birth to adulthood </w:t>
      </w:r>
      <w:r w:rsidR="00DE0594">
        <w:rPr>
          <w:noProof/>
        </w:rPr>
        <w:t>(Shea 1981).</w:t>
      </w:r>
    </w:p>
    <w:p w:rsidR="006110DE" w:rsidRDefault="006110DE" w:rsidP="007A1AFA">
      <w:pPr>
        <w:rPr>
          <w:noProof/>
        </w:rPr>
      </w:pPr>
      <w:r>
        <w:rPr>
          <w:noProof/>
        </w:rPr>
        <w:t>The second factor to</w:t>
      </w:r>
      <w:r w:rsidR="00E54D9B">
        <w:rPr>
          <w:noProof/>
        </w:rPr>
        <w:t xml:space="preserve"> be</w:t>
      </w:r>
      <w:r>
        <w:rPr>
          <w:noProof/>
        </w:rPr>
        <w:t xml:space="preserve"> consider</w:t>
      </w:r>
      <w:r w:rsidR="00E54D9B">
        <w:rPr>
          <w:noProof/>
        </w:rPr>
        <w:t>ed</w:t>
      </w:r>
      <w:r>
        <w:rPr>
          <w:noProof/>
        </w:rPr>
        <w:t xml:space="preserve"> is growth rate.  Growth rate comparisons and associated modelling has been the subject of considerable discussion as noted</w:t>
      </w:r>
      <w:r w:rsidR="00C051ED">
        <w:rPr>
          <w:noProof/>
        </w:rPr>
        <w:t xml:space="preserve"> in section 2.1.  Humans show</w:t>
      </w:r>
      <w:r>
        <w:rPr>
          <w:noProof/>
        </w:rPr>
        <w:t xml:space="preserve"> notable deviations when compared to chimpanzees and bonobos, particularly an extended adole</w:t>
      </w:r>
      <w:r w:rsidR="00233720">
        <w:rPr>
          <w:noProof/>
        </w:rPr>
        <w:t>s</w:t>
      </w:r>
      <w:r>
        <w:rPr>
          <w:noProof/>
        </w:rPr>
        <w:t>cence (Bogin 1999</w:t>
      </w:r>
      <w:r w:rsidRPr="0062333B">
        <w:rPr>
          <w:noProof/>
        </w:rPr>
        <w:t>b</w:t>
      </w:r>
      <w:r>
        <w:rPr>
          <w:noProof/>
        </w:rPr>
        <w:t>).  This will be explored in section</w:t>
      </w:r>
      <w:r w:rsidR="00D1080C">
        <w:rPr>
          <w:noProof/>
        </w:rPr>
        <w:t xml:space="preserve"> 2.5</w:t>
      </w:r>
      <w:r w:rsidR="00185461">
        <w:rPr>
          <w:noProof/>
        </w:rPr>
        <w:t>.4</w:t>
      </w:r>
      <w:r w:rsidR="00A845F1">
        <w:rPr>
          <w:noProof/>
        </w:rPr>
        <w:t>.</w:t>
      </w:r>
    </w:p>
    <w:p w:rsidR="006110DE" w:rsidRPr="00166B6C" w:rsidRDefault="006110DE" w:rsidP="00D263E8">
      <w:pPr>
        <w:pStyle w:val="Heading3"/>
      </w:pPr>
      <w:bookmarkStart w:id="79" w:name="_Toc373477739"/>
      <w:bookmarkStart w:id="80" w:name="_Toc373480737"/>
      <w:r w:rsidRPr="00166B6C">
        <w:t>Long bone growth rates in humans</w:t>
      </w:r>
      <w:bookmarkEnd w:id="79"/>
      <w:bookmarkEnd w:id="80"/>
    </w:p>
    <w:p w:rsidR="006110DE" w:rsidRDefault="006110DE" w:rsidP="007A1AFA">
      <w:pPr>
        <w:rPr>
          <w:noProof/>
        </w:rPr>
      </w:pPr>
      <w:r>
        <w:rPr>
          <w:noProof/>
        </w:rPr>
        <w:t xml:space="preserve">Similarly to all other aspects of human growth, changes in </w:t>
      </w:r>
      <w:r w:rsidR="00233720">
        <w:rPr>
          <w:noProof/>
        </w:rPr>
        <w:t xml:space="preserve">bone </w:t>
      </w:r>
      <w:r>
        <w:rPr>
          <w:noProof/>
        </w:rPr>
        <w:t>length have been well</w:t>
      </w:r>
      <w:r w:rsidR="009B34A6">
        <w:rPr>
          <w:noProof/>
        </w:rPr>
        <w:t>-</w:t>
      </w:r>
      <w:r>
        <w:rPr>
          <w:noProof/>
        </w:rPr>
        <w:t xml:space="preserve">documented.  Studies using large samples conducted in the late twentieth century established general patterns of long-bone length.  Both pre- and post-natal values were determined using cross sectional and longitudinal data.  Such studies for pre-natal growth include </w:t>
      </w:r>
      <w:r w:rsidRPr="00412A61">
        <w:rPr>
          <w:noProof/>
        </w:rPr>
        <w:t>Fazekas and K</w:t>
      </w:r>
      <w:r w:rsidRPr="00412A61">
        <w:rPr>
          <w:lang w:val="en-GB" w:eastAsia="en-GB"/>
        </w:rPr>
        <w:t>ó</w:t>
      </w:r>
      <w:r w:rsidRPr="00412A61">
        <w:rPr>
          <w:noProof/>
        </w:rPr>
        <w:t>s</w:t>
      </w:r>
      <w:r>
        <w:rPr>
          <w:noProof/>
        </w:rPr>
        <w:t xml:space="preserve">a (1978) and Jeanty (1983).  Post-natal length values were determined for all long bones by Maresh (1970).  Other studies looking at individuals bones or groups of bones include Ghantus (1951) and Gindhart (1973).  More recent longitudinal study results are provided by Smith and Buschang (2005).  Data of this nature </w:t>
      </w:r>
      <w:r w:rsidR="00777883">
        <w:rPr>
          <w:noProof/>
        </w:rPr>
        <w:t xml:space="preserve">are </w:t>
      </w:r>
      <w:r>
        <w:rPr>
          <w:noProof/>
        </w:rPr>
        <w:t xml:space="preserve">compiled in edited volumes such as Scheuer and Black (2004) and Schaefer </w:t>
      </w:r>
      <w:r>
        <w:rPr>
          <w:i/>
          <w:noProof/>
        </w:rPr>
        <w:t>et al</w:t>
      </w:r>
      <w:r w:rsidR="00777883">
        <w:rPr>
          <w:i/>
          <w:noProof/>
        </w:rPr>
        <w:t>.</w:t>
      </w:r>
      <w:r>
        <w:rPr>
          <w:i/>
          <w:noProof/>
        </w:rPr>
        <w:t xml:space="preserve"> </w:t>
      </w:r>
      <w:r w:rsidR="00D1080C">
        <w:rPr>
          <w:noProof/>
        </w:rPr>
        <w:t>(2009).</w:t>
      </w:r>
    </w:p>
    <w:p w:rsidR="00E94CEE" w:rsidRDefault="00E94CEE">
      <w:pPr>
        <w:spacing w:before="0" w:after="200" w:line="276" w:lineRule="auto"/>
        <w:jc w:val="left"/>
        <w:rPr>
          <w:b/>
          <w:i/>
          <w:noProof/>
        </w:rPr>
      </w:pPr>
      <w:r>
        <w:rPr>
          <w:b/>
          <w:i/>
          <w:noProof/>
        </w:rPr>
        <w:br w:type="page"/>
      </w:r>
    </w:p>
    <w:p w:rsidR="006110DE" w:rsidRPr="00EF6828" w:rsidRDefault="008D5C97" w:rsidP="007A1AFA">
      <w:pPr>
        <w:rPr>
          <w:b/>
          <w:i/>
          <w:noProof/>
        </w:rPr>
      </w:pPr>
      <w:r w:rsidRPr="00EF6828">
        <w:rPr>
          <w:b/>
          <w:i/>
          <w:noProof/>
        </w:rPr>
        <w:lastRenderedPageBreak/>
        <w:t>2.5</w:t>
      </w:r>
      <w:r w:rsidR="00E54D9B" w:rsidRPr="00EF6828">
        <w:rPr>
          <w:b/>
          <w:i/>
          <w:noProof/>
        </w:rPr>
        <w:t>.1.a</w:t>
      </w:r>
      <w:r w:rsidR="00E54D9B" w:rsidRPr="00EF6828">
        <w:rPr>
          <w:b/>
          <w:i/>
          <w:noProof/>
        </w:rPr>
        <w:tab/>
      </w:r>
      <w:r w:rsidR="006110DE" w:rsidRPr="00EF6828">
        <w:rPr>
          <w:b/>
          <w:i/>
          <w:noProof/>
        </w:rPr>
        <w:t>Sex differences</w:t>
      </w:r>
    </w:p>
    <w:p w:rsidR="006110DE" w:rsidRDefault="006110DE" w:rsidP="007A1AFA">
      <w:pPr>
        <w:rPr>
          <w:noProof/>
        </w:rPr>
      </w:pPr>
      <w:r>
        <w:rPr>
          <w:noProof/>
        </w:rPr>
        <w:t xml:space="preserve">Humans are sexually dimorphic with adult females smaller than males on average, although there is considerable overlap between the two </w:t>
      </w:r>
      <w:r w:rsidR="0066673B">
        <w:rPr>
          <w:noProof/>
        </w:rPr>
        <w:t>sexes</w:t>
      </w:r>
      <w:r>
        <w:rPr>
          <w:noProof/>
        </w:rPr>
        <w:t xml:space="preserve">.  Similarly </w:t>
      </w:r>
      <w:r w:rsidR="00C051ED">
        <w:rPr>
          <w:noProof/>
        </w:rPr>
        <w:t>to</w:t>
      </w:r>
      <w:r>
        <w:rPr>
          <w:noProof/>
        </w:rPr>
        <w:t xml:space="preserve"> other primates, females mature in advance of males.  Compiled data from sources such as Scheuer and Black (2004) and Schaefer </w:t>
      </w:r>
      <w:r>
        <w:rPr>
          <w:i/>
          <w:noProof/>
        </w:rPr>
        <w:t>et al</w:t>
      </w:r>
      <w:r w:rsidR="0074014B">
        <w:rPr>
          <w:i/>
          <w:noProof/>
        </w:rPr>
        <w:t>.</w:t>
      </w:r>
      <w:r>
        <w:rPr>
          <w:noProof/>
        </w:rPr>
        <w:t xml:space="preserve"> (2009) demonstrate earlier female maturation and subsequent male catch-up growth.  These patterns result in differences in size and timing of maturation between the sexes.</w:t>
      </w:r>
    </w:p>
    <w:p w:rsidR="006110DE" w:rsidRPr="00EF6828" w:rsidRDefault="008D5C97" w:rsidP="007A1AFA">
      <w:pPr>
        <w:rPr>
          <w:b/>
          <w:i/>
          <w:noProof/>
        </w:rPr>
      </w:pPr>
      <w:r w:rsidRPr="00EF6828">
        <w:rPr>
          <w:b/>
          <w:i/>
          <w:noProof/>
        </w:rPr>
        <w:t>2.5</w:t>
      </w:r>
      <w:r w:rsidR="00E54D9B" w:rsidRPr="00EF6828">
        <w:rPr>
          <w:b/>
          <w:i/>
          <w:noProof/>
        </w:rPr>
        <w:t>.1.b</w:t>
      </w:r>
      <w:r w:rsidR="00E54D9B" w:rsidRPr="00EF6828">
        <w:rPr>
          <w:b/>
          <w:i/>
          <w:noProof/>
        </w:rPr>
        <w:tab/>
      </w:r>
      <w:r w:rsidR="006110DE" w:rsidRPr="00EF6828">
        <w:rPr>
          <w:b/>
          <w:i/>
          <w:noProof/>
        </w:rPr>
        <w:t>Population variation</w:t>
      </w:r>
    </w:p>
    <w:p w:rsidR="006110DE" w:rsidRPr="00F0435E" w:rsidRDefault="006110DE" w:rsidP="007A1AFA">
      <w:pPr>
        <w:rPr>
          <w:noProof/>
        </w:rPr>
      </w:pPr>
      <w:r>
        <w:rPr>
          <w:noProof/>
        </w:rPr>
        <w:t xml:space="preserve">Humans have been known to exhibit differing long-bone allometry and a number of comparisons have been made between different adult populations </w:t>
      </w:r>
      <w:r w:rsidR="0066673B">
        <w:rPr>
          <w:noProof/>
        </w:rPr>
        <w:t xml:space="preserve">(e.g., </w:t>
      </w:r>
      <w:r>
        <w:rPr>
          <w:noProof/>
        </w:rPr>
        <w:t xml:space="preserve">Holliday and Ruff 2001).  The majority of differences appear to relate to tibial length and correlate with different climate conditions.  Sub-adult variation in different population groups have been considered by archaeological studies </w:t>
      </w:r>
      <w:r w:rsidR="0066673B">
        <w:rPr>
          <w:noProof/>
        </w:rPr>
        <w:t>(e.g.,</w:t>
      </w:r>
      <w:r>
        <w:rPr>
          <w:noProof/>
        </w:rPr>
        <w:t xml:space="preserve"> Mensforth 1985</w:t>
      </w:r>
      <w:r w:rsidR="0066673B">
        <w:rPr>
          <w:noProof/>
        </w:rPr>
        <w:t>,</w:t>
      </w:r>
      <w:r>
        <w:rPr>
          <w:noProof/>
        </w:rPr>
        <w:t xml:space="preserve"> Miles and Bulman 1994).  Minor deviations have been found with regards to changes in length relative to skeletal maturity.  However, within such studies it can often be difficult to differentiate between the effects of nutritional stress on long-bone </w:t>
      </w:r>
      <w:r w:rsidR="007836E8">
        <w:rPr>
          <w:noProof/>
        </w:rPr>
        <w:t xml:space="preserve">growth </w:t>
      </w:r>
      <w:r>
        <w:rPr>
          <w:noProof/>
        </w:rPr>
        <w:t xml:space="preserve">and actual differences related to healthy population affinities.  Archaeological populations can also provide less-than-optimal sample sizes and no records about the individual during life.  The causal factors underlying the minor variations observed are unlikely to be related to </w:t>
      </w:r>
      <w:r w:rsidR="00F7467B">
        <w:rPr>
          <w:noProof/>
        </w:rPr>
        <w:t xml:space="preserve">activity.  </w:t>
      </w:r>
      <w:r>
        <w:rPr>
          <w:noProof/>
        </w:rPr>
        <w:t>I</w:t>
      </w:r>
      <w:r w:rsidR="002C465A">
        <w:rPr>
          <w:noProof/>
        </w:rPr>
        <w:t>t has been argued that climate a</w:t>
      </w:r>
      <w:r>
        <w:rPr>
          <w:noProof/>
        </w:rPr>
        <w:t>ffect</w:t>
      </w:r>
      <w:r w:rsidR="006D7424">
        <w:rPr>
          <w:noProof/>
        </w:rPr>
        <w:t>s</w:t>
      </w:r>
      <w:r>
        <w:rPr>
          <w:noProof/>
        </w:rPr>
        <w:t xml:space="preserve"> post-cranial limb-length (Holliday 1997,</w:t>
      </w:r>
      <w:r w:rsidRPr="00FD60C4">
        <w:rPr>
          <w:noProof/>
        </w:rPr>
        <w:t xml:space="preserve"> </w:t>
      </w:r>
      <w:r>
        <w:rPr>
          <w:noProof/>
        </w:rPr>
        <w:t xml:space="preserve">Newman 1953, Pearson 2000, Ruff 1994, Weaver and Steudel-Numbers 2005).  Genetic drift may also be a possibility, although this has not been investigated.  For the purposes of this study the standards provided by reference texts such as Scheuer and Black (2004) and Schaefer </w:t>
      </w:r>
      <w:r>
        <w:rPr>
          <w:i/>
          <w:noProof/>
        </w:rPr>
        <w:t>et al</w:t>
      </w:r>
      <w:r w:rsidR="00E206AD">
        <w:rPr>
          <w:noProof/>
        </w:rPr>
        <w:t xml:space="preserve"> (2009) will be used.</w:t>
      </w:r>
    </w:p>
    <w:p w:rsidR="006110DE" w:rsidRPr="00EF6828" w:rsidRDefault="006D7424" w:rsidP="007A1AFA">
      <w:pPr>
        <w:rPr>
          <w:b/>
          <w:i/>
          <w:noProof/>
        </w:rPr>
      </w:pPr>
      <w:r w:rsidRPr="00EF6828">
        <w:rPr>
          <w:b/>
          <w:i/>
          <w:noProof/>
        </w:rPr>
        <w:t>2.</w:t>
      </w:r>
      <w:r w:rsidR="008D5C97" w:rsidRPr="00EF6828">
        <w:rPr>
          <w:b/>
          <w:i/>
          <w:noProof/>
        </w:rPr>
        <w:t>5</w:t>
      </w:r>
      <w:r w:rsidRPr="00EF6828">
        <w:rPr>
          <w:b/>
          <w:i/>
          <w:noProof/>
        </w:rPr>
        <w:t>.1.c</w:t>
      </w:r>
      <w:r w:rsidRPr="00EF6828">
        <w:rPr>
          <w:b/>
          <w:i/>
          <w:noProof/>
        </w:rPr>
        <w:tab/>
      </w:r>
      <w:r w:rsidR="006110DE" w:rsidRPr="00EF6828">
        <w:rPr>
          <w:b/>
          <w:i/>
          <w:noProof/>
        </w:rPr>
        <w:t>Stressed populations</w:t>
      </w:r>
    </w:p>
    <w:p w:rsidR="006110DE" w:rsidRDefault="006110DE" w:rsidP="007A1AFA">
      <w:pPr>
        <w:rPr>
          <w:noProof/>
        </w:rPr>
      </w:pPr>
      <w:r>
        <w:rPr>
          <w:noProof/>
        </w:rPr>
        <w:t xml:space="preserve">Some studies have attempted to explore the effects of nutritional stress </w:t>
      </w:r>
      <w:r w:rsidR="00086B09">
        <w:rPr>
          <w:noProof/>
        </w:rPr>
        <w:t xml:space="preserve">(e.g., </w:t>
      </w:r>
      <w:r>
        <w:rPr>
          <w:noProof/>
        </w:rPr>
        <w:t>Jantz and Owsley 1984</w:t>
      </w:r>
      <w:r w:rsidR="00086B09">
        <w:rPr>
          <w:noProof/>
        </w:rPr>
        <w:t>,</w:t>
      </w:r>
      <w:r>
        <w:rPr>
          <w:noProof/>
        </w:rPr>
        <w:t xml:space="preserve"> Hoppa 1992).  Retardation of skeletal growth and reduced adult stature as a result of nutritional stress has been documented (Bogin 1999</w:t>
      </w:r>
      <w:r w:rsidR="00026F6B">
        <w:rPr>
          <w:noProof/>
        </w:rPr>
        <w:t>a</w:t>
      </w:r>
      <w:r>
        <w:rPr>
          <w:noProof/>
        </w:rPr>
        <w:t xml:space="preserve">).  Within the context of this study,  reliable data from healthy populations </w:t>
      </w:r>
      <w:r w:rsidR="00086B09">
        <w:rPr>
          <w:noProof/>
        </w:rPr>
        <w:t xml:space="preserve">are available </w:t>
      </w:r>
      <w:r>
        <w:rPr>
          <w:noProof/>
        </w:rPr>
        <w:t>but it is worth noting in the context of such evidence that relative delays are statistically sig</w:t>
      </w:r>
      <w:r w:rsidR="00441B53">
        <w:rPr>
          <w:noProof/>
        </w:rPr>
        <w:t>n</w:t>
      </w:r>
      <w:r>
        <w:rPr>
          <w:noProof/>
        </w:rPr>
        <w:t>ificant for human populations.  Similarly to dental development, this does not prove that such effects are also true for chimpanzees and bonobos, but given the physiological similarity between the two species, it is certainly a worthy point to note.</w:t>
      </w:r>
    </w:p>
    <w:p w:rsidR="006110DE" w:rsidRPr="00166B6C" w:rsidRDefault="006110DE" w:rsidP="00D263E8">
      <w:pPr>
        <w:pStyle w:val="Heading3"/>
      </w:pPr>
      <w:bookmarkStart w:id="81" w:name="_Toc373477740"/>
      <w:bookmarkStart w:id="82" w:name="_Toc373480738"/>
      <w:r w:rsidRPr="00166B6C">
        <w:lastRenderedPageBreak/>
        <w:t>Long bone growth rates in chimpanzees</w:t>
      </w:r>
      <w:bookmarkEnd w:id="81"/>
      <w:bookmarkEnd w:id="82"/>
    </w:p>
    <w:p w:rsidR="00A57CC1" w:rsidRDefault="006110DE" w:rsidP="00A57CC1">
      <w:pPr>
        <w:rPr>
          <w:noProof/>
        </w:rPr>
      </w:pPr>
      <w:r>
        <w:rPr>
          <w:noProof/>
        </w:rPr>
        <w:t>General patterns of growth in c</w:t>
      </w:r>
      <w:r w:rsidR="00741E1F">
        <w:rPr>
          <w:noProof/>
        </w:rPr>
        <w:t xml:space="preserve">himpanzee long-bones have been </w:t>
      </w:r>
      <w:r>
        <w:rPr>
          <w:noProof/>
        </w:rPr>
        <w:t>studied in both longitudinal and cross sectional samples for both wild and captive animals.  The majority of this work has tended to be cross-sectional with longitudinal studies only looking at captive individuals using small sample sizes.  Early cross-sectional work was completed by Shea (1981) and early longitudinal work with captive specimens by</w:t>
      </w:r>
      <w:r w:rsidRPr="00C24909">
        <w:rPr>
          <w:noProof/>
        </w:rPr>
        <w:t xml:space="preserve"> </w:t>
      </w:r>
      <w:r w:rsidRPr="00FF7A1D">
        <w:rPr>
          <w:noProof/>
        </w:rPr>
        <w:t>Gavan (1953)</w:t>
      </w:r>
      <w:r>
        <w:rPr>
          <w:noProof/>
        </w:rPr>
        <w:t xml:space="preserve"> and Smith </w:t>
      </w:r>
      <w:r w:rsidRPr="00FF7A1D">
        <w:rPr>
          <w:i/>
          <w:noProof/>
        </w:rPr>
        <w:t>et al</w:t>
      </w:r>
      <w:r w:rsidR="00E87956">
        <w:rPr>
          <w:i/>
          <w:noProof/>
        </w:rPr>
        <w:t>.</w:t>
      </w:r>
      <w:r w:rsidRPr="00FF7A1D">
        <w:rPr>
          <w:noProof/>
        </w:rPr>
        <w:t xml:space="preserve"> </w:t>
      </w:r>
      <w:r>
        <w:rPr>
          <w:noProof/>
        </w:rPr>
        <w:t>(</w:t>
      </w:r>
      <w:r w:rsidRPr="00FF7A1D">
        <w:rPr>
          <w:noProof/>
        </w:rPr>
        <w:t>1975)</w:t>
      </w:r>
      <w:r>
        <w:rPr>
          <w:noProof/>
        </w:rPr>
        <w:t>.  General discussion of growth rate can be found in Watts and Gavan (1982).  Leigh and Shea (1996) performed non-parametric regression analysis on a large sample of chimpanzees and have produced body weight functions.  It should be noted that long-bone growth</w:t>
      </w:r>
      <w:r w:rsidR="008C6ED7">
        <w:rPr>
          <w:noProof/>
        </w:rPr>
        <w:t xml:space="preserve"> as</w:t>
      </w:r>
      <w:r>
        <w:rPr>
          <w:noProof/>
        </w:rPr>
        <w:t xml:space="preserve"> </w:t>
      </w:r>
      <w:r w:rsidR="00020C31">
        <w:rPr>
          <w:noProof/>
        </w:rPr>
        <w:t xml:space="preserve">a function of </w:t>
      </w:r>
      <w:r>
        <w:rPr>
          <w:noProof/>
        </w:rPr>
        <w:t xml:space="preserve">Demirjian dental score has not been </w:t>
      </w:r>
      <w:r w:rsidR="00086B09">
        <w:rPr>
          <w:noProof/>
        </w:rPr>
        <w:t>examined</w:t>
      </w:r>
      <w:r w:rsidR="006A02C7">
        <w:rPr>
          <w:noProof/>
        </w:rPr>
        <w:t xml:space="preserve"> in prior studies</w:t>
      </w:r>
      <w:r w:rsidR="00784A5E">
        <w:rPr>
          <w:noProof/>
        </w:rPr>
        <w:t>.</w:t>
      </w:r>
    </w:p>
    <w:p w:rsidR="00ED76A6" w:rsidRDefault="00ED76A6" w:rsidP="00A57CC1">
      <w:pPr>
        <w:rPr>
          <w:noProof/>
        </w:rPr>
      </w:pPr>
      <w:r>
        <w:rPr>
          <w:noProof/>
        </w:rPr>
        <w:t>C</w:t>
      </w:r>
      <w:r w:rsidRPr="00926ED7">
        <w:rPr>
          <w:noProof/>
        </w:rPr>
        <w:t xml:space="preserve">himpanzee growth </w:t>
      </w:r>
      <w:r>
        <w:rPr>
          <w:noProof/>
        </w:rPr>
        <w:t>relative to calendar years</w:t>
      </w:r>
      <w:r w:rsidRPr="00926ED7">
        <w:rPr>
          <w:noProof/>
        </w:rPr>
        <w:t xml:space="preserve"> follows a curve with a slight slowing of rate in juvenile or mid-growth stages and a slight increase of rate at adolec</w:t>
      </w:r>
      <w:r w:rsidR="00233720">
        <w:rPr>
          <w:noProof/>
        </w:rPr>
        <w:t>s</w:t>
      </w:r>
      <w:r w:rsidRPr="00926ED7">
        <w:rPr>
          <w:noProof/>
        </w:rPr>
        <w:t xml:space="preserve">ence, or near the completion of growth, after which there is a dramatic slowing.  </w:t>
      </w:r>
      <w:r>
        <w:rPr>
          <w:noProof/>
        </w:rPr>
        <w:t xml:space="preserve">This observation is </w:t>
      </w:r>
      <w:r w:rsidRPr="00926ED7">
        <w:rPr>
          <w:noProof/>
        </w:rPr>
        <w:t xml:space="preserve">both in terms of long-bone </w:t>
      </w:r>
      <w:r>
        <w:rPr>
          <w:noProof/>
        </w:rPr>
        <w:t>length and overall body weight.  Figure 2.3 demonstrates what a typical growth rate progression for chimpanzees looks like.</w:t>
      </w:r>
    </w:p>
    <w:p w:rsidR="00ED76A6" w:rsidRDefault="004421C4" w:rsidP="00A57CC1">
      <w:pPr>
        <w:rPr>
          <w:noProof/>
        </w:rPr>
      </w:pPr>
      <w:bookmarkStart w:id="83" w:name="_Toc373147447"/>
      <w:proofErr w:type="gramStart"/>
      <w:r w:rsidRPr="00D557BE">
        <w:rPr>
          <w:b/>
        </w:rPr>
        <w:t xml:space="preserve">Figure </w:t>
      </w:r>
      <w:r w:rsidR="008943E4">
        <w:rPr>
          <w:b/>
        </w:rPr>
        <w:fldChar w:fldCharType="begin"/>
      </w:r>
      <w:r>
        <w:rPr>
          <w:b/>
        </w:rPr>
        <w:instrText xml:space="preserve"> STYLEREF 1 \s </w:instrText>
      </w:r>
      <w:r w:rsidR="008943E4">
        <w:rPr>
          <w:b/>
        </w:rPr>
        <w:fldChar w:fldCharType="separate"/>
      </w:r>
      <w:r w:rsidR="00795735">
        <w:rPr>
          <w:b/>
          <w:noProof/>
        </w:rPr>
        <w:t>2</w:t>
      </w:r>
      <w:r w:rsidR="008943E4">
        <w:rPr>
          <w:b/>
        </w:rPr>
        <w:fldChar w:fldCharType="end"/>
      </w:r>
      <w:r>
        <w:rPr>
          <w:b/>
        </w:rPr>
        <w:t>.</w:t>
      </w:r>
      <w:proofErr w:type="gramEnd"/>
      <w:r w:rsidR="008943E4">
        <w:rPr>
          <w:b/>
        </w:rPr>
        <w:fldChar w:fldCharType="begin"/>
      </w:r>
      <w:r>
        <w:rPr>
          <w:b/>
        </w:rPr>
        <w:instrText xml:space="preserve"> SEQ Figure \* ARABIC \s 1 </w:instrText>
      </w:r>
      <w:r w:rsidR="008943E4">
        <w:rPr>
          <w:b/>
        </w:rPr>
        <w:fldChar w:fldCharType="separate"/>
      </w:r>
      <w:r w:rsidR="00795735">
        <w:rPr>
          <w:b/>
          <w:noProof/>
        </w:rPr>
        <w:t>3</w:t>
      </w:r>
      <w:r w:rsidR="008943E4">
        <w:rPr>
          <w:b/>
        </w:rPr>
        <w:fldChar w:fldCharType="end"/>
      </w:r>
      <w:r>
        <w:t xml:space="preserve">  </w:t>
      </w:r>
      <w:r w:rsidRPr="00501CE6">
        <w:t>Demonstration of growth rate pattern of chimpanzee size relative to chronological time</w:t>
      </w:r>
      <w:r>
        <w:t>.</w:t>
      </w:r>
      <w:r w:rsidR="00ED76A6">
        <w:rPr>
          <w:noProof/>
          <w:lang w:val="en-GB" w:eastAsia="en-GB"/>
        </w:rPr>
        <w:drawing>
          <wp:anchor distT="0" distB="0" distL="114300" distR="114300" simplePos="0" relativeHeight="251670528" behindDoc="0" locked="1" layoutInCell="1" allowOverlap="0" wp14:anchorId="7D810231" wp14:editId="593E1B25">
            <wp:simplePos x="0" y="0"/>
            <wp:positionH relativeFrom="column">
              <wp:posOffset>1282700</wp:posOffset>
            </wp:positionH>
            <wp:positionV relativeFrom="paragraph">
              <wp:posOffset>22860</wp:posOffset>
            </wp:positionV>
            <wp:extent cx="3314700" cy="281241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4700" cy="2812415"/>
                    </a:xfrm>
                    <a:prstGeom prst="rect">
                      <a:avLst/>
                    </a:prstGeom>
                    <a:noFill/>
                    <a:ln>
                      <a:noFill/>
                    </a:ln>
                  </pic:spPr>
                </pic:pic>
              </a:graphicData>
            </a:graphic>
          </wp:anchor>
        </w:drawing>
      </w:r>
      <w:bookmarkEnd w:id="83"/>
    </w:p>
    <w:p w:rsidR="00E94CEE" w:rsidRDefault="00E94CEE">
      <w:pPr>
        <w:spacing w:before="0" w:after="200" w:line="276" w:lineRule="auto"/>
        <w:jc w:val="left"/>
        <w:rPr>
          <w:b/>
          <w:i/>
          <w:noProof/>
        </w:rPr>
      </w:pPr>
      <w:r>
        <w:rPr>
          <w:b/>
          <w:i/>
          <w:noProof/>
        </w:rPr>
        <w:br w:type="page"/>
      </w:r>
    </w:p>
    <w:p w:rsidR="006110DE" w:rsidRPr="00EF6828" w:rsidRDefault="00AD0947" w:rsidP="004C2E9F">
      <w:pPr>
        <w:rPr>
          <w:b/>
          <w:i/>
          <w:noProof/>
        </w:rPr>
      </w:pPr>
      <w:r w:rsidRPr="00EF6828">
        <w:rPr>
          <w:b/>
          <w:i/>
          <w:noProof/>
        </w:rPr>
        <w:lastRenderedPageBreak/>
        <w:t>2.5</w:t>
      </w:r>
      <w:r w:rsidR="002933E4" w:rsidRPr="00EF6828">
        <w:rPr>
          <w:b/>
          <w:i/>
          <w:noProof/>
        </w:rPr>
        <w:t>.2.a</w:t>
      </w:r>
      <w:r w:rsidR="002933E4" w:rsidRPr="00EF6828">
        <w:rPr>
          <w:b/>
          <w:i/>
          <w:noProof/>
        </w:rPr>
        <w:tab/>
      </w:r>
      <w:r w:rsidR="006110DE" w:rsidRPr="00EF6828">
        <w:rPr>
          <w:b/>
          <w:i/>
          <w:noProof/>
        </w:rPr>
        <w:t>Sex differences</w:t>
      </w:r>
    </w:p>
    <w:p w:rsidR="00B2467B" w:rsidRDefault="006110DE" w:rsidP="00B2467B">
      <w:pPr>
        <w:rPr>
          <w:noProof/>
        </w:rPr>
      </w:pPr>
      <w:r>
        <w:rPr>
          <w:noProof/>
        </w:rPr>
        <w:t>Shea (1981) compared chimpanzees to gorillas and bonobos using dental emergence.  He also provided detailed analyses of growth rates of different indicies and assessment by sex.  Females were typically advanced</w:t>
      </w:r>
      <w:r w:rsidR="00CA09FF">
        <w:rPr>
          <w:noProof/>
        </w:rPr>
        <w:t xml:space="preserve"> in growth</w:t>
      </w:r>
      <w:r>
        <w:rPr>
          <w:noProof/>
        </w:rPr>
        <w:t xml:space="preserve"> relative to males with subsequent catch-up growth</w:t>
      </w:r>
      <w:r w:rsidR="00CA09FF">
        <w:rPr>
          <w:noProof/>
        </w:rPr>
        <w:t xml:space="preserve"> exhibited by males</w:t>
      </w:r>
      <w:r>
        <w:rPr>
          <w:noProof/>
        </w:rPr>
        <w:t xml:space="preserve">.  </w:t>
      </w:r>
      <w:r w:rsidR="002933E4">
        <w:rPr>
          <w:noProof/>
        </w:rPr>
        <w:t>C</w:t>
      </w:r>
      <w:r>
        <w:rPr>
          <w:noProof/>
        </w:rPr>
        <w:t xml:space="preserve">ross-sectional work by Zihlman </w:t>
      </w:r>
      <w:r>
        <w:rPr>
          <w:i/>
          <w:noProof/>
        </w:rPr>
        <w:t>et al</w:t>
      </w:r>
      <w:r w:rsidR="00F95C73">
        <w:rPr>
          <w:i/>
          <w:noProof/>
        </w:rPr>
        <w:t>.</w:t>
      </w:r>
      <w:r>
        <w:rPr>
          <w:noProof/>
        </w:rPr>
        <w:t xml:space="preserve"> (1990) and Zihlman </w:t>
      </w:r>
      <w:r>
        <w:rPr>
          <w:i/>
          <w:noProof/>
        </w:rPr>
        <w:t>et al</w:t>
      </w:r>
      <w:r w:rsidR="00F95C73">
        <w:rPr>
          <w:i/>
          <w:noProof/>
        </w:rPr>
        <w:t>.</w:t>
      </w:r>
      <w:r>
        <w:rPr>
          <w:noProof/>
        </w:rPr>
        <w:t xml:space="preserve"> (2007) has confirmed the </w:t>
      </w:r>
      <w:r w:rsidR="00FC2CB2">
        <w:rPr>
          <w:noProof/>
        </w:rPr>
        <w:t>patterns found by Shea (1981).</w:t>
      </w:r>
      <w:r w:rsidR="00B2467B">
        <w:rPr>
          <w:noProof/>
        </w:rPr>
        <w:t xml:space="preserve">  Size differences between </w:t>
      </w:r>
      <w:r w:rsidR="005F529E">
        <w:rPr>
          <w:noProof/>
        </w:rPr>
        <w:t xml:space="preserve">adult </w:t>
      </w:r>
      <w:r w:rsidR="00B2467B">
        <w:rPr>
          <w:noProof/>
        </w:rPr>
        <w:t xml:space="preserve">males and females is </w:t>
      </w:r>
      <w:r w:rsidR="005F529E">
        <w:rPr>
          <w:noProof/>
        </w:rPr>
        <w:t xml:space="preserve">only slight </w:t>
      </w:r>
      <w:r w:rsidR="00B2467B">
        <w:rPr>
          <w:noProof/>
        </w:rPr>
        <w:t>in chimpanzees (Richmond and Jungers 1995)</w:t>
      </w:r>
      <w:r w:rsidR="005F529E">
        <w:rPr>
          <w:noProof/>
        </w:rPr>
        <w:t xml:space="preserve"> and is unlikely to be distinguishable in sub-adult dimensional growth</w:t>
      </w:r>
      <w:r w:rsidR="00B2467B">
        <w:rPr>
          <w:noProof/>
        </w:rPr>
        <w:t>.</w:t>
      </w:r>
    </w:p>
    <w:p w:rsidR="004C2E9F" w:rsidRPr="00EF6828" w:rsidRDefault="00AD0947" w:rsidP="004C2E9F">
      <w:pPr>
        <w:rPr>
          <w:b/>
          <w:i/>
          <w:noProof/>
        </w:rPr>
      </w:pPr>
      <w:r w:rsidRPr="00EF6828">
        <w:rPr>
          <w:b/>
          <w:i/>
          <w:noProof/>
        </w:rPr>
        <w:t>2.5</w:t>
      </w:r>
      <w:r w:rsidR="002933E4" w:rsidRPr="00EF6828">
        <w:rPr>
          <w:b/>
          <w:i/>
          <w:noProof/>
        </w:rPr>
        <w:t>.2.b</w:t>
      </w:r>
      <w:r w:rsidR="002933E4" w:rsidRPr="00EF6828">
        <w:rPr>
          <w:b/>
          <w:i/>
          <w:noProof/>
        </w:rPr>
        <w:tab/>
      </w:r>
      <w:r w:rsidR="004C2E9F" w:rsidRPr="00EF6828">
        <w:rPr>
          <w:b/>
          <w:i/>
          <w:noProof/>
        </w:rPr>
        <w:t>Populations differences</w:t>
      </w:r>
    </w:p>
    <w:p w:rsidR="006110DE" w:rsidRDefault="006110DE" w:rsidP="004C2E9F">
      <w:pPr>
        <w:rPr>
          <w:noProof/>
        </w:rPr>
      </w:pPr>
      <w:r>
        <w:rPr>
          <w:noProof/>
        </w:rPr>
        <w:t xml:space="preserve">Analysis of the allometric differences between adults of different sub-species has been made </w:t>
      </w:r>
      <w:r w:rsidR="002933E4">
        <w:rPr>
          <w:noProof/>
        </w:rPr>
        <w:t>(</w:t>
      </w:r>
      <w:r>
        <w:rPr>
          <w:noProof/>
        </w:rPr>
        <w:t>Morbeck and Zihlman 1989).  However, no studies have compared long-bone growth in different sub-species of chimpanzees.</w:t>
      </w:r>
    </w:p>
    <w:p w:rsidR="006110DE" w:rsidRPr="00EF6828" w:rsidRDefault="00AD0947" w:rsidP="004C2E9F">
      <w:pPr>
        <w:rPr>
          <w:b/>
          <w:i/>
          <w:noProof/>
        </w:rPr>
      </w:pPr>
      <w:r w:rsidRPr="00EF6828">
        <w:rPr>
          <w:b/>
          <w:i/>
          <w:noProof/>
        </w:rPr>
        <w:t>2.5</w:t>
      </w:r>
      <w:r w:rsidR="002933E4" w:rsidRPr="00EF6828">
        <w:rPr>
          <w:b/>
          <w:i/>
          <w:noProof/>
        </w:rPr>
        <w:t>.2.c</w:t>
      </w:r>
      <w:r w:rsidR="002933E4" w:rsidRPr="00EF6828">
        <w:rPr>
          <w:b/>
          <w:i/>
          <w:noProof/>
        </w:rPr>
        <w:tab/>
      </w:r>
      <w:r w:rsidR="006110DE" w:rsidRPr="00EF6828">
        <w:rPr>
          <w:b/>
          <w:i/>
          <w:noProof/>
        </w:rPr>
        <w:t>Comparisons of captive and wild:</w:t>
      </w:r>
    </w:p>
    <w:p w:rsidR="006110DE" w:rsidRPr="00FC2CB2" w:rsidRDefault="006110DE" w:rsidP="004C2E9F">
      <w:pPr>
        <w:rPr>
          <w:b/>
          <w:color w:val="000000" w:themeColor="text1"/>
          <w:lang w:val="en-CA"/>
        </w:rPr>
      </w:pPr>
      <w:r>
        <w:rPr>
          <w:noProof/>
        </w:rPr>
        <w:t xml:space="preserve">It has been argued that there are differences between wild and captive chimpanzees with respect to growth rate and final adult dimensions.  In humans it has been well-documented that nutritional differences have a significant impact on both rate of growth and final adult height, which is a consequence of reduced limb length (Bogin 1988, 1991).  Evidence in humans has relied on comparisons between extant populations and known low socio-economic status archaeological populations.  Similarly to dental development, for chimpanzees it has been proposed that wild populations are more stressed than captive ones and that the same principles of delay and reduced growth found in humans applies.  Kimura and Hamada (1996) have confirmed this assertion when they found advanced development of long bones in captive chimpanzees relative to wild samples.  They also found that captive individuals were larger than wild individuals at cessation of growth, a particular feature that has been noted by others </w:t>
      </w:r>
      <w:r w:rsidRPr="00A76E0F">
        <w:rPr>
          <w:noProof/>
        </w:rPr>
        <w:t xml:space="preserve">(Coe </w:t>
      </w:r>
      <w:r w:rsidRPr="00A76E0F">
        <w:rPr>
          <w:i/>
          <w:noProof/>
        </w:rPr>
        <w:t>et al</w:t>
      </w:r>
      <w:r w:rsidR="00B07091">
        <w:rPr>
          <w:i/>
          <w:noProof/>
        </w:rPr>
        <w:t>.</w:t>
      </w:r>
      <w:r w:rsidRPr="00A76E0F">
        <w:rPr>
          <w:noProof/>
        </w:rPr>
        <w:t xml:space="preserve"> 1979, </w:t>
      </w:r>
      <w:r w:rsidR="0070364E" w:rsidRPr="00A76E0F">
        <w:rPr>
          <w:color w:val="000000"/>
          <w:lang w:val="pt-PT"/>
        </w:rPr>
        <w:t xml:space="preserve">Hamada </w:t>
      </w:r>
      <w:r w:rsidR="0070364E" w:rsidRPr="00A76E0F">
        <w:rPr>
          <w:i/>
          <w:color w:val="000000"/>
          <w:lang w:val="pt-PT"/>
        </w:rPr>
        <w:t>et al</w:t>
      </w:r>
      <w:r w:rsidR="00B07091">
        <w:rPr>
          <w:i/>
          <w:color w:val="000000"/>
          <w:lang w:val="pt-PT"/>
        </w:rPr>
        <w:t>.</w:t>
      </w:r>
      <w:r w:rsidR="0070364E" w:rsidRPr="00A76E0F">
        <w:rPr>
          <w:color w:val="000000"/>
          <w:lang w:val="en-CA"/>
        </w:rPr>
        <w:t xml:space="preserve"> 1996</w:t>
      </w:r>
      <w:r w:rsidR="0070364E">
        <w:rPr>
          <w:color w:val="000000"/>
          <w:lang w:val="en-CA"/>
        </w:rPr>
        <w:t xml:space="preserve">, </w:t>
      </w:r>
      <w:r w:rsidRPr="00A76E0F">
        <w:rPr>
          <w:noProof/>
        </w:rPr>
        <w:t xml:space="preserve">Kraemer </w:t>
      </w:r>
      <w:r w:rsidRPr="00A76E0F">
        <w:rPr>
          <w:i/>
          <w:noProof/>
        </w:rPr>
        <w:t>et al</w:t>
      </w:r>
      <w:r w:rsidR="00B07091">
        <w:rPr>
          <w:i/>
          <w:noProof/>
        </w:rPr>
        <w:t>.</w:t>
      </w:r>
      <w:r w:rsidRPr="00A76E0F">
        <w:rPr>
          <w:noProof/>
        </w:rPr>
        <w:t xml:space="preserve"> 1982, Matsuzawa </w:t>
      </w:r>
      <w:r w:rsidRPr="00A76E0F">
        <w:rPr>
          <w:i/>
          <w:noProof/>
        </w:rPr>
        <w:t>et al</w:t>
      </w:r>
      <w:r w:rsidR="00B07091">
        <w:rPr>
          <w:i/>
          <w:noProof/>
        </w:rPr>
        <w:t>.</w:t>
      </w:r>
      <w:r w:rsidRPr="00A76E0F">
        <w:rPr>
          <w:noProof/>
        </w:rPr>
        <w:t xml:space="preserve"> 1990, Zihlman </w:t>
      </w:r>
      <w:r w:rsidRPr="00A76E0F">
        <w:rPr>
          <w:i/>
          <w:noProof/>
        </w:rPr>
        <w:t>et al</w:t>
      </w:r>
      <w:r w:rsidR="00B07091">
        <w:rPr>
          <w:i/>
          <w:noProof/>
        </w:rPr>
        <w:t>.</w:t>
      </w:r>
      <w:r w:rsidRPr="00A76E0F">
        <w:rPr>
          <w:noProof/>
        </w:rPr>
        <w:t xml:space="preserve"> 1990</w:t>
      </w:r>
      <w:r w:rsidRPr="00A76E0F">
        <w:rPr>
          <w:color w:val="000000"/>
          <w:lang w:val="en-CA"/>
        </w:rPr>
        <w:t>)</w:t>
      </w:r>
      <w:r>
        <w:rPr>
          <w:color w:val="000000"/>
          <w:lang w:val="en-CA"/>
        </w:rPr>
        <w:t>.  It appears that unlike dental development there are clear distinctions between captive and wild for this species with respect to long-bone growth.</w:t>
      </w:r>
    </w:p>
    <w:p w:rsidR="006110DE" w:rsidRPr="00110110" w:rsidRDefault="006110DE" w:rsidP="00D263E8">
      <w:pPr>
        <w:pStyle w:val="Heading3"/>
      </w:pPr>
      <w:bookmarkStart w:id="84" w:name="_Toc373477741"/>
      <w:bookmarkStart w:id="85" w:name="_Toc373480739"/>
      <w:r w:rsidRPr="00FC2CB2">
        <w:t>L</w:t>
      </w:r>
      <w:r w:rsidRPr="00110110">
        <w:t>ong bone growth rates in bonobos</w:t>
      </w:r>
      <w:bookmarkEnd w:id="84"/>
      <w:bookmarkEnd w:id="85"/>
    </w:p>
    <w:p w:rsidR="006110DE" w:rsidRPr="00447BA3" w:rsidRDefault="006110DE" w:rsidP="00447BA3">
      <w:pPr>
        <w:rPr>
          <w:noProof/>
        </w:rPr>
      </w:pPr>
      <w:r>
        <w:rPr>
          <w:noProof/>
        </w:rPr>
        <w:t xml:space="preserve">Similar to other aspects of development, research on long bone growth in bonobos is more limited.  </w:t>
      </w:r>
      <w:r w:rsidR="00A969E2">
        <w:rPr>
          <w:noProof/>
        </w:rPr>
        <w:t>D</w:t>
      </w:r>
      <w:r>
        <w:rPr>
          <w:noProof/>
        </w:rPr>
        <w:t>ata</w:t>
      </w:r>
      <w:r w:rsidR="00A969E2">
        <w:rPr>
          <w:noProof/>
        </w:rPr>
        <w:t xml:space="preserve"> are available</w:t>
      </w:r>
      <w:r>
        <w:rPr>
          <w:noProof/>
        </w:rPr>
        <w:t xml:space="preserve"> for adult dimensions </w:t>
      </w:r>
      <w:r w:rsidR="00A969E2">
        <w:rPr>
          <w:noProof/>
        </w:rPr>
        <w:t>(</w:t>
      </w:r>
      <w:r>
        <w:rPr>
          <w:noProof/>
        </w:rPr>
        <w:t>Coolidge 1933, Coolidge and Shea 1982</w:t>
      </w:r>
      <w:r w:rsidR="00A969E2">
        <w:rPr>
          <w:noProof/>
        </w:rPr>
        <w:t>,</w:t>
      </w:r>
      <w:r>
        <w:rPr>
          <w:noProof/>
        </w:rPr>
        <w:t xml:space="preserve"> Shea 1983).  </w:t>
      </w:r>
      <w:r w:rsidR="00B5526D">
        <w:rPr>
          <w:noProof/>
        </w:rPr>
        <w:t xml:space="preserve">Studies of adult dimensions have usually been conducted with the objective of comparison with chimpanzees.  </w:t>
      </w:r>
      <w:r>
        <w:rPr>
          <w:noProof/>
        </w:rPr>
        <w:t>Studies providing dimensional information on growt</w:t>
      </w:r>
      <w:r w:rsidRPr="0021539E">
        <w:rPr>
          <w:noProof/>
        </w:rPr>
        <w:t xml:space="preserve">h </w:t>
      </w:r>
      <w:r>
        <w:rPr>
          <w:noProof/>
        </w:rPr>
        <w:t xml:space="preserve">in sub-adult bonobos are limited to Shea (1981, </w:t>
      </w:r>
      <w:r>
        <w:rPr>
          <w:noProof/>
        </w:rPr>
        <w:lastRenderedPageBreak/>
        <w:t>1983, 1984)</w:t>
      </w:r>
      <w:r w:rsidR="00F45482">
        <w:rPr>
          <w:noProof/>
        </w:rPr>
        <w:t xml:space="preserve">. </w:t>
      </w:r>
      <w:r w:rsidR="006A02C7">
        <w:rPr>
          <w:noProof/>
        </w:rPr>
        <w:t>Shea</w:t>
      </w:r>
      <w:r w:rsidRPr="004E42E4">
        <w:rPr>
          <w:noProof/>
        </w:rPr>
        <w:t xml:space="preserve"> </w:t>
      </w:r>
      <w:r>
        <w:rPr>
          <w:noProof/>
        </w:rPr>
        <w:t>a</w:t>
      </w:r>
      <w:r w:rsidR="006A02C7">
        <w:rPr>
          <w:noProof/>
        </w:rPr>
        <w:t>naly</w:t>
      </w:r>
      <w:r>
        <w:rPr>
          <w:noProof/>
        </w:rPr>
        <w:t>s</w:t>
      </w:r>
      <w:r w:rsidR="00F45482">
        <w:rPr>
          <w:noProof/>
        </w:rPr>
        <w:t>ed</w:t>
      </w:r>
      <w:r w:rsidR="00B5526D">
        <w:rPr>
          <w:noProof/>
        </w:rPr>
        <w:t xml:space="preserve"> </w:t>
      </w:r>
      <w:r>
        <w:rPr>
          <w:noProof/>
        </w:rPr>
        <w:t>limb dimensions and overall somatic growth</w:t>
      </w:r>
      <w:r w:rsidR="00B5526D">
        <w:rPr>
          <w:noProof/>
        </w:rPr>
        <w:t>.  T</w:t>
      </w:r>
      <w:r>
        <w:rPr>
          <w:noProof/>
        </w:rPr>
        <w:t xml:space="preserve">he sample used was quite small </w:t>
      </w:r>
      <w:r w:rsidR="00F45482">
        <w:rPr>
          <w:noProof/>
        </w:rPr>
        <w:t>(</w:t>
      </w:r>
      <w:r w:rsidR="00FA70A3">
        <w:rPr>
          <w:i/>
          <w:noProof/>
        </w:rPr>
        <w:t>N</w:t>
      </w:r>
      <w:r w:rsidR="004F400E">
        <w:rPr>
          <w:noProof/>
        </w:rPr>
        <w:t xml:space="preserve"> </w:t>
      </w:r>
      <w:r w:rsidR="00F45482">
        <w:rPr>
          <w:noProof/>
        </w:rPr>
        <w:t>=</w:t>
      </w:r>
      <w:r>
        <w:rPr>
          <w:noProof/>
        </w:rPr>
        <w:t xml:space="preserve"> 7</w:t>
      </w:r>
      <w:r w:rsidR="00F45482">
        <w:rPr>
          <w:noProof/>
        </w:rPr>
        <w:t>)</w:t>
      </w:r>
      <w:r>
        <w:rPr>
          <w:noProof/>
        </w:rPr>
        <w:t xml:space="preserve">.  </w:t>
      </w:r>
      <w:r w:rsidR="00F45482">
        <w:rPr>
          <w:noProof/>
        </w:rPr>
        <w:t xml:space="preserve">Based on </w:t>
      </w:r>
      <w:r>
        <w:rPr>
          <w:noProof/>
        </w:rPr>
        <w:t xml:space="preserve">these data, it became evident that bonobo growth rates were similar to that of chimpanzees.  With such limited data, it is evident that captive and wild comparisons have not been made.  There are again no different populations </w:t>
      </w:r>
      <w:r w:rsidR="0070412E">
        <w:rPr>
          <w:noProof/>
        </w:rPr>
        <w:t>available for comparison</w:t>
      </w:r>
      <w:r>
        <w:rPr>
          <w:noProof/>
        </w:rPr>
        <w:t>.</w:t>
      </w:r>
    </w:p>
    <w:p w:rsidR="006110DE" w:rsidRDefault="006110DE" w:rsidP="00D263E8">
      <w:pPr>
        <w:pStyle w:val="Heading3"/>
      </w:pPr>
      <w:bookmarkStart w:id="86" w:name="_Toc373477742"/>
      <w:bookmarkStart w:id="87" w:name="_Toc373480740"/>
      <w:r>
        <w:t>Comparisons between chimpanzees, bonobos, and humans</w:t>
      </w:r>
      <w:bookmarkEnd w:id="86"/>
      <w:bookmarkEnd w:id="87"/>
    </w:p>
    <w:p w:rsidR="006110DE" w:rsidRDefault="006110DE" w:rsidP="00C74D5A">
      <w:pPr>
        <w:rPr>
          <w:noProof/>
        </w:rPr>
      </w:pPr>
      <w:r>
        <w:rPr>
          <w:noProof/>
        </w:rPr>
        <w:t>As mentioned in section 2.6.3, Shea (1981, 1983, 1984) compared sub-adult bonobos and chimpanzees.  These studies are the only direct comparisons between the two species</w:t>
      </w:r>
      <w:r w:rsidR="00851B4E">
        <w:rPr>
          <w:noProof/>
        </w:rPr>
        <w:t xml:space="preserve"> with respect to growth rates</w:t>
      </w:r>
      <w:r>
        <w:rPr>
          <w:noProof/>
        </w:rPr>
        <w:t xml:space="preserve">.  </w:t>
      </w:r>
      <w:r w:rsidR="00F45482">
        <w:rPr>
          <w:noProof/>
        </w:rPr>
        <w:t>At present, h</w:t>
      </w:r>
      <w:r>
        <w:rPr>
          <w:noProof/>
        </w:rPr>
        <w:t xml:space="preserve">owever, </w:t>
      </w:r>
      <w:r w:rsidR="00F45482">
        <w:rPr>
          <w:noProof/>
        </w:rPr>
        <w:t xml:space="preserve">it can </w:t>
      </w:r>
      <w:r w:rsidR="00851B4E">
        <w:rPr>
          <w:noProof/>
        </w:rPr>
        <w:t xml:space="preserve">only </w:t>
      </w:r>
      <w:r w:rsidR="00F45482">
        <w:rPr>
          <w:noProof/>
        </w:rPr>
        <w:t xml:space="preserve">be </w:t>
      </w:r>
      <w:r>
        <w:rPr>
          <w:noProof/>
        </w:rPr>
        <w:t>conclude</w:t>
      </w:r>
      <w:r w:rsidR="00F45482">
        <w:rPr>
          <w:noProof/>
        </w:rPr>
        <w:t>d</w:t>
      </w:r>
      <w:r>
        <w:rPr>
          <w:noProof/>
        </w:rPr>
        <w:t xml:space="preserve"> that bonobo and chimpanzee long-bone growth ra</w:t>
      </w:r>
      <w:r w:rsidR="006F2F56">
        <w:rPr>
          <w:noProof/>
        </w:rPr>
        <w:t>tes are effectively the same.</w:t>
      </w:r>
    </w:p>
    <w:p w:rsidR="00E4714E" w:rsidRDefault="006110DE" w:rsidP="00E4714E">
      <w:pPr>
        <w:rPr>
          <w:noProof/>
        </w:rPr>
      </w:pPr>
      <w:r>
        <w:rPr>
          <w:noProof/>
        </w:rPr>
        <w:t>In section 2.1</w:t>
      </w:r>
      <w:r w:rsidR="00A71A00">
        <w:rPr>
          <w:noProof/>
        </w:rPr>
        <w:t xml:space="preserve"> </w:t>
      </w:r>
      <w:r>
        <w:rPr>
          <w:noProof/>
        </w:rPr>
        <w:t>growth rates and allometry</w:t>
      </w:r>
      <w:r w:rsidR="00796506">
        <w:rPr>
          <w:noProof/>
        </w:rPr>
        <w:t xml:space="preserve"> were discussed</w:t>
      </w:r>
      <w:r>
        <w:rPr>
          <w:noProof/>
        </w:rPr>
        <w:t xml:space="preserve">.  There are evidently many comparisons of overall somatic growth such as Hamada </w:t>
      </w:r>
      <w:r>
        <w:rPr>
          <w:i/>
          <w:noProof/>
        </w:rPr>
        <w:t>et al</w:t>
      </w:r>
      <w:r w:rsidR="009F3C3A">
        <w:rPr>
          <w:i/>
          <w:noProof/>
        </w:rPr>
        <w:t>.</w:t>
      </w:r>
      <w:r w:rsidRPr="00D03EB7">
        <w:rPr>
          <w:noProof/>
        </w:rPr>
        <w:t xml:space="preserve"> (1996)</w:t>
      </w:r>
      <w:r>
        <w:rPr>
          <w:noProof/>
        </w:rPr>
        <w:t xml:space="preserve">, Hamada and Udono (2002), Schultz (1960), among others.  Adult dimensions are </w:t>
      </w:r>
      <w:r w:rsidR="002A3C8F">
        <w:rPr>
          <w:noProof/>
        </w:rPr>
        <w:t>well-documented and adult allometry has been considered</w:t>
      </w:r>
      <w:r w:rsidR="003A2317">
        <w:rPr>
          <w:noProof/>
        </w:rPr>
        <w:t xml:space="preserve"> in the context of differing </w:t>
      </w:r>
      <w:r>
        <w:rPr>
          <w:noProof/>
        </w:rPr>
        <w:t xml:space="preserve">locomotor behaviour between humans and chimpanzees </w:t>
      </w:r>
      <w:r w:rsidR="00796506">
        <w:rPr>
          <w:noProof/>
        </w:rPr>
        <w:t xml:space="preserve">(e.g., </w:t>
      </w:r>
      <w:r>
        <w:rPr>
          <w:noProof/>
        </w:rPr>
        <w:t>Jungers 1982</w:t>
      </w:r>
      <w:r w:rsidR="00796506">
        <w:rPr>
          <w:noProof/>
        </w:rPr>
        <w:t>,</w:t>
      </w:r>
      <w:r>
        <w:rPr>
          <w:noProof/>
        </w:rPr>
        <w:t xml:space="preserve"> Myatt </w:t>
      </w:r>
      <w:r>
        <w:rPr>
          <w:i/>
          <w:noProof/>
        </w:rPr>
        <w:t>et al</w:t>
      </w:r>
      <w:r w:rsidR="00796506">
        <w:rPr>
          <w:i/>
          <w:noProof/>
        </w:rPr>
        <w:t>.</w:t>
      </w:r>
      <w:r>
        <w:rPr>
          <w:i/>
          <w:noProof/>
        </w:rPr>
        <w:t xml:space="preserve"> </w:t>
      </w:r>
      <w:r>
        <w:rPr>
          <w:noProof/>
        </w:rPr>
        <w:t xml:space="preserve">2011).  </w:t>
      </w:r>
      <w:r w:rsidRPr="00261CBF">
        <w:rPr>
          <w:noProof/>
        </w:rPr>
        <w:t xml:space="preserve">As noted in section </w:t>
      </w:r>
      <w:r w:rsidR="00851B4E">
        <w:rPr>
          <w:noProof/>
        </w:rPr>
        <w:t>2.5</w:t>
      </w:r>
      <w:r>
        <w:rPr>
          <w:noProof/>
        </w:rPr>
        <w:t xml:space="preserve">.2, dimensions and rates for growth of individual long-bones have been determined by Shea (1981, 1983, 1984).  </w:t>
      </w:r>
      <w:r w:rsidR="00851B4E">
        <w:rPr>
          <w:noProof/>
        </w:rPr>
        <w:t xml:space="preserve">Despite differences in </w:t>
      </w:r>
      <w:r w:rsidR="00BA3043">
        <w:rPr>
          <w:noProof/>
        </w:rPr>
        <w:t xml:space="preserve">growth rates </w:t>
      </w:r>
      <w:r w:rsidR="00851B4E">
        <w:rPr>
          <w:noProof/>
        </w:rPr>
        <w:t xml:space="preserve">making </w:t>
      </w:r>
      <w:r w:rsidR="00BA3043">
        <w:rPr>
          <w:noProof/>
        </w:rPr>
        <w:t>compari</w:t>
      </w:r>
      <w:r w:rsidR="00851B4E">
        <w:rPr>
          <w:noProof/>
        </w:rPr>
        <w:t>s</w:t>
      </w:r>
      <w:r w:rsidR="00BA3043">
        <w:rPr>
          <w:noProof/>
        </w:rPr>
        <w:t>ons</w:t>
      </w:r>
      <w:r w:rsidR="00851B4E">
        <w:rPr>
          <w:noProof/>
        </w:rPr>
        <w:t xml:space="preserve"> problematic</w:t>
      </w:r>
      <w:r w:rsidR="00BA3043">
        <w:rPr>
          <w:noProof/>
        </w:rPr>
        <w:t xml:space="preserve">, </w:t>
      </w:r>
      <w:r w:rsidR="004E7B64">
        <w:rPr>
          <w:noProof/>
        </w:rPr>
        <w:t xml:space="preserve">Shea (1983) </w:t>
      </w:r>
      <w:r w:rsidR="00BA3043">
        <w:rPr>
          <w:noProof/>
        </w:rPr>
        <w:t xml:space="preserve">suggested </w:t>
      </w:r>
      <w:r w:rsidR="004E7B64">
        <w:rPr>
          <w:noProof/>
        </w:rPr>
        <w:t xml:space="preserve">that humans do not develop their bipedally adapted long-bone dimensions </w:t>
      </w:r>
      <w:r w:rsidR="00BA3043">
        <w:rPr>
          <w:noProof/>
        </w:rPr>
        <w:t>during</w:t>
      </w:r>
      <w:r w:rsidR="004E7B64">
        <w:rPr>
          <w:noProof/>
        </w:rPr>
        <w:t xml:space="preserve"> growth</w:t>
      </w:r>
      <w:r w:rsidR="00851B4E">
        <w:rPr>
          <w:noProof/>
        </w:rPr>
        <w:t xml:space="preserve">, rather, </w:t>
      </w:r>
      <w:r w:rsidR="00BA3043">
        <w:rPr>
          <w:noProof/>
        </w:rPr>
        <w:t>t</w:t>
      </w:r>
      <w:r w:rsidR="004E7B64">
        <w:rPr>
          <w:noProof/>
        </w:rPr>
        <w:t>hese exist from birth</w:t>
      </w:r>
      <w:r w:rsidR="00076200">
        <w:rPr>
          <w:noProof/>
        </w:rPr>
        <w:t>.</w:t>
      </w:r>
    </w:p>
    <w:p w:rsidR="006110DE" w:rsidRPr="00E4714E" w:rsidRDefault="006110DE" w:rsidP="00E4714E">
      <w:pPr>
        <w:rPr>
          <w:noProof/>
        </w:rPr>
      </w:pPr>
      <w:r>
        <w:rPr>
          <w:noProof/>
          <w:color w:val="000000"/>
        </w:rPr>
        <w:t>Due to the relatively large samples of</w:t>
      </w:r>
      <w:r w:rsidR="00F76629">
        <w:rPr>
          <w:noProof/>
          <w:color w:val="000000"/>
        </w:rPr>
        <w:t xml:space="preserve"> sub-adult individuals that are</w:t>
      </w:r>
      <w:r>
        <w:rPr>
          <w:noProof/>
          <w:color w:val="000000"/>
        </w:rPr>
        <w:t xml:space="preserve"> required, no further studies have pursued sub-adult allometric change comparisons beyond Shea’s work.  Much more </w:t>
      </w:r>
      <w:r w:rsidR="00796506">
        <w:rPr>
          <w:noProof/>
          <w:color w:val="000000"/>
        </w:rPr>
        <w:t xml:space="preserve">research </w:t>
      </w:r>
      <w:r>
        <w:rPr>
          <w:noProof/>
          <w:color w:val="000000"/>
        </w:rPr>
        <w:t xml:space="preserve">has been done comparing cranial allometry, as mentioned in section 2.1.  This lack of study depth may relate to craniometric variables being less tied to locomotion than post-cranial ones. Shea’s evidence also suggests </w:t>
      </w:r>
      <w:r w:rsidR="000D4601">
        <w:rPr>
          <w:noProof/>
          <w:color w:val="000000"/>
        </w:rPr>
        <w:t>that</w:t>
      </w:r>
      <w:r>
        <w:rPr>
          <w:noProof/>
          <w:color w:val="000000"/>
        </w:rPr>
        <w:t xml:space="preserve"> </w:t>
      </w:r>
      <w:r w:rsidR="00504B1F">
        <w:rPr>
          <w:noProof/>
          <w:color w:val="000000"/>
        </w:rPr>
        <w:t>static allom</w:t>
      </w:r>
      <w:r w:rsidR="000D4601">
        <w:rPr>
          <w:noProof/>
          <w:color w:val="000000"/>
        </w:rPr>
        <w:t>e</w:t>
      </w:r>
      <w:r w:rsidR="00504B1F">
        <w:rPr>
          <w:noProof/>
          <w:color w:val="000000"/>
        </w:rPr>
        <w:t xml:space="preserve">try </w:t>
      </w:r>
      <w:r>
        <w:rPr>
          <w:noProof/>
          <w:color w:val="000000"/>
        </w:rPr>
        <w:t xml:space="preserve">consistency between chimpanzee sub-adults and adults </w:t>
      </w:r>
      <w:r w:rsidR="00F667AD">
        <w:rPr>
          <w:noProof/>
          <w:color w:val="000000"/>
        </w:rPr>
        <w:t xml:space="preserve">indicates </w:t>
      </w:r>
      <w:r>
        <w:rPr>
          <w:noProof/>
          <w:color w:val="000000"/>
        </w:rPr>
        <w:t xml:space="preserve">that further research into sub-adult allometry would not likely provide any </w:t>
      </w:r>
      <w:r w:rsidR="002026C0">
        <w:rPr>
          <w:noProof/>
          <w:color w:val="000000"/>
        </w:rPr>
        <w:t>additional</w:t>
      </w:r>
      <w:r>
        <w:rPr>
          <w:noProof/>
          <w:color w:val="000000"/>
        </w:rPr>
        <w:t xml:space="preserve"> insights.</w:t>
      </w:r>
    </w:p>
    <w:p w:rsidR="006110DE" w:rsidRPr="00E4714E" w:rsidRDefault="006110DE" w:rsidP="00D263E8">
      <w:pPr>
        <w:pStyle w:val="Heading2"/>
      </w:pPr>
      <w:bookmarkStart w:id="88" w:name="_Toc373477743"/>
      <w:bookmarkStart w:id="89" w:name="_Toc373480741"/>
      <w:r w:rsidRPr="00956098">
        <w:t xml:space="preserve">Summary of current knowledge </w:t>
      </w:r>
      <w:r>
        <w:t xml:space="preserve">of </w:t>
      </w:r>
      <w:r w:rsidRPr="009F7F0F">
        <w:t>Homo</w:t>
      </w:r>
      <w:r w:rsidRPr="00E4714E">
        <w:t xml:space="preserve"> </w:t>
      </w:r>
      <w:r w:rsidRPr="00956098">
        <w:t>and</w:t>
      </w:r>
      <w:r w:rsidR="00E01CD2">
        <w:t xml:space="preserve"> </w:t>
      </w:r>
      <w:r w:rsidR="00E01CD2" w:rsidRPr="009F7F0F">
        <w:t>Pan</w:t>
      </w:r>
      <w:r w:rsidRPr="00956098">
        <w:t xml:space="preserve"> life history </w:t>
      </w:r>
      <w:r>
        <w:t>variables</w:t>
      </w:r>
      <w:bookmarkEnd w:id="88"/>
      <w:bookmarkEnd w:id="89"/>
    </w:p>
    <w:p w:rsidR="00E94CEE" w:rsidRDefault="006110DE" w:rsidP="00E4714E">
      <w:pPr>
        <w:rPr>
          <w:noProof/>
          <w:lang w:val="en-CA"/>
        </w:rPr>
      </w:pPr>
      <w:r>
        <w:rPr>
          <w:noProof/>
          <w:lang w:val="en-CA"/>
        </w:rPr>
        <w:t xml:space="preserve">In this chapter a wide range of topics </w:t>
      </w:r>
      <w:r w:rsidR="009D2DEC">
        <w:rPr>
          <w:noProof/>
          <w:lang w:val="en-CA"/>
        </w:rPr>
        <w:t xml:space="preserve">have been covered </w:t>
      </w:r>
      <w:r>
        <w:rPr>
          <w:noProof/>
          <w:lang w:val="en-CA"/>
        </w:rPr>
        <w:t xml:space="preserve">discussing growth and development in </w:t>
      </w:r>
      <w:r w:rsidRPr="009E28B6">
        <w:rPr>
          <w:i/>
          <w:noProof/>
          <w:lang w:val="en-CA"/>
        </w:rPr>
        <w:t>Homo</w:t>
      </w:r>
      <w:r>
        <w:rPr>
          <w:noProof/>
          <w:lang w:val="en-CA"/>
        </w:rPr>
        <w:t xml:space="preserve"> </w:t>
      </w:r>
      <w:r w:rsidRPr="009E28B6">
        <w:rPr>
          <w:noProof/>
          <w:lang w:val="en-CA"/>
        </w:rPr>
        <w:t>and</w:t>
      </w:r>
      <w:r>
        <w:rPr>
          <w:i/>
          <w:noProof/>
          <w:lang w:val="en-CA"/>
        </w:rPr>
        <w:t xml:space="preserve"> Pan</w:t>
      </w:r>
      <w:r w:rsidRPr="009E28B6">
        <w:rPr>
          <w:noProof/>
          <w:lang w:val="en-CA"/>
        </w:rPr>
        <w:t>.</w:t>
      </w:r>
      <w:r>
        <w:rPr>
          <w:noProof/>
          <w:lang w:val="en-CA"/>
        </w:rPr>
        <w:t xml:space="preserve">  </w:t>
      </w:r>
      <w:r w:rsidR="009D2DEC">
        <w:rPr>
          <w:noProof/>
          <w:lang w:val="en-CA"/>
        </w:rPr>
        <w:t>Key variables from each section will now be summarised</w:t>
      </w:r>
      <w:r>
        <w:rPr>
          <w:noProof/>
          <w:lang w:val="en-CA"/>
        </w:rPr>
        <w:t>.</w:t>
      </w:r>
    </w:p>
    <w:p w:rsidR="00E94CEE" w:rsidRDefault="00E94CEE">
      <w:pPr>
        <w:spacing w:before="0" w:after="200" w:line="276" w:lineRule="auto"/>
        <w:jc w:val="left"/>
        <w:rPr>
          <w:noProof/>
          <w:lang w:val="en-CA"/>
        </w:rPr>
      </w:pPr>
      <w:r>
        <w:rPr>
          <w:noProof/>
          <w:lang w:val="en-CA"/>
        </w:rPr>
        <w:br w:type="page"/>
      </w:r>
    </w:p>
    <w:p w:rsidR="006110DE" w:rsidRPr="00E4714E" w:rsidRDefault="00E4714E" w:rsidP="00D263E8">
      <w:pPr>
        <w:pStyle w:val="Heading3"/>
      </w:pPr>
      <w:bookmarkStart w:id="90" w:name="_Toc373477744"/>
      <w:bookmarkStart w:id="91" w:name="_Toc373480742"/>
      <w:r>
        <w:lastRenderedPageBreak/>
        <w:t>Summary of developmental theory</w:t>
      </w:r>
      <w:bookmarkEnd w:id="90"/>
      <w:bookmarkEnd w:id="91"/>
    </w:p>
    <w:p w:rsidR="006110DE" w:rsidRDefault="00A3335C" w:rsidP="00E4714E">
      <w:pPr>
        <w:rPr>
          <w:noProof/>
        </w:rPr>
      </w:pPr>
      <w:r>
        <w:rPr>
          <w:noProof/>
        </w:rPr>
        <w:t>T</w:t>
      </w:r>
      <w:r w:rsidR="006110DE">
        <w:rPr>
          <w:noProof/>
        </w:rPr>
        <w:t>he concept of heterochrony</w:t>
      </w:r>
      <w:r>
        <w:rPr>
          <w:noProof/>
        </w:rPr>
        <w:t xml:space="preserve"> has been introduced</w:t>
      </w:r>
      <w:r w:rsidR="006110DE">
        <w:rPr>
          <w:noProof/>
        </w:rPr>
        <w:t xml:space="preserve"> and changes in growth rate and pattern</w:t>
      </w:r>
      <w:r>
        <w:rPr>
          <w:noProof/>
        </w:rPr>
        <w:t xml:space="preserve"> have been considered</w:t>
      </w:r>
      <w:r w:rsidR="006110DE">
        <w:rPr>
          <w:noProof/>
        </w:rPr>
        <w:t>.  Within this subject the concepts of neoteny and hypermorphosis</w:t>
      </w:r>
      <w:r>
        <w:rPr>
          <w:noProof/>
        </w:rPr>
        <w:t xml:space="preserve"> have been explored</w:t>
      </w:r>
      <w:r w:rsidR="00405DA0">
        <w:rPr>
          <w:noProof/>
        </w:rPr>
        <w:t>.  T</w:t>
      </w:r>
      <w:r>
        <w:rPr>
          <w:noProof/>
        </w:rPr>
        <w:t>hese</w:t>
      </w:r>
      <w:r w:rsidR="006110DE">
        <w:rPr>
          <w:noProof/>
        </w:rPr>
        <w:t xml:space="preserve"> have been used to explain the difference between human and ape development.  The debate over the validity of each was considered and it was demonstrated that there is no widespread agreement with respect to these issue. </w:t>
      </w:r>
      <w:r w:rsidR="00405DA0">
        <w:rPr>
          <w:noProof/>
        </w:rPr>
        <w:t xml:space="preserve"> </w:t>
      </w:r>
      <w:r w:rsidR="006110DE">
        <w:rPr>
          <w:noProof/>
        </w:rPr>
        <w:t xml:space="preserve">It is clear that for some areas such as sequence heterochrony and the comparison of different systems that more data </w:t>
      </w:r>
      <w:r w:rsidR="002523B8">
        <w:rPr>
          <w:noProof/>
        </w:rPr>
        <w:t>are</w:t>
      </w:r>
      <w:r w:rsidR="006110DE">
        <w:rPr>
          <w:noProof/>
        </w:rPr>
        <w:t xml:space="preserve"> required.  This study will assist in making up some of these deficiencies.</w:t>
      </w:r>
    </w:p>
    <w:p w:rsidR="006110DE" w:rsidRPr="00C51F1D" w:rsidRDefault="006110DE" w:rsidP="00D263E8">
      <w:pPr>
        <w:pStyle w:val="Heading3"/>
      </w:pPr>
      <w:bookmarkStart w:id="92" w:name="_Toc373477745"/>
      <w:bookmarkStart w:id="93" w:name="_Toc373480743"/>
      <w:r w:rsidRPr="00C51F1D">
        <w:t>Summary of epiphyseal fusion</w:t>
      </w:r>
      <w:bookmarkEnd w:id="92"/>
      <w:bookmarkEnd w:id="93"/>
    </w:p>
    <w:p w:rsidR="006110DE" w:rsidRPr="00CC58FD" w:rsidRDefault="006110DE" w:rsidP="00D36204">
      <w:pPr>
        <w:rPr>
          <w:noProof/>
        </w:rPr>
      </w:pPr>
      <w:r>
        <w:rPr>
          <w:noProof/>
        </w:rPr>
        <w:t>It is clear that comprehensive data exist for humans wi</w:t>
      </w:r>
      <w:r w:rsidR="00EC7A7B">
        <w:rPr>
          <w:noProof/>
        </w:rPr>
        <w:t>th sequence timing well-e</w:t>
      </w:r>
      <w:r>
        <w:rPr>
          <w:noProof/>
        </w:rPr>
        <w:t>stablished.  Sex difference in terms of fusion timing have been observed.  Current research suggests that population affinities are unlikely to affect pattern of fusion.  Populations in which minor differences have been observed have tended to also be stressed populations and as such make results less reliable.  Nutritional stress has also been shown to delay fusion timing.</w:t>
      </w:r>
    </w:p>
    <w:p w:rsidR="006110DE" w:rsidRDefault="006110DE" w:rsidP="00D36204">
      <w:pPr>
        <w:rPr>
          <w:noProof/>
        </w:rPr>
      </w:pPr>
      <w:r>
        <w:rPr>
          <w:noProof/>
        </w:rPr>
        <w:t>For chimpanzees most</w:t>
      </w:r>
      <w:r w:rsidR="007A5F8C">
        <w:rPr>
          <w:noProof/>
        </w:rPr>
        <w:t xml:space="preserve"> epiphyseal fusion</w:t>
      </w:r>
      <w:r>
        <w:rPr>
          <w:noProof/>
        </w:rPr>
        <w:t xml:space="preserve"> </w:t>
      </w:r>
      <w:r w:rsidR="007B674D">
        <w:rPr>
          <w:noProof/>
        </w:rPr>
        <w:t xml:space="preserve">sites </w:t>
      </w:r>
      <w:r>
        <w:rPr>
          <w:noProof/>
        </w:rPr>
        <w:t>have been observed at some point but sample sizes and levels of precision for age ranges vary dramatically.  Methodology is also inconsistent between studies.  As such, a well-defined sequences using a large sample size have yet to be achieved.  Population comparisons have not been considered for epiphyseal fusion in chimpanzees.  Comparisons of captive vs. wild have shown some differences, although sample size limitations have rendered the level of deviation unclear.</w:t>
      </w:r>
    </w:p>
    <w:p w:rsidR="00663D04" w:rsidRDefault="006110DE" w:rsidP="00DC6440">
      <w:pPr>
        <w:rPr>
          <w:noProof/>
        </w:rPr>
      </w:pPr>
      <w:r>
        <w:rPr>
          <w:noProof/>
        </w:rPr>
        <w:t>For bonobos the only work on epiphyseal fusion sites has been Bolter and Zihlman (2012).  Data for the effect of stress on growth has not been acquired.  There are no population sub-groups to compare for this species.</w:t>
      </w:r>
    </w:p>
    <w:p w:rsidR="00663D04" w:rsidRDefault="00663D04">
      <w:pPr>
        <w:spacing w:before="0" w:after="200" w:line="276" w:lineRule="auto"/>
        <w:jc w:val="left"/>
        <w:rPr>
          <w:noProof/>
        </w:rPr>
      </w:pPr>
      <w:r>
        <w:rPr>
          <w:noProof/>
        </w:rPr>
        <w:br w:type="page"/>
      </w:r>
    </w:p>
    <w:p w:rsidR="006110DE" w:rsidRPr="00A57CC1" w:rsidRDefault="006110DE" w:rsidP="00DC6440">
      <w:pPr>
        <w:rPr>
          <w:noProof/>
          <w:u w:val="single"/>
        </w:rPr>
      </w:pPr>
      <w:r w:rsidRPr="00A57CC1">
        <w:rPr>
          <w:noProof/>
          <w:u w:val="single"/>
        </w:rPr>
        <w:lastRenderedPageBreak/>
        <w:t>Differences between species/sub-species:</w:t>
      </w:r>
    </w:p>
    <w:p w:rsidR="006110DE" w:rsidRPr="00EE62F4" w:rsidRDefault="006110DE" w:rsidP="00DC6440">
      <w:pPr>
        <w:rPr>
          <w:b/>
          <w:noProof/>
        </w:rPr>
      </w:pPr>
      <w:r>
        <w:rPr>
          <w:noProof/>
        </w:rPr>
        <w:t xml:space="preserve">Epiphyseal fusion comparisons between chimpanzees and bonobos are limited to Bolter and Zihlman (2012).  This study found that there were generally no differences between the species.  However, the sample size was small and only very generalized ranges were obtained for fusion timing.  Comparisons of chimpanzees to humans </w:t>
      </w:r>
      <w:r w:rsidR="00754EFF">
        <w:rPr>
          <w:noProof/>
        </w:rPr>
        <w:t>are restricted to the basic observations of Kerley (1966) for three fusion sites</w:t>
      </w:r>
      <w:r>
        <w:rPr>
          <w:noProof/>
        </w:rPr>
        <w:t>.</w:t>
      </w:r>
      <w:r w:rsidR="00754EFF">
        <w:rPr>
          <w:noProof/>
        </w:rPr>
        <w:t xml:space="preserve">  Such comparisons are </w:t>
      </w:r>
      <w:r w:rsidR="00C3624D">
        <w:rPr>
          <w:noProof/>
        </w:rPr>
        <w:t xml:space="preserve">made </w:t>
      </w:r>
      <w:r w:rsidR="00754EFF">
        <w:rPr>
          <w:noProof/>
        </w:rPr>
        <w:t>problemati</w:t>
      </w:r>
      <w:r w:rsidR="00C3624D">
        <w:rPr>
          <w:noProof/>
        </w:rPr>
        <w:t>c</w:t>
      </w:r>
      <w:r w:rsidR="00754EFF">
        <w:rPr>
          <w:noProof/>
        </w:rPr>
        <w:t xml:space="preserve"> by </w:t>
      </w:r>
      <w:r w:rsidR="00C3624D">
        <w:rPr>
          <w:noProof/>
        </w:rPr>
        <w:t xml:space="preserve">the </w:t>
      </w:r>
      <w:r w:rsidR="00104D73">
        <w:rPr>
          <w:noProof/>
        </w:rPr>
        <w:t>lack of precision for age</w:t>
      </w:r>
      <w:r w:rsidR="00754EFF">
        <w:rPr>
          <w:noProof/>
        </w:rPr>
        <w:t xml:space="preserve"> ranges of fusion events and growth rate distortions between </w:t>
      </w:r>
      <w:r w:rsidR="00754EFF">
        <w:rPr>
          <w:i/>
          <w:noProof/>
        </w:rPr>
        <w:t>Pan</w:t>
      </w:r>
      <w:r w:rsidR="00754EFF">
        <w:rPr>
          <w:noProof/>
        </w:rPr>
        <w:t xml:space="preserve"> and </w:t>
      </w:r>
      <w:r w:rsidR="00754EFF">
        <w:rPr>
          <w:i/>
          <w:noProof/>
        </w:rPr>
        <w:t>Homo</w:t>
      </w:r>
      <w:r w:rsidR="00097A3E">
        <w:rPr>
          <w:noProof/>
        </w:rPr>
        <w:t xml:space="preserve">.  It is evident that large sample sizes are necessary for refinement of understanding in skeletal fusion for </w:t>
      </w:r>
      <w:r w:rsidR="00097A3E">
        <w:rPr>
          <w:i/>
          <w:noProof/>
        </w:rPr>
        <w:t>Pan</w:t>
      </w:r>
      <w:r w:rsidR="00CC621C">
        <w:rPr>
          <w:noProof/>
        </w:rPr>
        <w:t>.</w:t>
      </w:r>
    </w:p>
    <w:p w:rsidR="006110DE" w:rsidRDefault="006110DE" w:rsidP="00D263E8">
      <w:pPr>
        <w:pStyle w:val="Heading3"/>
      </w:pPr>
      <w:bookmarkStart w:id="94" w:name="_Toc373477746"/>
      <w:bookmarkStart w:id="95" w:name="_Toc373480744"/>
      <w:r>
        <w:t>Summary of dental development</w:t>
      </w:r>
      <w:bookmarkEnd w:id="94"/>
      <w:bookmarkEnd w:id="95"/>
    </w:p>
    <w:p w:rsidR="006110DE" w:rsidRPr="001D12C6" w:rsidRDefault="006110DE" w:rsidP="00971F0C">
      <w:pPr>
        <w:rPr>
          <w:noProof/>
        </w:rPr>
      </w:pPr>
      <w:r>
        <w:rPr>
          <w:noProof/>
        </w:rPr>
        <w:t>Human dental emergence and mineralization ha</w:t>
      </w:r>
      <w:r w:rsidR="00466BA8">
        <w:rPr>
          <w:noProof/>
        </w:rPr>
        <w:t>ve</w:t>
      </w:r>
      <w:r>
        <w:rPr>
          <w:noProof/>
        </w:rPr>
        <w:t xml:space="preserve"> been well-established with many large-sample studies spanning multiple populations and covering healthy and stressed individuals.  Sex differences in timing have been </w:t>
      </w:r>
      <w:r w:rsidR="004110C3">
        <w:rPr>
          <w:noProof/>
        </w:rPr>
        <w:t>determin</w:t>
      </w:r>
      <w:r>
        <w:rPr>
          <w:noProof/>
        </w:rPr>
        <w:t xml:space="preserve">ed.  Different populations have shown minor differences </w:t>
      </w:r>
      <w:r w:rsidR="00A35ECE">
        <w:rPr>
          <w:noProof/>
        </w:rPr>
        <w:t xml:space="preserve">for </w:t>
      </w:r>
      <w:r>
        <w:rPr>
          <w:noProof/>
        </w:rPr>
        <w:t xml:space="preserve">mineralization pattern in some studies but not others.  It is not entirely clear what the effect of population </w:t>
      </w:r>
      <w:r w:rsidR="00C34946">
        <w:rPr>
          <w:noProof/>
        </w:rPr>
        <w:t xml:space="preserve">is </w:t>
      </w:r>
      <w:r>
        <w:rPr>
          <w:noProof/>
        </w:rPr>
        <w:t>but it is likely that any real differences are minor.  Nutritional stress has also been shown to affect dental development.  It has been documented that this system is less susceptible to systemic st</w:t>
      </w:r>
      <w:r w:rsidR="00104D73">
        <w:rPr>
          <w:noProof/>
        </w:rPr>
        <w:t>ress than skeletal development.</w:t>
      </w:r>
    </w:p>
    <w:p w:rsidR="006110DE" w:rsidRDefault="006110DE" w:rsidP="00971F0C">
      <w:r>
        <w:t xml:space="preserve">Emergence and mineralization timings are documented for chimpanzees.  Sex differences are known to exist.  Comparisons of different populations are lacking for mineralization and emergence.  It should be noted that many of the studies of dental development agree with each other and these studies have often employed data from different populations.  By inference </w:t>
      </w:r>
      <w:r w:rsidR="00A35ECE">
        <w:t>it should be</w:t>
      </w:r>
      <w:r>
        <w:t xml:space="preserve"> expect</w:t>
      </w:r>
      <w:r w:rsidR="00A35ECE">
        <w:t>ed</w:t>
      </w:r>
      <w:r>
        <w:t xml:space="preserve"> that deviations are not great, if present at all.  Data comparing captive and wild as a proxy for stressed and unstressed populations have potentially shown some differenc</w:t>
      </w:r>
      <w:r w:rsidR="00104D73">
        <w:t>es (Zihlman 2004), although the</w:t>
      </w:r>
      <w:r>
        <w:t xml:space="preserve"> </w:t>
      </w:r>
      <w:r w:rsidR="00541151">
        <w:t xml:space="preserve">evidence for this </w:t>
      </w:r>
      <w:r>
        <w:t xml:space="preserve">effect has been </w:t>
      </w:r>
      <w:r w:rsidR="00541151">
        <w:t>challenged (</w:t>
      </w:r>
      <w:r>
        <w:t xml:space="preserve">Smith </w:t>
      </w:r>
      <w:r>
        <w:rPr>
          <w:i/>
        </w:rPr>
        <w:t>et al</w:t>
      </w:r>
      <w:r w:rsidR="00541151">
        <w:rPr>
          <w:i/>
        </w:rPr>
        <w:t>.</w:t>
      </w:r>
      <w:r w:rsidR="00541151">
        <w:t xml:space="preserve"> </w:t>
      </w:r>
      <w:r w:rsidR="00FC2CB2">
        <w:t>2010).</w:t>
      </w:r>
    </w:p>
    <w:p w:rsidR="006110DE" w:rsidRDefault="006110DE" w:rsidP="00971F0C">
      <w:r>
        <w:t xml:space="preserve">Bonobo dentition has been less extensively studied but emergence and mineralization timing is available.  Nutritional stress effects have not been investigated.  There </w:t>
      </w:r>
      <w:r w:rsidR="009E2CA3">
        <w:t>are no sub-species to compare.</w:t>
      </w:r>
    </w:p>
    <w:p w:rsidR="006110DE" w:rsidRDefault="006110DE" w:rsidP="00971F0C">
      <w:r>
        <w:t>There are well-</w:t>
      </w:r>
      <w:r w:rsidR="00DC34B8">
        <w:t xml:space="preserve">documented </w:t>
      </w:r>
      <w:r>
        <w:t xml:space="preserve">differences in both mineralization and emergence timing between chimpanzees and humans.  Chimpanzees and bonobos have been compared by Boughner </w:t>
      </w:r>
      <w:r w:rsidR="00692879">
        <w:rPr>
          <w:i/>
        </w:rPr>
        <w:t>et al</w:t>
      </w:r>
      <w:r w:rsidR="00692879">
        <w:t>.</w:t>
      </w:r>
      <w:r w:rsidR="00692879">
        <w:rPr>
          <w:i/>
        </w:rPr>
        <w:t xml:space="preserve"> </w:t>
      </w:r>
      <w:r>
        <w:t xml:space="preserve">(2012) with the conclusion that patterns of mineralization are not distinguishable between the species.  Both species of </w:t>
      </w:r>
      <w:r>
        <w:rPr>
          <w:i/>
        </w:rPr>
        <w:t>Pan</w:t>
      </w:r>
      <w:r>
        <w:t xml:space="preserve"> may be considered dentally analogous </w:t>
      </w:r>
      <w:r w:rsidR="009E2CA3">
        <w:t>for the purposes of this study.</w:t>
      </w:r>
    </w:p>
    <w:p w:rsidR="006110DE" w:rsidRDefault="006110DE" w:rsidP="00D263E8">
      <w:pPr>
        <w:pStyle w:val="Heading3"/>
      </w:pPr>
      <w:bookmarkStart w:id="96" w:name="_Toc373477747"/>
      <w:bookmarkStart w:id="97" w:name="_Toc373480745"/>
      <w:r>
        <w:lastRenderedPageBreak/>
        <w:t xml:space="preserve">Summary of long-bone </w:t>
      </w:r>
      <w:r w:rsidR="00077CF0">
        <w:t xml:space="preserve">growth in </w:t>
      </w:r>
      <w:r>
        <w:t>length</w:t>
      </w:r>
      <w:bookmarkEnd w:id="96"/>
      <w:bookmarkEnd w:id="97"/>
    </w:p>
    <w:p w:rsidR="006110DE" w:rsidRDefault="00235349" w:rsidP="00971F0C">
      <w:r>
        <w:t>Metric c</w:t>
      </w:r>
      <w:r w:rsidR="006110DE">
        <w:t xml:space="preserve">hanges in length of long-bones are well </w:t>
      </w:r>
      <w:r w:rsidR="00C65177">
        <w:t xml:space="preserve">known </w:t>
      </w:r>
      <w:r w:rsidR="006110DE">
        <w:t xml:space="preserve">for humans.  Sex differences are known to exist both for timing and overall dimensions, with females smaller than males.  Minor population differences have been documented.  Some studies looking at these differences may suffer from </w:t>
      </w:r>
      <w:r w:rsidR="00EA5BFC">
        <w:t>acquiring</w:t>
      </w:r>
      <w:r w:rsidR="00A22FBB">
        <w:t xml:space="preserve"> data from </w:t>
      </w:r>
      <w:r w:rsidR="006110DE">
        <w:t xml:space="preserve">using populations that are environmentally stressed.  It should be noted that </w:t>
      </w:r>
      <w:r w:rsidR="00D70552">
        <w:t>inconsistencies</w:t>
      </w:r>
      <w:r w:rsidR="006110DE">
        <w:t xml:space="preserve"> </w:t>
      </w:r>
      <w:r w:rsidR="00FD4B20">
        <w:t xml:space="preserve">found </w:t>
      </w:r>
      <w:r w:rsidR="00D70552">
        <w:t xml:space="preserve">between populations </w:t>
      </w:r>
      <w:r w:rsidR="006110DE">
        <w:t xml:space="preserve">do not </w:t>
      </w:r>
      <w:r w:rsidR="00FD4B20">
        <w:t xml:space="preserve">appear to </w:t>
      </w:r>
      <w:r w:rsidR="006110DE">
        <w:t xml:space="preserve">relate to behavioural differences in terms of locomotion but rather, refer to differences of climate adaptation or potential genetic drift.  Nutritionally stressed populations show notable delays in growth.  Nutritionally stressed populations also show reduced stature.  </w:t>
      </w:r>
      <w:r w:rsidR="00FD4B20">
        <w:t xml:space="preserve">Data from large studies of healthy populations are available in reference texts such as Scheuer and Black (2004) and Schaefer </w:t>
      </w:r>
      <w:r w:rsidR="00FD4B20">
        <w:rPr>
          <w:i/>
        </w:rPr>
        <w:t>et al</w:t>
      </w:r>
      <w:r w:rsidR="00FD4B20">
        <w:t>. (2009).</w:t>
      </w:r>
    </w:p>
    <w:p w:rsidR="006110DE" w:rsidRDefault="006110DE" w:rsidP="00971F0C">
      <w:r>
        <w:t xml:space="preserve">Growth of chimpanzee long-bones has been </w:t>
      </w:r>
      <w:r w:rsidR="00CB79CC">
        <w:t>observed in multiple studies</w:t>
      </w:r>
      <w:r>
        <w:t>.  Sex differences are known, with females in advance of males.  Wild samples have been found to be retarded in growth compared to captive samples, lending support to the presumption that wild samples are more stressed.</w:t>
      </w:r>
    </w:p>
    <w:p w:rsidR="006110DE" w:rsidRDefault="006110DE" w:rsidP="00971F0C">
      <w:r>
        <w:t>Information on bonobo long-bone growth is limited to the work of Shea in the 1980s.  Long-bone growth rates were determined using a small sample across differing ages.</w:t>
      </w:r>
    </w:p>
    <w:p w:rsidR="0013648E" w:rsidRDefault="006110DE" w:rsidP="00971F0C">
      <w:r>
        <w:t>Shea’s</w:t>
      </w:r>
      <w:r w:rsidR="00B17F47">
        <w:t xml:space="preserve"> (1981)</w:t>
      </w:r>
      <w:r>
        <w:t xml:space="preserve"> work suggests that bonobos do not dramatically differ from chimpanzees, although his sample size was small.  Comparisons of chimpanzees</w:t>
      </w:r>
      <w:r w:rsidR="007F112A">
        <w:t xml:space="preserve">, bonobos, and </w:t>
      </w:r>
      <w:r>
        <w:t xml:space="preserve">humans have </w:t>
      </w:r>
      <w:r w:rsidR="007F112A">
        <w:t xml:space="preserve">suggested that these species maintain static allometry for </w:t>
      </w:r>
      <w:r w:rsidR="00856680">
        <w:t xml:space="preserve">growth in </w:t>
      </w:r>
      <w:r w:rsidR="007F112A">
        <w:t>length</w:t>
      </w:r>
      <w:r w:rsidR="00B17F47">
        <w:t xml:space="preserve"> </w:t>
      </w:r>
      <w:r w:rsidR="00283821">
        <w:t xml:space="preserve">of long-bones </w:t>
      </w:r>
      <w:r w:rsidR="00B17F47">
        <w:t>(Shea 1981, 1983)</w:t>
      </w:r>
      <w:r w:rsidR="006D58CA">
        <w:t>.</w:t>
      </w:r>
    </w:p>
    <w:p w:rsidR="006110DE" w:rsidRDefault="006110DE" w:rsidP="00D263E8">
      <w:pPr>
        <w:pStyle w:val="Heading3"/>
      </w:pPr>
      <w:bookmarkStart w:id="98" w:name="_Toc373477748"/>
      <w:bookmarkStart w:id="99" w:name="_Toc373480746"/>
      <w:r>
        <w:t>Summary conclusion</w:t>
      </w:r>
      <w:bookmarkEnd w:id="98"/>
      <w:bookmarkEnd w:id="99"/>
    </w:p>
    <w:p w:rsidR="00D557BE" w:rsidRDefault="006110DE" w:rsidP="004377E2">
      <w:r>
        <w:t xml:space="preserve">Much data exist on chimpanzee growth and development but there are notable areas where information is lacking or is derived from small samples.  No studies have integrated all three variables of epiphyseal fusion, dental </w:t>
      </w:r>
      <w:r w:rsidR="00F55908">
        <w:t>mineralization</w:t>
      </w:r>
      <w:r>
        <w:t xml:space="preserve">, and long-bone length in a single study for either species of </w:t>
      </w:r>
      <w:r>
        <w:rPr>
          <w:i/>
        </w:rPr>
        <w:t>Pan</w:t>
      </w:r>
      <w:r>
        <w:t>.</w:t>
      </w:r>
    </w:p>
    <w:p w:rsidR="00D557BE" w:rsidRDefault="00D557BE">
      <w:pPr>
        <w:spacing w:before="0" w:after="200" w:line="276" w:lineRule="auto"/>
        <w:jc w:val="left"/>
      </w:pPr>
      <w:r>
        <w:br w:type="page"/>
      </w:r>
    </w:p>
    <w:p w:rsidR="00361913" w:rsidRPr="00935EA9" w:rsidRDefault="00361913" w:rsidP="003F2CED">
      <w:pPr>
        <w:pStyle w:val="Heading1"/>
        <w:rPr>
          <w:noProof/>
        </w:rPr>
      </w:pPr>
      <w:bookmarkStart w:id="100" w:name="_Toc373477749"/>
      <w:bookmarkStart w:id="101" w:name="_Toc373480747"/>
      <w:r>
        <w:rPr>
          <w:noProof/>
        </w:rPr>
        <w:lastRenderedPageBreak/>
        <w:t>Ma</w:t>
      </w:r>
      <w:r w:rsidRPr="00935EA9">
        <w:rPr>
          <w:noProof/>
        </w:rPr>
        <w:t>terials and Methods</w:t>
      </w:r>
      <w:bookmarkEnd w:id="100"/>
      <w:bookmarkEnd w:id="101"/>
    </w:p>
    <w:p w:rsidR="00361913" w:rsidRPr="00BA36A8" w:rsidRDefault="00361913" w:rsidP="00D263E8">
      <w:pPr>
        <w:pStyle w:val="Heading2"/>
      </w:pPr>
      <w:r w:rsidRPr="00BA36A8">
        <w:t xml:space="preserve"> </w:t>
      </w:r>
      <w:bookmarkStart w:id="102" w:name="_Toc373477750"/>
      <w:bookmarkStart w:id="103" w:name="_Toc373480748"/>
      <w:r w:rsidRPr="00BA36A8">
        <w:t>Materials: The Collections</w:t>
      </w:r>
      <w:bookmarkEnd w:id="102"/>
      <w:bookmarkEnd w:id="103"/>
    </w:p>
    <w:p w:rsidR="00361913" w:rsidRPr="00BA36A8" w:rsidRDefault="006E7982" w:rsidP="00D263E8">
      <w:pPr>
        <w:pStyle w:val="Heading3"/>
      </w:pPr>
      <w:bookmarkStart w:id="104" w:name="_Toc373477751"/>
      <w:bookmarkStart w:id="105" w:name="_Toc373480749"/>
      <w:r>
        <w:t>Definition of specie</w:t>
      </w:r>
      <w:r w:rsidR="00361913" w:rsidRPr="00BA36A8">
        <w:t>s</w:t>
      </w:r>
      <w:r>
        <w:t xml:space="preserve"> used</w:t>
      </w:r>
      <w:bookmarkEnd w:id="104"/>
      <w:bookmarkEnd w:id="105"/>
    </w:p>
    <w:p w:rsidR="001309B6" w:rsidRPr="006E7982" w:rsidRDefault="001309B6" w:rsidP="001F302E">
      <w:pPr>
        <w:spacing w:before="120"/>
        <w:rPr>
          <w:noProof/>
          <w:color w:val="000000"/>
        </w:rPr>
      </w:pPr>
      <w:r w:rsidRPr="006E7982">
        <w:rPr>
          <w:noProof/>
        </w:rPr>
        <w:t xml:space="preserve">The skeletal collections used contained several sub-species of </w:t>
      </w:r>
      <w:r w:rsidRPr="006E7982">
        <w:rPr>
          <w:i/>
          <w:noProof/>
        </w:rPr>
        <w:t>Pan</w:t>
      </w:r>
      <w:r w:rsidRPr="006E7982">
        <w:rPr>
          <w:noProof/>
        </w:rPr>
        <w:t xml:space="preserve">.  The species and sub-species of </w:t>
      </w:r>
      <w:r w:rsidRPr="006E7982">
        <w:rPr>
          <w:i/>
          <w:noProof/>
        </w:rPr>
        <w:t xml:space="preserve">Pan troglodytes </w:t>
      </w:r>
      <w:r w:rsidRPr="006E7982">
        <w:rPr>
          <w:noProof/>
        </w:rPr>
        <w:t>require some definition.  The classifications of chimpanzee sub</w:t>
      </w:r>
      <w:r w:rsidR="000B209A">
        <w:rPr>
          <w:noProof/>
        </w:rPr>
        <w:t>-</w:t>
      </w:r>
      <w:r w:rsidRPr="006E7982">
        <w:rPr>
          <w:noProof/>
        </w:rPr>
        <w:t xml:space="preserve">species here are as defined by Groves (2001), and the differences have been described based largely on geographic separation (Ely </w:t>
      </w:r>
      <w:r w:rsidRPr="006E7982">
        <w:rPr>
          <w:i/>
          <w:noProof/>
        </w:rPr>
        <w:t>et al</w:t>
      </w:r>
      <w:r w:rsidR="00517A9C">
        <w:rPr>
          <w:i/>
          <w:noProof/>
        </w:rPr>
        <w:t>.</w:t>
      </w:r>
      <w:r w:rsidRPr="006E7982">
        <w:rPr>
          <w:noProof/>
        </w:rPr>
        <w:t xml:space="preserve"> 2005).  </w:t>
      </w:r>
      <w:r w:rsidR="00DB48AD">
        <w:rPr>
          <w:noProof/>
        </w:rPr>
        <w:t xml:space="preserve">The sub-species of chimpanzees are </w:t>
      </w:r>
      <w:r w:rsidR="00DB48AD">
        <w:rPr>
          <w:i/>
          <w:noProof/>
        </w:rPr>
        <w:t>Pan troglodytes schweinfurthii</w:t>
      </w:r>
      <w:r w:rsidR="00DB48AD" w:rsidRPr="00DB48AD">
        <w:rPr>
          <w:noProof/>
        </w:rPr>
        <w:t>,</w:t>
      </w:r>
      <w:r w:rsidR="00DB48AD">
        <w:rPr>
          <w:i/>
          <w:noProof/>
        </w:rPr>
        <w:t xml:space="preserve"> Pan troglodytes troglodytes</w:t>
      </w:r>
      <w:r w:rsidR="00DB48AD" w:rsidRPr="00DB48AD">
        <w:rPr>
          <w:noProof/>
        </w:rPr>
        <w:t>,</w:t>
      </w:r>
      <w:r w:rsidR="00DB48AD">
        <w:rPr>
          <w:i/>
          <w:noProof/>
        </w:rPr>
        <w:t xml:space="preserve"> Pan troglodytes verus</w:t>
      </w:r>
      <w:r w:rsidR="00DB48AD" w:rsidRPr="00DB48AD">
        <w:rPr>
          <w:noProof/>
        </w:rPr>
        <w:t>,</w:t>
      </w:r>
      <w:r w:rsidR="00DB48AD">
        <w:rPr>
          <w:i/>
          <w:noProof/>
        </w:rPr>
        <w:t xml:space="preserve"> </w:t>
      </w:r>
      <w:r w:rsidR="00DB48AD">
        <w:rPr>
          <w:noProof/>
        </w:rPr>
        <w:t xml:space="preserve">and </w:t>
      </w:r>
      <w:r w:rsidR="00DB48AD">
        <w:rPr>
          <w:i/>
          <w:noProof/>
        </w:rPr>
        <w:t xml:space="preserve">Pan troglodytes </w:t>
      </w:r>
      <w:r w:rsidR="00DB48AD" w:rsidRPr="00DB48AD">
        <w:rPr>
          <w:noProof/>
        </w:rPr>
        <w:t>vellerosus</w:t>
      </w:r>
      <w:r w:rsidR="00DB48AD">
        <w:rPr>
          <w:noProof/>
        </w:rPr>
        <w:t xml:space="preserve">. </w:t>
      </w:r>
      <w:r w:rsidRPr="00DB48AD">
        <w:rPr>
          <w:noProof/>
        </w:rPr>
        <w:t>Morphological</w:t>
      </w:r>
      <w:r w:rsidRPr="006E7982">
        <w:rPr>
          <w:noProof/>
        </w:rPr>
        <w:t xml:space="preserve"> differences including both soft tissue and the skeleton are not as clearly defined with only small amounts of comparative data available.  It has been suggested that differences heavily overlap (Morbeck and Zihlman 1989).  Based on mitochondrial DNA, </w:t>
      </w:r>
      <w:r w:rsidR="00EF3DBF">
        <w:rPr>
          <w:noProof/>
        </w:rPr>
        <w:t xml:space="preserve">the </w:t>
      </w:r>
      <w:r w:rsidRPr="006E7982">
        <w:rPr>
          <w:noProof/>
        </w:rPr>
        <w:t xml:space="preserve">divergence between </w:t>
      </w:r>
      <w:r w:rsidR="00DB48AD">
        <w:rPr>
          <w:noProof/>
        </w:rPr>
        <w:t>all</w:t>
      </w:r>
      <w:r w:rsidR="00D56049">
        <w:rPr>
          <w:noProof/>
        </w:rPr>
        <w:t xml:space="preserve"> of the different</w:t>
      </w:r>
      <w:r w:rsidR="00DB48AD">
        <w:rPr>
          <w:noProof/>
        </w:rPr>
        <w:t xml:space="preserve"> </w:t>
      </w:r>
      <w:r w:rsidRPr="006E7982">
        <w:rPr>
          <w:noProof/>
        </w:rPr>
        <w:t>sub</w:t>
      </w:r>
      <w:r w:rsidR="00EF3DBF">
        <w:rPr>
          <w:noProof/>
        </w:rPr>
        <w:t>-</w:t>
      </w:r>
      <w:r w:rsidRPr="006E7982">
        <w:rPr>
          <w:noProof/>
        </w:rPr>
        <w:t xml:space="preserve">species </w:t>
      </w:r>
      <w:r w:rsidR="00EF3DBF">
        <w:rPr>
          <w:noProof/>
        </w:rPr>
        <w:t xml:space="preserve">occurred </w:t>
      </w:r>
      <w:r w:rsidRPr="006E7982">
        <w:rPr>
          <w:noProof/>
        </w:rPr>
        <w:t xml:space="preserve">around 900 000 years to 400 000 years before present (Hey 2010).  These groups are not genetically isolated and have been observed to interbreed at the margins of </w:t>
      </w:r>
      <w:r w:rsidR="00A22188">
        <w:rPr>
          <w:noProof/>
        </w:rPr>
        <w:t xml:space="preserve">their </w:t>
      </w:r>
      <w:r w:rsidRPr="006E7982">
        <w:rPr>
          <w:noProof/>
        </w:rPr>
        <w:t>range</w:t>
      </w:r>
      <w:r w:rsidR="00A22188">
        <w:rPr>
          <w:noProof/>
        </w:rPr>
        <w:t>s</w:t>
      </w:r>
      <w:r w:rsidRPr="006E7982">
        <w:rPr>
          <w:noProof/>
        </w:rPr>
        <w:t xml:space="preserve"> (Yu </w:t>
      </w:r>
      <w:r w:rsidRPr="006E7982">
        <w:rPr>
          <w:i/>
          <w:noProof/>
        </w:rPr>
        <w:t>et al.</w:t>
      </w:r>
      <w:r w:rsidRPr="006E7982">
        <w:rPr>
          <w:noProof/>
        </w:rPr>
        <w:t xml:space="preserve"> 2003).  With regards to growth and de</w:t>
      </w:r>
      <w:r w:rsidR="008328D3">
        <w:rPr>
          <w:noProof/>
        </w:rPr>
        <w:t>velopment, no studies have focu</w:t>
      </w:r>
      <w:r w:rsidRPr="006E7982">
        <w:rPr>
          <w:noProof/>
        </w:rPr>
        <w:t xml:space="preserve">sed on developmental differences between sub-species.  Most studies of ontogeny have treated the individuals involved simply as members of </w:t>
      </w:r>
      <w:r w:rsidRPr="006E7982">
        <w:rPr>
          <w:i/>
          <w:noProof/>
        </w:rPr>
        <w:t>Pan troglodytes</w:t>
      </w:r>
      <w:r w:rsidRPr="006E7982">
        <w:rPr>
          <w:noProof/>
        </w:rPr>
        <w:t xml:space="preserve"> without sub</w:t>
      </w:r>
      <w:r w:rsidR="006E7982" w:rsidRPr="006E7982">
        <w:rPr>
          <w:noProof/>
        </w:rPr>
        <w:t>-</w:t>
      </w:r>
      <w:r w:rsidRPr="006E7982">
        <w:rPr>
          <w:noProof/>
        </w:rPr>
        <w:t>species af</w:t>
      </w:r>
      <w:r w:rsidR="001C4A6C">
        <w:rPr>
          <w:noProof/>
        </w:rPr>
        <w:t xml:space="preserve">filiations.  Some studies have </w:t>
      </w:r>
      <w:r w:rsidRPr="006E7982">
        <w:rPr>
          <w:noProof/>
        </w:rPr>
        <w:t>included mixed</w:t>
      </w:r>
      <w:r w:rsidR="004E297F">
        <w:rPr>
          <w:noProof/>
        </w:rPr>
        <w:t xml:space="preserve"> samples which </w:t>
      </w:r>
      <w:r w:rsidR="00056BF5">
        <w:rPr>
          <w:noProof/>
        </w:rPr>
        <w:t>have been</w:t>
      </w:r>
      <w:r w:rsidR="004E297F">
        <w:rPr>
          <w:noProof/>
        </w:rPr>
        <w:t xml:space="preserve"> treated without consideration for sub-species </w:t>
      </w:r>
      <w:r w:rsidRPr="006E7982">
        <w:rPr>
          <w:noProof/>
        </w:rPr>
        <w:t xml:space="preserve">(e.g.,  Kuykendall </w:t>
      </w:r>
      <w:r w:rsidRPr="006E7982">
        <w:rPr>
          <w:i/>
          <w:noProof/>
        </w:rPr>
        <w:t xml:space="preserve">et al. </w:t>
      </w:r>
      <w:r w:rsidRPr="006E7982">
        <w:rPr>
          <w:noProof/>
        </w:rPr>
        <w:t xml:space="preserve">1996).  </w:t>
      </w:r>
      <w:r w:rsidRPr="006E7982">
        <w:rPr>
          <w:noProof/>
          <w:color w:val="000000"/>
        </w:rPr>
        <w:t>There has been effectively no research comparing different sub-species of chimpanzees using rigorous methodology.</w:t>
      </w:r>
    </w:p>
    <w:p w:rsidR="001309B6" w:rsidRPr="006E7982" w:rsidRDefault="001309B6" w:rsidP="001F302E">
      <w:pPr>
        <w:spacing w:before="120"/>
        <w:rPr>
          <w:noProof/>
        </w:rPr>
      </w:pPr>
      <w:r w:rsidRPr="006E7982">
        <w:rPr>
          <w:noProof/>
        </w:rPr>
        <w:t xml:space="preserve">Groves (2001) also defines </w:t>
      </w:r>
      <w:r w:rsidRPr="006E7982">
        <w:rPr>
          <w:i/>
          <w:noProof/>
        </w:rPr>
        <w:t xml:space="preserve">Pan paniscus </w:t>
      </w:r>
      <w:r w:rsidRPr="006E7982">
        <w:rPr>
          <w:noProof/>
        </w:rPr>
        <w:t>for the area south of the Congo River.  There are no defined sub</w:t>
      </w:r>
      <w:r w:rsidR="000959E1">
        <w:rPr>
          <w:noProof/>
        </w:rPr>
        <w:t>-</w:t>
      </w:r>
      <w:r w:rsidRPr="006E7982">
        <w:rPr>
          <w:noProof/>
        </w:rPr>
        <w:t>species of bonobos.</w:t>
      </w:r>
    </w:p>
    <w:p w:rsidR="006E7982" w:rsidRPr="00BA36A8" w:rsidRDefault="006E7982" w:rsidP="00D263E8">
      <w:pPr>
        <w:pStyle w:val="Heading3"/>
      </w:pPr>
      <w:bookmarkStart w:id="106" w:name="_Toc373477752"/>
      <w:bookmarkStart w:id="107" w:name="_Toc373480750"/>
      <w:r w:rsidRPr="00BA36A8">
        <w:t>Species and sub-species</w:t>
      </w:r>
      <w:bookmarkEnd w:id="106"/>
      <w:bookmarkEnd w:id="107"/>
    </w:p>
    <w:p w:rsidR="00663D04" w:rsidRDefault="00361913" w:rsidP="001F302E">
      <w:pPr>
        <w:spacing w:before="120"/>
        <w:rPr>
          <w:rFonts w:eastAsiaTheme="minorHAnsi"/>
          <w:lang w:val="en-GB"/>
        </w:rPr>
      </w:pPr>
      <w:r>
        <w:rPr>
          <w:noProof/>
        </w:rPr>
        <w:t>In total there were 219 specimens assessed in this study from which 214 were derived from three main collections</w:t>
      </w:r>
      <w:r w:rsidR="00122851">
        <w:rPr>
          <w:noProof/>
        </w:rPr>
        <w:t>:</w:t>
      </w:r>
      <w:r w:rsidRPr="00DD1728">
        <w:rPr>
          <w:noProof/>
        </w:rPr>
        <w:t xml:space="preserve"> the Powell-Cotton Collection (</w:t>
      </w:r>
      <w:r w:rsidR="00C146DC">
        <w:rPr>
          <w:noProof/>
        </w:rPr>
        <w:t xml:space="preserve">Birchington, </w:t>
      </w:r>
      <w:r w:rsidRPr="00DD1728">
        <w:rPr>
          <w:noProof/>
        </w:rPr>
        <w:t>United Kingdom), the Adolph Schultz Collection at the University of Z</w:t>
      </w:r>
      <w:r w:rsidRPr="00DD1728">
        <w:rPr>
          <w:rFonts w:eastAsiaTheme="minorHAnsi"/>
          <w:lang w:val="en-GB"/>
        </w:rPr>
        <w:t>urich (</w:t>
      </w:r>
      <w:r w:rsidR="00C146DC">
        <w:rPr>
          <w:rFonts w:eastAsiaTheme="minorHAnsi"/>
          <w:lang w:val="en-GB"/>
        </w:rPr>
        <w:t xml:space="preserve">Zurich, </w:t>
      </w:r>
      <w:r w:rsidRPr="00DD1728">
        <w:rPr>
          <w:rFonts w:eastAsiaTheme="minorHAnsi"/>
          <w:lang w:val="en-GB"/>
        </w:rPr>
        <w:t>Switzerland),</w:t>
      </w:r>
      <w:r>
        <w:rPr>
          <w:rFonts w:eastAsiaTheme="minorHAnsi"/>
          <w:lang w:val="en-GB"/>
        </w:rPr>
        <w:t xml:space="preserve"> and</w:t>
      </w:r>
      <w:r w:rsidRPr="00DD1728">
        <w:rPr>
          <w:rFonts w:eastAsiaTheme="minorHAnsi"/>
          <w:lang w:val="en-GB"/>
        </w:rPr>
        <w:t xml:space="preserve"> the Museum of Central Africa Collection (</w:t>
      </w:r>
      <w:r w:rsidR="00C146DC">
        <w:rPr>
          <w:rFonts w:eastAsiaTheme="minorHAnsi"/>
          <w:lang w:val="en-GB"/>
        </w:rPr>
        <w:t xml:space="preserve">Tervuren, </w:t>
      </w:r>
      <w:r w:rsidRPr="00DD1728">
        <w:rPr>
          <w:rFonts w:eastAsiaTheme="minorHAnsi"/>
          <w:lang w:val="en-GB"/>
        </w:rPr>
        <w:t>Belgium)</w:t>
      </w:r>
      <w:r>
        <w:rPr>
          <w:rFonts w:eastAsiaTheme="minorHAnsi"/>
          <w:lang w:val="en-GB"/>
        </w:rPr>
        <w:t>.  Five additional specimens were obtained from th</w:t>
      </w:r>
      <w:r w:rsidRPr="00DD1728">
        <w:rPr>
          <w:rFonts w:eastAsiaTheme="minorHAnsi"/>
          <w:lang w:val="en-GB"/>
        </w:rPr>
        <w:t>e Weston Park Museum (</w:t>
      </w:r>
      <w:r w:rsidR="00C146DC">
        <w:rPr>
          <w:rFonts w:eastAsiaTheme="minorHAnsi"/>
          <w:lang w:val="en-GB"/>
        </w:rPr>
        <w:t xml:space="preserve">Sheffield, </w:t>
      </w:r>
      <w:r w:rsidRPr="00DD1728">
        <w:rPr>
          <w:rFonts w:eastAsiaTheme="minorHAnsi"/>
          <w:lang w:val="en-GB"/>
        </w:rPr>
        <w:t>United Kingdom)</w:t>
      </w:r>
      <w:r>
        <w:rPr>
          <w:rFonts w:eastAsiaTheme="minorHAnsi"/>
          <w:lang w:val="en-GB"/>
        </w:rPr>
        <w:t xml:space="preserve">.  Table </w:t>
      </w:r>
      <w:r w:rsidRPr="00DD1728">
        <w:rPr>
          <w:rFonts w:eastAsiaTheme="minorHAnsi"/>
          <w:lang w:val="en-GB"/>
        </w:rPr>
        <w:t>3.1 indicates the number of specimens used at each location</w:t>
      </w:r>
      <w:r>
        <w:rPr>
          <w:rFonts w:eastAsiaTheme="minorHAnsi"/>
          <w:lang w:val="en-GB"/>
        </w:rPr>
        <w:t xml:space="preserve"> and the species/sub-species evaluated.  The numbers for each individual sub-species of </w:t>
      </w:r>
      <w:r w:rsidRPr="00D870E6">
        <w:rPr>
          <w:rFonts w:eastAsiaTheme="minorHAnsi"/>
          <w:i/>
          <w:lang w:val="en-GB"/>
        </w:rPr>
        <w:t xml:space="preserve">Pan </w:t>
      </w:r>
      <w:proofErr w:type="gramStart"/>
      <w:r w:rsidRPr="00D870E6">
        <w:rPr>
          <w:rFonts w:eastAsiaTheme="minorHAnsi"/>
          <w:i/>
          <w:lang w:val="en-GB"/>
        </w:rPr>
        <w:t>troglodytes</w:t>
      </w:r>
      <w:proofErr w:type="gramEnd"/>
      <w:r w:rsidR="00D24B19">
        <w:rPr>
          <w:rFonts w:eastAsiaTheme="minorHAnsi"/>
          <w:lang w:val="en-GB"/>
        </w:rPr>
        <w:t xml:space="preserve"> </w:t>
      </w:r>
      <w:r>
        <w:rPr>
          <w:rFonts w:eastAsiaTheme="minorHAnsi"/>
          <w:lang w:val="en-GB"/>
        </w:rPr>
        <w:t xml:space="preserve">are partly derived from classification based on museum records and partly derived from re-assignment based on information provided by curatorial records at these collections.  These re-assignments are justified in the discussion of provenance in section 3.1.2.  It should be noted that the majority of </w:t>
      </w:r>
      <w:r>
        <w:rPr>
          <w:rFonts w:eastAsiaTheme="minorHAnsi"/>
          <w:i/>
          <w:lang w:val="en-GB"/>
        </w:rPr>
        <w:t xml:space="preserve">Pan </w:t>
      </w:r>
      <w:proofErr w:type="gramStart"/>
      <w:r>
        <w:rPr>
          <w:rFonts w:eastAsiaTheme="minorHAnsi"/>
          <w:i/>
          <w:lang w:val="en-GB"/>
        </w:rPr>
        <w:t>troglodytes</w:t>
      </w:r>
      <w:proofErr w:type="gramEnd"/>
      <w:r>
        <w:rPr>
          <w:rFonts w:eastAsiaTheme="minorHAnsi"/>
          <w:lang w:val="en-GB"/>
        </w:rPr>
        <w:t xml:space="preserve"> sub-species were classified as either </w:t>
      </w:r>
      <w:r>
        <w:rPr>
          <w:rFonts w:eastAsiaTheme="minorHAnsi"/>
          <w:i/>
          <w:lang w:val="en-GB"/>
        </w:rPr>
        <w:t>Pan troglodytes</w:t>
      </w:r>
      <w:r w:rsidR="00D24B19">
        <w:rPr>
          <w:rFonts w:eastAsiaTheme="minorHAnsi"/>
          <w:i/>
          <w:lang w:val="en-GB"/>
        </w:rPr>
        <w:t xml:space="preserve"> schweinfurthii </w:t>
      </w:r>
      <w:r>
        <w:rPr>
          <w:rFonts w:eastAsiaTheme="minorHAnsi"/>
          <w:lang w:val="en-GB"/>
        </w:rPr>
        <w:t xml:space="preserve">or </w:t>
      </w:r>
      <w:r>
        <w:rPr>
          <w:rFonts w:eastAsiaTheme="minorHAnsi"/>
          <w:i/>
          <w:lang w:val="en-GB"/>
        </w:rPr>
        <w:t>Pan troglodytes troglodytes</w:t>
      </w:r>
      <w:r>
        <w:rPr>
          <w:rFonts w:eastAsiaTheme="minorHAnsi"/>
          <w:lang w:val="en-GB"/>
        </w:rPr>
        <w:t>.</w:t>
      </w:r>
    </w:p>
    <w:p w:rsidR="00361913" w:rsidRPr="00CF452E" w:rsidRDefault="00D557BE" w:rsidP="00D557BE">
      <w:pPr>
        <w:pStyle w:val="Caption"/>
        <w:keepNext/>
        <w:jc w:val="left"/>
      </w:pPr>
      <w:bookmarkStart w:id="108" w:name="_Toc373180113"/>
      <w:proofErr w:type="gramStart"/>
      <w:r w:rsidRPr="00D557BE">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1</w:t>
      </w:r>
      <w:r w:rsidR="008943E4">
        <w:rPr>
          <w:b/>
        </w:rPr>
        <w:fldChar w:fldCharType="end"/>
      </w:r>
      <w:r>
        <w:t xml:space="preserve"> </w:t>
      </w:r>
      <w:r w:rsidR="00361913" w:rsidRPr="00DD1728">
        <w:t xml:space="preserve">Number of </w:t>
      </w:r>
      <w:r w:rsidR="00361913">
        <w:t>individuals</w:t>
      </w:r>
      <w:r w:rsidR="00361913" w:rsidRPr="00DD1728">
        <w:t xml:space="preserve"> </w:t>
      </w:r>
      <w:r w:rsidR="00361913">
        <w:t>for each species/sub-species listed by</w:t>
      </w:r>
      <w:r w:rsidR="00361913" w:rsidRPr="00DD1728">
        <w:t xml:space="preserve"> collection</w:t>
      </w:r>
      <w:r w:rsidR="00A57CC1">
        <w:t>.</w:t>
      </w:r>
      <w:bookmarkEnd w:id="108"/>
      <w:proofErr w:type="gramEnd"/>
    </w:p>
    <w:tbl>
      <w:tblPr>
        <w:tblW w:w="9485" w:type="dxa"/>
        <w:jc w:val="center"/>
        <w:tblInd w:w="54" w:type="dxa"/>
        <w:tblBorders>
          <w:top w:val="single" w:sz="4" w:space="0" w:color="auto"/>
          <w:bottom w:val="single" w:sz="4" w:space="0" w:color="auto"/>
        </w:tblBorders>
        <w:tblLook w:val="04A0" w:firstRow="1" w:lastRow="0" w:firstColumn="1" w:lastColumn="0" w:noHBand="0" w:noVBand="1"/>
      </w:tblPr>
      <w:tblGrid>
        <w:gridCol w:w="3022"/>
        <w:gridCol w:w="1275"/>
        <w:gridCol w:w="1418"/>
        <w:gridCol w:w="1595"/>
        <w:gridCol w:w="1276"/>
        <w:gridCol w:w="899"/>
      </w:tblGrid>
      <w:tr w:rsidR="00361913" w:rsidRPr="001C5C9F" w:rsidTr="00991170">
        <w:trPr>
          <w:trHeight w:val="315"/>
          <w:jc w:val="center"/>
        </w:trPr>
        <w:tc>
          <w:tcPr>
            <w:tcW w:w="3022" w:type="dxa"/>
            <w:tcBorders>
              <w:bottom w:val="single" w:sz="4" w:space="0" w:color="auto"/>
            </w:tcBorders>
            <w:shd w:val="clear" w:color="auto" w:fill="auto"/>
            <w:noWrap/>
            <w:vAlign w:val="center"/>
            <w:hideMark/>
          </w:tcPr>
          <w:p w:rsidR="00361913" w:rsidRPr="00CA5FBB" w:rsidRDefault="00B15B4D" w:rsidP="00524622">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pecies/sub-species</w:t>
            </w:r>
          </w:p>
        </w:tc>
        <w:tc>
          <w:tcPr>
            <w:tcW w:w="1275" w:type="dxa"/>
            <w:tcBorders>
              <w:bottom w:val="single" w:sz="4" w:space="0" w:color="auto"/>
            </w:tcBorders>
            <w:shd w:val="clear" w:color="auto" w:fill="auto"/>
            <w:noWrap/>
            <w:vAlign w:val="center"/>
            <w:hideMark/>
          </w:tcPr>
          <w:p w:rsidR="00361913" w:rsidRPr="00CA5FBB" w:rsidRDefault="008943E4" w:rsidP="00524622">
            <w:pPr>
              <w:spacing w:before="0" w:line="240" w:lineRule="auto"/>
              <w:jc w:val="center"/>
              <w:rPr>
                <w:rFonts w:eastAsia="Times New Roman"/>
                <w:b/>
                <w:color w:val="000000"/>
                <w:lang w:val="en-GB" w:eastAsia="en-GB"/>
              </w:rPr>
            </w:pPr>
            <w:r w:rsidRPr="00CA5FBB">
              <w:rPr>
                <w:rFonts w:eastAsia="Times New Roman"/>
                <w:b/>
                <w:color w:val="000000"/>
                <w:lang w:val="en-GB" w:eastAsia="en-GB"/>
              </w:rPr>
              <w:t>Powell-Cotton Museum</w:t>
            </w:r>
          </w:p>
        </w:tc>
        <w:tc>
          <w:tcPr>
            <w:tcW w:w="1418" w:type="dxa"/>
            <w:tcBorders>
              <w:bottom w:val="single" w:sz="4" w:space="0" w:color="auto"/>
            </w:tcBorders>
            <w:shd w:val="clear" w:color="auto" w:fill="auto"/>
            <w:noWrap/>
            <w:vAlign w:val="center"/>
            <w:hideMark/>
          </w:tcPr>
          <w:p w:rsidR="00361913" w:rsidRPr="00CA5FBB" w:rsidRDefault="008943E4" w:rsidP="00524622">
            <w:pPr>
              <w:spacing w:before="0" w:line="240" w:lineRule="auto"/>
              <w:jc w:val="center"/>
              <w:rPr>
                <w:rFonts w:eastAsia="Times New Roman"/>
                <w:b/>
                <w:color w:val="000000"/>
                <w:lang w:val="en-GB" w:eastAsia="en-GB"/>
              </w:rPr>
            </w:pPr>
            <w:r w:rsidRPr="00CA5FBB">
              <w:rPr>
                <w:rFonts w:eastAsia="Times New Roman"/>
                <w:b/>
                <w:color w:val="000000"/>
                <w:lang w:val="en-GB" w:eastAsia="en-GB"/>
              </w:rPr>
              <w:t>Adolph Schultz Collection</w:t>
            </w:r>
          </w:p>
        </w:tc>
        <w:tc>
          <w:tcPr>
            <w:tcW w:w="1595" w:type="dxa"/>
            <w:tcBorders>
              <w:bottom w:val="single" w:sz="4" w:space="0" w:color="auto"/>
            </w:tcBorders>
            <w:shd w:val="clear" w:color="auto" w:fill="auto"/>
            <w:noWrap/>
            <w:vAlign w:val="center"/>
            <w:hideMark/>
          </w:tcPr>
          <w:p w:rsidR="00361913" w:rsidRPr="00CA5FBB" w:rsidRDefault="008943E4" w:rsidP="00524622">
            <w:pPr>
              <w:spacing w:before="0" w:line="240" w:lineRule="auto"/>
              <w:jc w:val="center"/>
              <w:rPr>
                <w:rFonts w:eastAsia="Times New Roman"/>
                <w:b/>
                <w:color w:val="000000"/>
                <w:lang w:val="en-GB" w:eastAsia="en-GB"/>
              </w:rPr>
            </w:pPr>
            <w:r w:rsidRPr="00CA5FBB">
              <w:rPr>
                <w:rFonts w:eastAsia="Times New Roman"/>
                <w:b/>
                <w:color w:val="000000"/>
                <w:lang w:val="en-GB" w:eastAsia="en-GB"/>
              </w:rPr>
              <w:t>The Museum of Central Africa</w:t>
            </w:r>
          </w:p>
        </w:tc>
        <w:tc>
          <w:tcPr>
            <w:tcW w:w="1276" w:type="dxa"/>
            <w:tcBorders>
              <w:bottom w:val="single" w:sz="4" w:space="0" w:color="auto"/>
            </w:tcBorders>
            <w:shd w:val="clear" w:color="auto" w:fill="auto"/>
            <w:noWrap/>
            <w:vAlign w:val="center"/>
            <w:hideMark/>
          </w:tcPr>
          <w:p w:rsidR="00361913" w:rsidRPr="00CA5FBB" w:rsidRDefault="008943E4" w:rsidP="00524622">
            <w:pPr>
              <w:spacing w:before="0" w:line="240" w:lineRule="auto"/>
              <w:jc w:val="center"/>
              <w:rPr>
                <w:rFonts w:eastAsia="Times New Roman"/>
                <w:b/>
                <w:color w:val="000000"/>
                <w:lang w:val="en-GB" w:eastAsia="en-GB"/>
              </w:rPr>
            </w:pPr>
            <w:r w:rsidRPr="00CA5FBB">
              <w:rPr>
                <w:rFonts w:eastAsia="Times New Roman"/>
                <w:b/>
                <w:color w:val="000000"/>
                <w:lang w:val="en-GB" w:eastAsia="en-GB"/>
              </w:rPr>
              <w:t>Weston Park Museum</w:t>
            </w:r>
          </w:p>
        </w:tc>
        <w:tc>
          <w:tcPr>
            <w:tcW w:w="899" w:type="dxa"/>
            <w:tcBorders>
              <w:bottom w:val="single" w:sz="4" w:space="0" w:color="auto"/>
            </w:tcBorders>
            <w:shd w:val="clear" w:color="auto" w:fill="auto"/>
            <w:noWrap/>
            <w:vAlign w:val="center"/>
            <w:hideMark/>
          </w:tcPr>
          <w:p w:rsidR="00361913" w:rsidRPr="00CA5FBB" w:rsidRDefault="00991170" w:rsidP="00524622">
            <w:pPr>
              <w:spacing w:before="0" w:line="240" w:lineRule="auto"/>
              <w:jc w:val="center"/>
              <w:rPr>
                <w:rFonts w:eastAsia="Times New Roman"/>
                <w:b/>
                <w:color w:val="000000"/>
                <w:lang w:val="en-GB" w:eastAsia="en-GB"/>
              </w:rPr>
            </w:pPr>
            <w:r>
              <w:rPr>
                <w:rFonts w:eastAsia="Times New Roman"/>
                <w:b/>
                <w:color w:val="000000"/>
                <w:lang w:val="en-GB" w:eastAsia="en-GB"/>
              </w:rPr>
              <w:t>t</w:t>
            </w:r>
            <w:r w:rsidR="008943E4" w:rsidRPr="00CA5FBB">
              <w:rPr>
                <w:rFonts w:eastAsia="Times New Roman"/>
                <w:b/>
                <w:color w:val="000000"/>
                <w:lang w:val="en-GB" w:eastAsia="en-GB"/>
              </w:rPr>
              <w:t>otal</w:t>
            </w:r>
          </w:p>
        </w:tc>
      </w:tr>
      <w:tr w:rsidR="00361913" w:rsidRPr="001C5C9F" w:rsidTr="00991170">
        <w:trPr>
          <w:trHeight w:val="315"/>
          <w:jc w:val="center"/>
        </w:trPr>
        <w:tc>
          <w:tcPr>
            <w:tcW w:w="3022" w:type="dxa"/>
            <w:tcBorders>
              <w:top w:val="single" w:sz="4" w:space="0" w:color="auto"/>
            </w:tcBorders>
            <w:shd w:val="clear" w:color="auto" w:fill="auto"/>
            <w:noWrap/>
            <w:vAlign w:val="center"/>
            <w:hideMark/>
          </w:tcPr>
          <w:p w:rsidR="00361913" w:rsidRPr="00BB2D2B" w:rsidRDefault="00361913" w:rsidP="00524622">
            <w:pPr>
              <w:spacing w:before="0" w:line="240" w:lineRule="auto"/>
              <w:rPr>
                <w:rFonts w:eastAsia="Times New Roman"/>
                <w:bCs/>
                <w:i/>
                <w:iCs/>
                <w:color w:val="000000"/>
                <w:lang w:val="en-GB" w:eastAsia="en-GB"/>
              </w:rPr>
            </w:pPr>
            <w:r w:rsidRPr="00BB2D2B">
              <w:rPr>
                <w:rFonts w:eastAsia="Times New Roman"/>
                <w:bCs/>
                <w:i/>
                <w:iCs/>
                <w:color w:val="000000"/>
                <w:lang w:val="en-GB" w:eastAsia="en-GB"/>
              </w:rPr>
              <w:t>Pan paniscus</w:t>
            </w:r>
          </w:p>
        </w:tc>
        <w:tc>
          <w:tcPr>
            <w:tcW w:w="1275" w:type="dxa"/>
            <w:tcBorders>
              <w:top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1418" w:type="dxa"/>
            <w:tcBorders>
              <w:top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1</w:t>
            </w:r>
          </w:p>
        </w:tc>
        <w:tc>
          <w:tcPr>
            <w:tcW w:w="1595" w:type="dxa"/>
            <w:tcBorders>
              <w:top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36</w:t>
            </w:r>
          </w:p>
        </w:tc>
        <w:tc>
          <w:tcPr>
            <w:tcW w:w="1276" w:type="dxa"/>
            <w:tcBorders>
              <w:top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899" w:type="dxa"/>
            <w:tcBorders>
              <w:top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37</w:t>
            </w:r>
          </w:p>
        </w:tc>
      </w:tr>
      <w:tr w:rsidR="00361913" w:rsidRPr="001C5C9F" w:rsidTr="00991170">
        <w:trPr>
          <w:trHeight w:val="315"/>
          <w:jc w:val="center"/>
        </w:trPr>
        <w:tc>
          <w:tcPr>
            <w:tcW w:w="3022" w:type="dxa"/>
            <w:shd w:val="clear" w:color="auto" w:fill="auto"/>
            <w:noWrap/>
            <w:vAlign w:val="center"/>
            <w:hideMark/>
          </w:tcPr>
          <w:p w:rsidR="00361913" w:rsidRPr="00BB2D2B" w:rsidRDefault="00361913" w:rsidP="00524622">
            <w:pPr>
              <w:spacing w:before="0" w:line="240" w:lineRule="auto"/>
              <w:rPr>
                <w:rFonts w:eastAsia="Times New Roman"/>
                <w:bCs/>
                <w:i/>
                <w:iCs/>
                <w:color w:val="000000"/>
                <w:lang w:val="en-GB" w:eastAsia="en-GB"/>
              </w:rPr>
            </w:pPr>
            <w:r w:rsidRPr="00BB2D2B">
              <w:rPr>
                <w:rFonts w:eastAsia="Times New Roman"/>
                <w:bCs/>
                <w:i/>
                <w:iCs/>
                <w:color w:val="000000"/>
                <w:lang w:val="en-GB" w:eastAsia="en-GB"/>
              </w:rPr>
              <w:t>Pan troglodytes troglodytes</w:t>
            </w:r>
          </w:p>
        </w:tc>
        <w:tc>
          <w:tcPr>
            <w:tcW w:w="1275"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69</w:t>
            </w:r>
          </w:p>
        </w:tc>
        <w:tc>
          <w:tcPr>
            <w:tcW w:w="1418"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2</w:t>
            </w:r>
          </w:p>
        </w:tc>
        <w:tc>
          <w:tcPr>
            <w:tcW w:w="1595"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3</w:t>
            </w:r>
          </w:p>
        </w:tc>
        <w:tc>
          <w:tcPr>
            <w:tcW w:w="1276"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899"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74</w:t>
            </w:r>
          </w:p>
        </w:tc>
      </w:tr>
      <w:tr w:rsidR="00361913" w:rsidRPr="001C5C9F" w:rsidTr="00991170">
        <w:trPr>
          <w:trHeight w:val="315"/>
          <w:jc w:val="center"/>
        </w:trPr>
        <w:tc>
          <w:tcPr>
            <w:tcW w:w="3022" w:type="dxa"/>
            <w:shd w:val="clear" w:color="auto" w:fill="auto"/>
            <w:noWrap/>
            <w:vAlign w:val="center"/>
            <w:hideMark/>
          </w:tcPr>
          <w:p w:rsidR="00361913" w:rsidRPr="00BB2D2B" w:rsidRDefault="00361913" w:rsidP="00524622">
            <w:pPr>
              <w:spacing w:before="0" w:line="240" w:lineRule="auto"/>
              <w:rPr>
                <w:rFonts w:eastAsia="Times New Roman"/>
                <w:bCs/>
                <w:i/>
                <w:iCs/>
                <w:color w:val="000000"/>
                <w:lang w:val="en-GB" w:eastAsia="en-GB"/>
              </w:rPr>
            </w:pPr>
            <w:r w:rsidRPr="00BB2D2B">
              <w:rPr>
                <w:rFonts w:eastAsia="Times New Roman"/>
                <w:bCs/>
                <w:i/>
                <w:iCs/>
                <w:color w:val="000000"/>
                <w:lang w:val="en-GB" w:eastAsia="en-GB"/>
              </w:rPr>
              <w:t>Pan troglodytes</w:t>
            </w:r>
            <w:r w:rsidR="00C94DC1">
              <w:rPr>
                <w:rFonts w:eastAsia="Times New Roman"/>
                <w:bCs/>
                <w:i/>
                <w:iCs/>
                <w:color w:val="000000"/>
                <w:lang w:val="en-GB" w:eastAsia="en-GB"/>
              </w:rPr>
              <w:t xml:space="preserve"> schweinfurthii</w:t>
            </w:r>
          </w:p>
        </w:tc>
        <w:tc>
          <w:tcPr>
            <w:tcW w:w="1275"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1418"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1595"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47</w:t>
            </w:r>
          </w:p>
        </w:tc>
        <w:tc>
          <w:tcPr>
            <w:tcW w:w="1276"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899"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47</w:t>
            </w:r>
          </w:p>
        </w:tc>
      </w:tr>
      <w:tr w:rsidR="00361913" w:rsidRPr="001C5C9F" w:rsidTr="00991170">
        <w:trPr>
          <w:trHeight w:val="315"/>
          <w:jc w:val="center"/>
        </w:trPr>
        <w:tc>
          <w:tcPr>
            <w:tcW w:w="3022" w:type="dxa"/>
            <w:shd w:val="clear" w:color="auto" w:fill="auto"/>
            <w:noWrap/>
            <w:vAlign w:val="center"/>
            <w:hideMark/>
          </w:tcPr>
          <w:p w:rsidR="00361913" w:rsidRPr="00BB2D2B" w:rsidRDefault="00361913" w:rsidP="00524622">
            <w:pPr>
              <w:spacing w:before="0" w:line="240" w:lineRule="auto"/>
              <w:rPr>
                <w:rFonts w:eastAsia="Times New Roman"/>
                <w:bCs/>
                <w:i/>
                <w:iCs/>
                <w:color w:val="000000"/>
                <w:lang w:val="en-GB" w:eastAsia="en-GB"/>
              </w:rPr>
            </w:pPr>
            <w:r w:rsidRPr="00BB2D2B">
              <w:rPr>
                <w:rFonts w:eastAsia="Times New Roman"/>
                <w:bCs/>
                <w:i/>
                <w:iCs/>
                <w:color w:val="000000"/>
                <w:lang w:val="en-GB" w:eastAsia="en-GB"/>
              </w:rPr>
              <w:t>Pan troglodytes</w:t>
            </w:r>
          </w:p>
        </w:tc>
        <w:tc>
          <w:tcPr>
            <w:tcW w:w="1275"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1418"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46</w:t>
            </w:r>
          </w:p>
        </w:tc>
        <w:tc>
          <w:tcPr>
            <w:tcW w:w="1595"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5</w:t>
            </w:r>
          </w:p>
        </w:tc>
        <w:tc>
          <w:tcPr>
            <w:tcW w:w="1276"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5</w:t>
            </w:r>
          </w:p>
        </w:tc>
        <w:tc>
          <w:tcPr>
            <w:tcW w:w="899" w:type="dxa"/>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53</w:t>
            </w:r>
          </w:p>
        </w:tc>
      </w:tr>
      <w:tr w:rsidR="00361913" w:rsidRPr="001C5C9F" w:rsidTr="00991170">
        <w:trPr>
          <w:trHeight w:val="315"/>
          <w:jc w:val="center"/>
        </w:trPr>
        <w:tc>
          <w:tcPr>
            <w:tcW w:w="3022" w:type="dxa"/>
            <w:tcBorders>
              <w:bottom w:val="single" w:sz="4" w:space="0" w:color="auto"/>
            </w:tcBorders>
            <w:shd w:val="clear" w:color="auto" w:fill="auto"/>
            <w:noWrap/>
            <w:vAlign w:val="center"/>
            <w:hideMark/>
          </w:tcPr>
          <w:p w:rsidR="00361913" w:rsidRPr="00BB2D2B" w:rsidRDefault="00361913" w:rsidP="00524622">
            <w:pPr>
              <w:spacing w:before="0" w:line="240" w:lineRule="auto"/>
              <w:rPr>
                <w:rFonts w:eastAsia="Times New Roman"/>
                <w:bCs/>
                <w:color w:val="000000"/>
                <w:lang w:val="en-GB" w:eastAsia="en-GB"/>
              </w:rPr>
            </w:pPr>
            <w:r w:rsidRPr="00BB2D2B">
              <w:rPr>
                <w:rFonts w:eastAsia="Times New Roman"/>
                <w:bCs/>
                <w:color w:val="000000"/>
                <w:lang w:val="en-GB" w:eastAsia="en-GB"/>
              </w:rPr>
              <w:t xml:space="preserve">Unspecified </w:t>
            </w:r>
            <w:r w:rsidRPr="00BB2D2B">
              <w:rPr>
                <w:rFonts w:eastAsia="Times New Roman"/>
                <w:bCs/>
                <w:i/>
                <w:iCs/>
                <w:color w:val="000000"/>
                <w:lang w:val="en-GB" w:eastAsia="en-GB"/>
              </w:rPr>
              <w:t>Pan</w:t>
            </w:r>
          </w:p>
        </w:tc>
        <w:tc>
          <w:tcPr>
            <w:tcW w:w="1275" w:type="dxa"/>
            <w:tcBorders>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1418" w:type="dxa"/>
            <w:tcBorders>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1595" w:type="dxa"/>
            <w:tcBorders>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5</w:t>
            </w:r>
          </w:p>
        </w:tc>
        <w:tc>
          <w:tcPr>
            <w:tcW w:w="1276" w:type="dxa"/>
            <w:tcBorders>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0</w:t>
            </w:r>
          </w:p>
        </w:tc>
        <w:tc>
          <w:tcPr>
            <w:tcW w:w="899" w:type="dxa"/>
            <w:tcBorders>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5</w:t>
            </w:r>
          </w:p>
        </w:tc>
      </w:tr>
      <w:tr w:rsidR="00361913" w:rsidRPr="001C5C9F" w:rsidTr="00991170">
        <w:trPr>
          <w:trHeight w:val="330"/>
          <w:jc w:val="center"/>
        </w:trPr>
        <w:tc>
          <w:tcPr>
            <w:tcW w:w="3022" w:type="dxa"/>
            <w:tcBorders>
              <w:top w:val="single" w:sz="4" w:space="0" w:color="auto"/>
              <w:bottom w:val="single" w:sz="4" w:space="0" w:color="auto"/>
            </w:tcBorders>
            <w:shd w:val="clear" w:color="auto" w:fill="auto"/>
            <w:noWrap/>
            <w:vAlign w:val="center"/>
            <w:hideMark/>
          </w:tcPr>
          <w:p w:rsidR="00361913" w:rsidRPr="00BB2D2B" w:rsidRDefault="00361913" w:rsidP="00524622">
            <w:pPr>
              <w:spacing w:before="0" w:line="240" w:lineRule="auto"/>
              <w:rPr>
                <w:rFonts w:eastAsia="Times New Roman"/>
                <w:bCs/>
                <w:color w:val="000000"/>
                <w:lang w:val="en-GB" w:eastAsia="en-GB"/>
              </w:rPr>
            </w:pPr>
            <w:r w:rsidRPr="00BB2D2B">
              <w:rPr>
                <w:rFonts w:eastAsia="Times New Roman"/>
                <w:bCs/>
                <w:color w:val="000000"/>
                <w:lang w:val="en-GB" w:eastAsia="en-GB"/>
              </w:rPr>
              <w:t>total number of individuals</w:t>
            </w:r>
          </w:p>
        </w:tc>
        <w:tc>
          <w:tcPr>
            <w:tcW w:w="1275" w:type="dxa"/>
            <w:tcBorders>
              <w:top w:val="single" w:sz="4" w:space="0" w:color="auto"/>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69</w:t>
            </w:r>
          </w:p>
        </w:tc>
        <w:tc>
          <w:tcPr>
            <w:tcW w:w="1418" w:type="dxa"/>
            <w:tcBorders>
              <w:top w:val="single" w:sz="4" w:space="0" w:color="auto"/>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49</w:t>
            </w:r>
          </w:p>
        </w:tc>
        <w:tc>
          <w:tcPr>
            <w:tcW w:w="1595" w:type="dxa"/>
            <w:tcBorders>
              <w:top w:val="single" w:sz="4" w:space="0" w:color="auto"/>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96</w:t>
            </w:r>
          </w:p>
        </w:tc>
        <w:tc>
          <w:tcPr>
            <w:tcW w:w="1276" w:type="dxa"/>
            <w:tcBorders>
              <w:top w:val="single" w:sz="4" w:space="0" w:color="auto"/>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5</w:t>
            </w:r>
          </w:p>
        </w:tc>
        <w:tc>
          <w:tcPr>
            <w:tcW w:w="899" w:type="dxa"/>
            <w:tcBorders>
              <w:top w:val="single" w:sz="4" w:space="0" w:color="auto"/>
              <w:bottom w:val="single" w:sz="4" w:space="0" w:color="auto"/>
            </w:tcBorders>
            <w:shd w:val="clear" w:color="auto" w:fill="auto"/>
            <w:noWrap/>
            <w:vAlign w:val="center"/>
            <w:hideMark/>
          </w:tcPr>
          <w:p w:rsidR="00361913" w:rsidRPr="001C5C9F" w:rsidRDefault="00361913" w:rsidP="00524622">
            <w:pPr>
              <w:spacing w:before="0" w:line="240" w:lineRule="auto"/>
              <w:jc w:val="center"/>
              <w:rPr>
                <w:rFonts w:eastAsia="Times New Roman"/>
                <w:color w:val="000000"/>
                <w:lang w:val="en-GB" w:eastAsia="en-GB"/>
              </w:rPr>
            </w:pPr>
            <w:r w:rsidRPr="001C5C9F">
              <w:rPr>
                <w:rFonts w:eastAsia="Times New Roman"/>
                <w:color w:val="000000"/>
                <w:lang w:val="en-GB" w:eastAsia="en-GB"/>
              </w:rPr>
              <w:t>219</w:t>
            </w:r>
          </w:p>
        </w:tc>
      </w:tr>
    </w:tbl>
    <w:p w:rsidR="00663D04" w:rsidRDefault="00361913" w:rsidP="00F41256">
      <w:pPr>
        <w:rPr>
          <w:noProof/>
          <w:color w:val="000000"/>
        </w:rPr>
      </w:pPr>
      <w:r w:rsidRPr="00DD1728">
        <w:rPr>
          <w:noProof/>
        </w:rPr>
        <w:t xml:space="preserve">The information provided for each specimen was variable both between and within collections.  As indicated by </w:t>
      </w:r>
      <w:r w:rsidR="00A17646">
        <w:rPr>
          <w:noProof/>
        </w:rPr>
        <w:t>T</w:t>
      </w:r>
      <w:r w:rsidRPr="00DD1728">
        <w:rPr>
          <w:noProof/>
        </w:rPr>
        <w:t>able 3.1, sub</w:t>
      </w:r>
      <w:r w:rsidR="00487AFB">
        <w:rPr>
          <w:noProof/>
        </w:rPr>
        <w:t>-</w:t>
      </w:r>
      <w:r w:rsidRPr="00DD1728">
        <w:rPr>
          <w:noProof/>
        </w:rPr>
        <w:t xml:space="preserve">species designation was reported for virtually all specimens at the Museum of Central Africa and the Powell-Cotton Museum.  This was not true of the specimens from the University of Zurich where </w:t>
      </w:r>
      <w:r w:rsidR="00487AFB">
        <w:rPr>
          <w:noProof/>
        </w:rPr>
        <w:t xml:space="preserve">nearly </w:t>
      </w:r>
      <w:r w:rsidRPr="00DD1728">
        <w:rPr>
          <w:noProof/>
        </w:rPr>
        <w:t xml:space="preserve">all </w:t>
      </w:r>
      <w:r>
        <w:rPr>
          <w:noProof/>
        </w:rPr>
        <w:t>individuals were</w:t>
      </w:r>
      <w:r w:rsidRPr="00DD1728">
        <w:rPr>
          <w:noProof/>
        </w:rPr>
        <w:t xml:space="preserve"> reported as being simply </w:t>
      </w:r>
      <w:r w:rsidRPr="00DD1728">
        <w:rPr>
          <w:i/>
          <w:noProof/>
        </w:rPr>
        <w:t>Pan</w:t>
      </w:r>
      <w:r>
        <w:rPr>
          <w:i/>
          <w:noProof/>
          <w:color w:val="000000"/>
        </w:rPr>
        <w:t xml:space="preserve"> troglodytes</w:t>
      </w:r>
      <w:r>
        <w:rPr>
          <w:noProof/>
          <w:color w:val="000000"/>
        </w:rPr>
        <w:t xml:space="preserve">.  How the determination of sub-species was made was never specified in any collection.  It is likely that such information was deduced from records of geographic origin.  Sub-species reports were accepted in this study for those specimens from the Museum of Central Africa due to collection location information agreeing with currently understood regions in which these </w:t>
      </w:r>
      <w:r w:rsidR="001C7142">
        <w:rPr>
          <w:noProof/>
          <w:color w:val="000000"/>
        </w:rPr>
        <w:t>sub-</w:t>
      </w:r>
      <w:r>
        <w:rPr>
          <w:noProof/>
          <w:color w:val="000000"/>
        </w:rPr>
        <w:t xml:space="preserve">species reside.  This was not the case for the Powell-Cotton Collection samples where there was a significant contradiction between the geographic area reported and the known range for the sub-species reported.  All samples were reported there as being </w:t>
      </w:r>
      <w:r>
        <w:rPr>
          <w:i/>
          <w:noProof/>
          <w:color w:val="000000"/>
        </w:rPr>
        <w:t>Pan troglodytes schweinfurthii</w:t>
      </w:r>
      <w:r>
        <w:rPr>
          <w:noProof/>
          <w:color w:val="000000"/>
        </w:rPr>
        <w:t xml:space="preserve"> (</w:t>
      </w:r>
      <w:r>
        <w:rPr>
          <w:i/>
          <w:noProof/>
          <w:color w:val="000000"/>
        </w:rPr>
        <w:t xml:space="preserve">Pan satryus </w:t>
      </w:r>
      <w:r w:rsidRPr="000974A4">
        <w:rPr>
          <w:i/>
          <w:noProof/>
          <w:color w:val="000000"/>
        </w:rPr>
        <w:t>schweinfurthii</w:t>
      </w:r>
      <w:r>
        <w:rPr>
          <w:noProof/>
          <w:color w:val="000000"/>
        </w:rPr>
        <w:t xml:space="preserve"> on record cards) </w:t>
      </w:r>
      <w:r w:rsidRPr="000974A4">
        <w:rPr>
          <w:noProof/>
          <w:color w:val="000000"/>
        </w:rPr>
        <w:t>while</w:t>
      </w:r>
      <w:r>
        <w:rPr>
          <w:noProof/>
          <w:color w:val="000000"/>
        </w:rPr>
        <w:t xml:space="preserve"> the locations noted in museum records indicat</w:t>
      </w:r>
      <w:r w:rsidR="00445975">
        <w:rPr>
          <w:noProof/>
          <w:color w:val="000000"/>
        </w:rPr>
        <w:t>ed</w:t>
      </w:r>
      <w:r>
        <w:rPr>
          <w:noProof/>
          <w:color w:val="000000"/>
        </w:rPr>
        <w:t xml:space="preserve"> that these samples all were derived from a region that can be confidently assigned to </w:t>
      </w:r>
      <w:r>
        <w:rPr>
          <w:i/>
          <w:noProof/>
          <w:color w:val="000000"/>
        </w:rPr>
        <w:t>Pan troglodytes troglodytes</w:t>
      </w:r>
      <w:r>
        <w:rPr>
          <w:noProof/>
          <w:color w:val="000000"/>
        </w:rPr>
        <w:t xml:space="preserve"> (see section 3.1.2 regarding provenance of these collections for further analysis of geographic constraints).  Geographic records at the Powell-Cotton Museum were both specific and consistently reported, providing the name of the location as well as longitude and latitude.  The records that assigned these samples to </w:t>
      </w:r>
      <w:r>
        <w:rPr>
          <w:i/>
          <w:noProof/>
          <w:color w:val="000000"/>
        </w:rPr>
        <w:t>Pan troglodytes schweinfurthii</w:t>
      </w:r>
      <w:r>
        <w:rPr>
          <w:noProof/>
          <w:color w:val="000000"/>
        </w:rPr>
        <w:t xml:space="preserve"> may have been using out-dated classification information.  The use of the term </w:t>
      </w:r>
      <w:r w:rsidR="001C7142">
        <w:rPr>
          <w:noProof/>
          <w:color w:val="000000"/>
        </w:rPr>
        <w:t>‘</w:t>
      </w:r>
      <w:r>
        <w:rPr>
          <w:i/>
          <w:noProof/>
          <w:color w:val="000000"/>
        </w:rPr>
        <w:t>satyrus</w:t>
      </w:r>
      <w:r w:rsidR="001C7142" w:rsidRPr="001C7142">
        <w:rPr>
          <w:noProof/>
          <w:color w:val="000000"/>
        </w:rPr>
        <w:t>’</w:t>
      </w:r>
      <w:r w:rsidRPr="001C7142">
        <w:rPr>
          <w:noProof/>
          <w:color w:val="000000"/>
        </w:rPr>
        <w:t xml:space="preserve"> </w:t>
      </w:r>
      <w:r>
        <w:rPr>
          <w:noProof/>
          <w:color w:val="000000"/>
        </w:rPr>
        <w:t xml:space="preserve">would suggest this.  The dates in which these records were made </w:t>
      </w:r>
      <w:r w:rsidR="001C075E">
        <w:rPr>
          <w:noProof/>
          <w:color w:val="000000"/>
        </w:rPr>
        <w:t xml:space="preserve">were </w:t>
      </w:r>
      <w:r>
        <w:rPr>
          <w:noProof/>
          <w:color w:val="000000"/>
        </w:rPr>
        <w:t xml:space="preserve">not provided.  Given this information, it was decided to re-classify the </w:t>
      </w:r>
      <w:r>
        <w:rPr>
          <w:i/>
          <w:noProof/>
          <w:color w:val="000000"/>
        </w:rPr>
        <w:t>Pan troglodytes schweinfurthii</w:t>
      </w:r>
      <w:r>
        <w:rPr>
          <w:noProof/>
          <w:color w:val="000000"/>
        </w:rPr>
        <w:t xml:space="preserve"> samples from the Powell-Cotton Museum as </w:t>
      </w:r>
      <w:r>
        <w:rPr>
          <w:i/>
          <w:noProof/>
          <w:color w:val="000000"/>
        </w:rPr>
        <w:t>Pan troglodytes troglodytes</w:t>
      </w:r>
      <w:r>
        <w:rPr>
          <w:noProof/>
          <w:color w:val="000000"/>
        </w:rPr>
        <w:t xml:space="preserve"> for the purposes of this study.</w:t>
      </w:r>
    </w:p>
    <w:p w:rsidR="00663D04" w:rsidRDefault="00663D04">
      <w:pPr>
        <w:spacing w:before="0" w:after="200" w:line="276" w:lineRule="auto"/>
        <w:jc w:val="left"/>
        <w:rPr>
          <w:noProof/>
          <w:color w:val="000000"/>
        </w:rPr>
      </w:pPr>
      <w:r>
        <w:rPr>
          <w:noProof/>
          <w:color w:val="000000"/>
        </w:rPr>
        <w:br w:type="page"/>
      </w:r>
    </w:p>
    <w:p w:rsidR="00361913" w:rsidRDefault="00361913" w:rsidP="00D263E8">
      <w:pPr>
        <w:pStyle w:val="Heading3"/>
      </w:pPr>
      <w:bookmarkStart w:id="109" w:name="_Toc373477753"/>
      <w:bookmarkStart w:id="110" w:name="_Toc373480751"/>
      <w:r>
        <w:lastRenderedPageBreak/>
        <w:t>Provenance</w:t>
      </w:r>
      <w:bookmarkEnd w:id="109"/>
      <w:bookmarkEnd w:id="110"/>
    </w:p>
    <w:p w:rsidR="00361913" w:rsidRDefault="00361913" w:rsidP="00F41256">
      <w:pPr>
        <w:rPr>
          <w:noProof/>
        </w:rPr>
      </w:pPr>
      <w:r w:rsidRPr="00DD1728">
        <w:rPr>
          <w:noProof/>
          <w:color w:val="000000" w:themeColor="text1"/>
        </w:rPr>
        <w:t xml:space="preserve">The </w:t>
      </w:r>
      <w:r>
        <w:rPr>
          <w:noProof/>
          <w:color w:val="000000" w:themeColor="text1"/>
        </w:rPr>
        <w:t xml:space="preserve">information provided regarding </w:t>
      </w:r>
      <w:r w:rsidRPr="00DD1728">
        <w:rPr>
          <w:noProof/>
          <w:color w:val="000000" w:themeColor="text1"/>
        </w:rPr>
        <w:t xml:space="preserve">provenance </w:t>
      </w:r>
      <w:r>
        <w:rPr>
          <w:noProof/>
          <w:color w:val="000000" w:themeColor="text1"/>
        </w:rPr>
        <w:t>for</w:t>
      </w:r>
      <w:r w:rsidRPr="00DD1728">
        <w:rPr>
          <w:noProof/>
          <w:color w:val="000000" w:themeColor="text1"/>
        </w:rPr>
        <w:t xml:space="preserve"> each specimen was</w:t>
      </w:r>
      <w:r>
        <w:rPr>
          <w:noProof/>
          <w:color w:val="000000" w:themeColor="text1"/>
        </w:rPr>
        <w:t xml:space="preserve"> variably</w:t>
      </w:r>
      <w:r w:rsidRPr="00DD1728">
        <w:rPr>
          <w:noProof/>
          <w:color w:val="000000" w:themeColor="text1"/>
        </w:rPr>
        <w:t xml:space="preserve"> </w:t>
      </w:r>
      <w:r>
        <w:rPr>
          <w:noProof/>
          <w:color w:val="000000" w:themeColor="text1"/>
        </w:rPr>
        <w:t>reported</w:t>
      </w:r>
      <w:r w:rsidRPr="00DD1728">
        <w:rPr>
          <w:noProof/>
          <w:color w:val="000000" w:themeColor="text1"/>
        </w:rPr>
        <w:t>.  Table 3.2 provides the captivity status</w:t>
      </w:r>
      <w:r>
        <w:rPr>
          <w:noProof/>
        </w:rPr>
        <w:t xml:space="preserve"> for each species.  For most specimens it was possible to establish if the individual was captive or wild</w:t>
      </w:r>
      <w:r w:rsidR="001C7142">
        <w:rPr>
          <w:noProof/>
        </w:rPr>
        <w:t>, although f</w:t>
      </w:r>
      <w:r>
        <w:rPr>
          <w:noProof/>
        </w:rPr>
        <w:t xml:space="preserve">or a few specimens </w:t>
      </w:r>
      <w:r w:rsidR="001C7142">
        <w:rPr>
          <w:noProof/>
        </w:rPr>
        <w:t>this information was not available</w:t>
      </w:r>
      <w:r>
        <w:rPr>
          <w:noProof/>
        </w:rPr>
        <w:t>.  These were samples in which the collector’s name was given but no additional information was provided.</w:t>
      </w:r>
    </w:p>
    <w:p w:rsidR="00361913" w:rsidRPr="00F41256" w:rsidRDefault="00D557BE" w:rsidP="00D557BE">
      <w:pPr>
        <w:pStyle w:val="Caption"/>
      </w:pPr>
      <w:bookmarkStart w:id="111" w:name="_Toc373180114"/>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w:t>
      </w:r>
      <w:r w:rsidR="008943E4">
        <w:rPr>
          <w:b/>
        </w:rPr>
        <w:fldChar w:fldCharType="end"/>
      </w:r>
      <w:r>
        <w:t xml:space="preserve"> </w:t>
      </w:r>
      <w:r w:rsidR="00361913" w:rsidRPr="004F270C">
        <w:t>Captive vs. wild by species</w:t>
      </w:r>
      <w:bookmarkEnd w:id="111"/>
    </w:p>
    <w:tbl>
      <w:tblPr>
        <w:tblW w:w="9153" w:type="dxa"/>
        <w:jc w:val="center"/>
        <w:tblInd w:w="93" w:type="dxa"/>
        <w:tblBorders>
          <w:top w:val="single" w:sz="4" w:space="0" w:color="auto"/>
          <w:bottom w:val="single" w:sz="4" w:space="0" w:color="auto"/>
        </w:tblBorders>
        <w:tblLook w:val="04A0" w:firstRow="1" w:lastRow="0" w:firstColumn="1" w:lastColumn="0" w:noHBand="0" w:noVBand="1"/>
      </w:tblPr>
      <w:tblGrid>
        <w:gridCol w:w="2999"/>
        <w:gridCol w:w="955"/>
        <w:gridCol w:w="959"/>
        <w:gridCol w:w="1485"/>
        <w:gridCol w:w="1627"/>
        <w:gridCol w:w="1128"/>
      </w:tblGrid>
      <w:tr w:rsidR="00361913" w:rsidRPr="00FA68DD" w:rsidTr="00753147">
        <w:trPr>
          <w:trHeight w:val="300"/>
          <w:jc w:val="center"/>
        </w:trPr>
        <w:tc>
          <w:tcPr>
            <w:tcW w:w="2999" w:type="dxa"/>
            <w:tcBorders>
              <w:top w:val="single" w:sz="4" w:space="0" w:color="auto"/>
              <w:bottom w:val="single" w:sz="4" w:space="0" w:color="auto"/>
            </w:tcBorders>
            <w:shd w:val="clear" w:color="auto" w:fill="auto"/>
            <w:noWrap/>
            <w:vAlign w:val="center"/>
            <w:hideMark/>
          </w:tcPr>
          <w:p w:rsidR="00361913" w:rsidRPr="00FA68DD" w:rsidRDefault="00753147" w:rsidP="00F41256">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361913" w:rsidRPr="00FA68DD">
              <w:rPr>
                <w:rFonts w:eastAsia="Times New Roman"/>
                <w:b/>
                <w:bCs/>
                <w:color w:val="000000"/>
                <w:lang w:val="en-GB" w:eastAsia="en-GB"/>
              </w:rPr>
              <w:t>pecies/sub-species</w:t>
            </w:r>
          </w:p>
        </w:tc>
        <w:tc>
          <w:tcPr>
            <w:tcW w:w="955" w:type="dxa"/>
            <w:tcBorders>
              <w:top w:val="single" w:sz="4" w:space="0" w:color="auto"/>
              <w:bottom w:val="single" w:sz="4" w:space="0" w:color="auto"/>
            </w:tcBorders>
            <w:shd w:val="clear" w:color="auto" w:fill="auto"/>
            <w:noWrap/>
            <w:vAlign w:val="center"/>
            <w:hideMark/>
          </w:tcPr>
          <w:p w:rsidR="00361913" w:rsidRPr="00FA68DD" w:rsidRDefault="00753147" w:rsidP="00F41256">
            <w:pPr>
              <w:spacing w:before="0" w:line="240" w:lineRule="auto"/>
              <w:jc w:val="center"/>
              <w:rPr>
                <w:rFonts w:eastAsia="Times New Roman"/>
                <w:b/>
                <w:bCs/>
                <w:color w:val="000000"/>
                <w:lang w:val="en-GB" w:eastAsia="en-GB"/>
              </w:rPr>
            </w:pPr>
            <w:r>
              <w:rPr>
                <w:rFonts w:eastAsia="Times New Roman"/>
                <w:b/>
                <w:bCs/>
                <w:color w:val="000000"/>
                <w:lang w:val="en-GB" w:eastAsia="en-GB"/>
              </w:rPr>
              <w:t>w</w:t>
            </w:r>
            <w:r w:rsidR="00361913" w:rsidRPr="00FA68DD">
              <w:rPr>
                <w:rFonts w:eastAsia="Times New Roman"/>
                <w:b/>
                <w:bCs/>
                <w:color w:val="000000"/>
                <w:lang w:val="en-GB" w:eastAsia="en-GB"/>
              </w:rPr>
              <w:t>ild</w:t>
            </w:r>
            <w:r w:rsidR="00361913">
              <w:rPr>
                <w:rFonts w:eastAsia="Times New Roman"/>
                <w:b/>
                <w:bCs/>
                <w:color w:val="000000"/>
                <w:vertAlign w:val="superscript"/>
                <w:lang w:val="en-GB" w:eastAsia="en-GB"/>
              </w:rPr>
              <w:t>1</w:t>
            </w:r>
          </w:p>
        </w:tc>
        <w:tc>
          <w:tcPr>
            <w:tcW w:w="959" w:type="dxa"/>
            <w:tcBorders>
              <w:top w:val="single" w:sz="4" w:space="0" w:color="auto"/>
              <w:bottom w:val="single" w:sz="4" w:space="0" w:color="auto"/>
            </w:tcBorders>
            <w:shd w:val="clear" w:color="auto" w:fill="auto"/>
            <w:noWrap/>
            <w:vAlign w:val="center"/>
            <w:hideMark/>
          </w:tcPr>
          <w:p w:rsidR="00361913" w:rsidRPr="00FA68DD" w:rsidRDefault="00753147" w:rsidP="00F41256">
            <w:pPr>
              <w:spacing w:before="0" w:line="240" w:lineRule="auto"/>
              <w:jc w:val="center"/>
              <w:rPr>
                <w:rFonts w:eastAsia="Times New Roman"/>
                <w:b/>
                <w:bCs/>
                <w:color w:val="000000"/>
                <w:lang w:val="en-GB" w:eastAsia="en-GB"/>
              </w:rPr>
            </w:pPr>
            <w:r>
              <w:rPr>
                <w:rFonts w:eastAsia="Times New Roman"/>
                <w:b/>
                <w:bCs/>
                <w:color w:val="000000"/>
                <w:lang w:val="en-GB" w:eastAsia="en-GB"/>
              </w:rPr>
              <w:t>c</w:t>
            </w:r>
            <w:r w:rsidR="00361913" w:rsidRPr="00FA68DD">
              <w:rPr>
                <w:rFonts w:eastAsia="Times New Roman"/>
                <w:b/>
                <w:bCs/>
                <w:color w:val="000000"/>
                <w:lang w:val="en-GB" w:eastAsia="en-GB"/>
              </w:rPr>
              <w:t>aptive</w:t>
            </w:r>
            <w:r w:rsidR="00361913">
              <w:rPr>
                <w:rFonts w:eastAsia="Times New Roman"/>
                <w:b/>
                <w:bCs/>
                <w:color w:val="000000"/>
                <w:vertAlign w:val="superscript"/>
                <w:lang w:val="en-GB" w:eastAsia="en-GB"/>
              </w:rPr>
              <w:t>2</w:t>
            </w:r>
          </w:p>
        </w:tc>
        <w:tc>
          <w:tcPr>
            <w:tcW w:w="1485" w:type="dxa"/>
            <w:tcBorders>
              <w:top w:val="single" w:sz="4" w:space="0" w:color="auto"/>
              <w:bottom w:val="single" w:sz="4" w:space="0" w:color="auto"/>
            </w:tcBorders>
            <w:shd w:val="clear" w:color="auto" w:fill="auto"/>
            <w:noWrap/>
            <w:vAlign w:val="center"/>
            <w:hideMark/>
          </w:tcPr>
          <w:p w:rsidR="00361913" w:rsidRPr="00FA68DD" w:rsidRDefault="00753147" w:rsidP="00F41256">
            <w:pPr>
              <w:spacing w:before="0" w:line="240" w:lineRule="auto"/>
              <w:jc w:val="center"/>
              <w:rPr>
                <w:rFonts w:eastAsia="Times New Roman"/>
                <w:b/>
                <w:bCs/>
                <w:color w:val="000000"/>
                <w:lang w:val="en-GB" w:eastAsia="en-GB"/>
              </w:rPr>
            </w:pPr>
            <w:r>
              <w:rPr>
                <w:rFonts w:eastAsia="Times New Roman"/>
                <w:b/>
                <w:bCs/>
                <w:color w:val="000000"/>
                <w:lang w:val="en-GB" w:eastAsia="en-GB"/>
              </w:rPr>
              <w:t>a</w:t>
            </w:r>
            <w:r w:rsidR="00361913" w:rsidRPr="00FA68DD">
              <w:rPr>
                <w:rFonts w:eastAsia="Times New Roman"/>
                <w:b/>
                <w:bCs/>
                <w:color w:val="000000"/>
                <w:lang w:val="en-GB" w:eastAsia="en-GB"/>
              </w:rPr>
              <w:t>mbiguous</w:t>
            </w:r>
            <w:r w:rsidR="00361913" w:rsidRPr="00FA68DD">
              <w:rPr>
                <w:rFonts w:eastAsia="Times New Roman"/>
                <w:b/>
                <w:bCs/>
                <w:color w:val="000000"/>
                <w:vertAlign w:val="superscript"/>
                <w:lang w:val="en-GB" w:eastAsia="en-GB"/>
              </w:rPr>
              <w:t>3</w:t>
            </w:r>
          </w:p>
        </w:tc>
        <w:tc>
          <w:tcPr>
            <w:tcW w:w="1627" w:type="dxa"/>
            <w:tcBorders>
              <w:top w:val="single" w:sz="4" w:space="0" w:color="auto"/>
              <w:bottom w:val="single" w:sz="4" w:space="0" w:color="auto"/>
            </w:tcBorders>
            <w:shd w:val="clear" w:color="auto" w:fill="auto"/>
            <w:noWrap/>
            <w:vAlign w:val="center"/>
            <w:hideMark/>
          </w:tcPr>
          <w:p w:rsidR="00361913" w:rsidRPr="00FA68DD" w:rsidRDefault="00753147" w:rsidP="00F41256">
            <w:pPr>
              <w:spacing w:before="0" w:line="240" w:lineRule="auto"/>
              <w:jc w:val="center"/>
              <w:rPr>
                <w:rFonts w:eastAsia="Times New Roman"/>
                <w:b/>
                <w:bCs/>
                <w:color w:val="000000"/>
                <w:lang w:val="en-GB" w:eastAsia="en-GB"/>
              </w:rPr>
            </w:pPr>
            <w:r>
              <w:rPr>
                <w:rFonts w:eastAsia="Times New Roman"/>
                <w:b/>
                <w:bCs/>
                <w:color w:val="000000"/>
                <w:lang w:val="en-GB" w:eastAsia="en-GB"/>
              </w:rPr>
              <w:t>n</w:t>
            </w:r>
            <w:r w:rsidR="00361913" w:rsidRPr="00FA68DD">
              <w:rPr>
                <w:rFonts w:eastAsia="Times New Roman"/>
                <w:b/>
                <w:bCs/>
                <w:color w:val="000000"/>
                <w:lang w:val="en-GB" w:eastAsia="en-GB"/>
              </w:rPr>
              <w:t>ot reported</w:t>
            </w:r>
            <w:r w:rsidR="00361913" w:rsidRPr="00FA68DD">
              <w:rPr>
                <w:rFonts w:eastAsia="Times New Roman"/>
                <w:b/>
                <w:bCs/>
                <w:color w:val="000000"/>
                <w:vertAlign w:val="superscript"/>
                <w:lang w:val="en-GB" w:eastAsia="en-GB"/>
              </w:rPr>
              <w:t>4</w:t>
            </w:r>
          </w:p>
        </w:tc>
        <w:tc>
          <w:tcPr>
            <w:tcW w:w="1128" w:type="dxa"/>
            <w:tcBorders>
              <w:top w:val="single" w:sz="4" w:space="0" w:color="auto"/>
              <w:bottom w:val="single" w:sz="4" w:space="0" w:color="auto"/>
            </w:tcBorders>
            <w:shd w:val="clear" w:color="auto" w:fill="auto"/>
            <w:noWrap/>
            <w:vAlign w:val="center"/>
            <w:hideMark/>
          </w:tcPr>
          <w:p w:rsidR="00361913" w:rsidRPr="00FA68DD" w:rsidRDefault="00753147" w:rsidP="00F41256">
            <w:pPr>
              <w:spacing w:before="0" w:line="240" w:lineRule="auto"/>
              <w:jc w:val="center"/>
              <w:rPr>
                <w:rFonts w:eastAsia="Times New Roman"/>
                <w:b/>
                <w:bCs/>
                <w:color w:val="000000"/>
                <w:lang w:val="en-GB" w:eastAsia="en-GB"/>
              </w:rPr>
            </w:pPr>
            <w:r>
              <w:rPr>
                <w:rFonts w:eastAsia="Times New Roman"/>
                <w:b/>
                <w:bCs/>
                <w:color w:val="000000"/>
                <w:lang w:val="en-GB" w:eastAsia="en-GB"/>
              </w:rPr>
              <w:t>t</w:t>
            </w:r>
            <w:r w:rsidR="00361913" w:rsidRPr="00FA68DD">
              <w:rPr>
                <w:rFonts w:eastAsia="Times New Roman"/>
                <w:b/>
                <w:bCs/>
                <w:color w:val="000000"/>
                <w:lang w:val="en-GB" w:eastAsia="en-GB"/>
              </w:rPr>
              <w:t>otal</w:t>
            </w:r>
          </w:p>
        </w:tc>
      </w:tr>
      <w:tr w:rsidR="00361913" w:rsidRPr="00FA68DD" w:rsidTr="00753147">
        <w:trPr>
          <w:trHeight w:val="300"/>
          <w:jc w:val="center"/>
        </w:trPr>
        <w:tc>
          <w:tcPr>
            <w:tcW w:w="2999" w:type="dxa"/>
            <w:tcBorders>
              <w:top w:val="single" w:sz="4" w:space="0" w:color="auto"/>
            </w:tcBorders>
            <w:shd w:val="clear" w:color="auto" w:fill="auto"/>
            <w:noWrap/>
            <w:vAlign w:val="bottom"/>
            <w:hideMark/>
          </w:tcPr>
          <w:p w:rsidR="00361913" w:rsidRPr="00FA68DD" w:rsidRDefault="00361913" w:rsidP="00F41256">
            <w:pPr>
              <w:spacing w:before="0" w:line="240" w:lineRule="auto"/>
              <w:rPr>
                <w:rFonts w:eastAsia="Times New Roman"/>
                <w:i/>
                <w:iCs/>
                <w:color w:val="000000"/>
                <w:lang w:val="en-GB" w:eastAsia="en-GB"/>
              </w:rPr>
            </w:pPr>
            <w:r w:rsidRPr="00FA68DD">
              <w:rPr>
                <w:rFonts w:eastAsia="Times New Roman"/>
                <w:i/>
                <w:iCs/>
                <w:color w:val="000000"/>
                <w:lang w:val="en-GB" w:eastAsia="en-GB"/>
              </w:rPr>
              <w:t>Pan paniscus</w:t>
            </w:r>
          </w:p>
        </w:tc>
        <w:tc>
          <w:tcPr>
            <w:tcW w:w="955" w:type="dxa"/>
            <w:tcBorders>
              <w:top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31</w:t>
            </w:r>
          </w:p>
        </w:tc>
        <w:tc>
          <w:tcPr>
            <w:tcW w:w="959" w:type="dxa"/>
            <w:tcBorders>
              <w:top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1</w:t>
            </w:r>
          </w:p>
        </w:tc>
        <w:tc>
          <w:tcPr>
            <w:tcW w:w="1485" w:type="dxa"/>
            <w:tcBorders>
              <w:top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1</w:t>
            </w:r>
          </w:p>
        </w:tc>
        <w:tc>
          <w:tcPr>
            <w:tcW w:w="1627" w:type="dxa"/>
            <w:tcBorders>
              <w:top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4</w:t>
            </w:r>
          </w:p>
        </w:tc>
        <w:tc>
          <w:tcPr>
            <w:tcW w:w="1128" w:type="dxa"/>
            <w:tcBorders>
              <w:top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37</w:t>
            </w:r>
          </w:p>
        </w:tc>
      </w:tr>
      <w:tr w:rsidR="00361913" w:rsidRPr="00FA68DD" w:rsidTr="00753147">
        <w:trPr>
          <w:trHeight w:val="300"/>
          <w:jc w:val="center"/>
        </w:trPr>
        <w:tc>
          <w:tcPr>
            <w:tcW w:w="2999" w:type="dxa"/>
            <w:shd w:val="clear" w:color="auto" w:fill="auto"/>
            <w:noWrap/>
            <w:vAlign w:val="bottom"/>
            <w:hideMark/>
          </w:tcPr>
          <w:p w:rsidR="00361913" w:rsidRPr="00FA68DD" w:rsidRDefault="00361913" w:rsidP="00F41256">
            <w:pPr>
              <w:spacing w:before="0" w:line="240" w:lineRule="auto"/>
              <w:rPr>
                <w:rFonts w:eastAsia="Times New Roman"/>
                <w:color w:val="000000"/>
                <w:lang w:val="en-GB" w:eastAsia="en-GB"/>
              </w:rPr>
            </w:pPr>
            <w:r w:rsidRPr="00FA68DD">
              <w:rPr>
                <w:rFonts w:eastAsia="Times New Roman"/>
                <w:color w:val="000000"/>
                <w:lang w:val="en-GB" w:eastAsia="en-GB"/>
              </w:rPr>
              <w:t xml:space="preserve">Unspecified </w:t>
            </w:r>
            <w:r w:rsidRPr="00FA68DD">
              <w:rPr>
                <w:rFonts w:eastAsia="Times New Roman"/>
                <w:i/>
                <w:iCs/>
                <w:color w:val="000000"/>
                <w:lang w:val="en-GB" w:eastAsia="en-GB"/>
              </w:rPr>
              <w:t>Pan</w:t>
            </w:r>
          </w:p>
        </w:tc>
        <w:tc>
          <w:tcPr>
            <w:tcW w:w="955"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2</w:t>
            </w:r>
          </w:p>
        </w:tc>
        <w:tc>
          <w:tcPr>
            <w:tcW w:w="959"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0</w:t>
            </w:r>
          </w:p>
        </w:tc>
        <w:tc>
          <w:tcPr>
            <w:tcW w:w="1485"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0</w:t>
            </w:r>
          </w:p>
        </w:tc>
        <w:tc>
          <w:tcPr>
            <w:tcW w:w="1627"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3</w:t>
            </w:r>
          </w:p>
        </w:tc>
        <w:tc>
          <w:tcPr>
            <w:tcW w:w="1128"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5</w:t>
            </w:r>
          </w:p>
        </w:tc>
      </w:tr>
      <w:tr w:rsidR="00361913" w:rsidRPr="00FA68DD" w:rsidTr="00753147">
        <w:trPr>
          <w:trHeight w:val="300"/>
          <w:jc w:val="center"/>
        </w:trPr>
        <w:tc>
          <w:tcPr>
            <w:tcW w:w="2999" w:type="dxa"/>
            <w:shd w:val="clear" w:color="auto" w:fill="auto"/>
            <w:noWrap/>
            <w:vAlign w:val="bottom"/>
            <w:hideMark/>
          </w:tcPr>
          <w:p w:rsidR="00361913" w:rsidRPr="00FA68DD" w:rsidRDefault="00361913" w:rsidP="00F41256">
            <w:pPr>
              <w:spacing w:before="0" w:line="240" w:lineRule="auto"/>
              <w:rPr>
                <w:rFonts w:eastAsia="Times New Roman"/>
                <w:i/>
                <w:iCs/>
                <w:color w:val="000000"/>
                <w:lang w:val="en-GB" w:eastAsia="en-GB"/>
              </w:rPr>
            </w:pPr>
            <w:r w:rsidRPr="00FA68DD">
              <w:rPr>
                <w:rFonts w:eastAsia="Times New Roman"/>
                <w:i/>
                <w:iCs/>
                <w:color w:val="000000"/>
                <w:lang w:val="en-GB" w:eastAsia="en-GB"/>
              </w:rPr>
              <w:t>Pan troglodytes</w:t>
            </w:r>
          </w:p>
        </w:tc>
        <w:tc>
          <w:tcPr>
            <w:tcW w:w="955"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8</w:t>
            </w:r>
          </w:p>
        </w:tc>
        <w:tc>
          <w:tcPr>
            <w:tcW w:w="959"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2</w:t>
            </w:r>
          </w:p>
        </w:tc>
        <w:tc>
          <w:tcPr>
            <w:tcW w:w="1485"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42</w:t>
            </w:r>
          </w:p>
        </w:tc>
        <w:tc>
          <w:tcPr>
            <w:tcW w:w="1627"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6</w:t>
            </w:r>
          </w:p>
        </w:tc>
        <w:tc>
          <w:tcPr>
            <w:tcW w:w="1128"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58</w:t>
            </w:r>
          </w:p>
        </w:tc>
      </w:tr>
      <w:tr w:rsidR="00361913" w:rsidRPr="00FA68DD" w:rsidTr="00753147">
        <w:trPr>
          <w:trHeight w:val="300"/>
          <w:jc w:val="center"/>
        </w:trPr>
        <w:tc>
          <w:tcPr>
            <w:tcW w:w="2999" w:type="dxa"/>
            <w:shd w:val="clear" w:color="auto" w:fill="auto"/>
            <w:noWrap/>
            <w:vAlign w:val="bottom"/>
            <w:hideMark/>
          </w:tcPr>
          <w:p w:rsidR="00361913" w:rsidRPr="00FA68DD" w:rsidRDefault="00361913" w:rsidP="00F41256">
            <w:pPr>
              <w:spacing w:before="0" w:line="240" w:lineRule="auto"/>
              <w:rPr>
                <w:rFonts w:eastAsia="Times New Roman"/>
                <w:i/>
                <w:iCs/>
                <w:color w:val="000000"/>
                <w:lang w:val="en-GB" w:eastAsia="en-GB"/>
              </w:rPr>
            </w:pPr>
            <w:r w:rsidRPr="00FA68DD">
              <w:rPr>
                <w:rFonts w:eastAsia="Times New Roman"/>
                <w:i/>
                <w:iCs/>
                <w:color w:val="000000"/>
                <w:lang w:val="en-GB" w:eastAsia="en-GB"/>
              </w:rPr>
              <w:t>Pan troglodytes schweinfurthii</w:t>
            </w:r>
          </w:p>
        </w:tc>
        <w:tc>
          <w:tcPr>
            <w:tcW w:w="955"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37</w:t>
            </w:r>
          </w:p>
        </w:tc>
        <w:tc>
          <w:tcPr>
            <w:tcW w:w="959"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2</w:t>
            </w:r>
          </w:p>
        </w:tc>
        <w:tc>
          <w:tcPr>
            <w:tcW w:w="1485"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0</w:t>
            </w:r>
          </w:p>
        </w:tc>
        <w:tc>
          <w:tcPr>
            <w:tcW w:w="1627"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8</w:t>
            </w:r>
          </w:p>
        </w:tc>
        <w:tc>
          <w:tcPr>
            <w:tcW w:w="1128" w:type="dxa"/>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47</w:t>
            </w:r>
          </w:p>
        </w:tc>
      </w:tr>
      <w:tr w:rsidR="00361913" w:rsidRPr="00FA68DD" w:rsidTr="00753147">
        <w:trPr>
          <w:trHeight w:val="300"/>
          <w:jc w:val="center"/>
        </w:trPr>
        <w:tc>
          <w:tcPr>
            <w:tcW w:w="2999" w:type="dxa"/>
            <w:tcBorders>
              <w:bottom w:val="single" w:sz="4" w:space="0" w:color="auto"/>
            </w:tcBorders>
            <w:shd w:val="clear" w:color="auto" w:fill="auto"/>
            <w:noWrap/>
            <w:vAlign w:val="bottom"/>
            <w:hideMark/>
          </w:tcPr>
          <w:p w:rsidR="00361913" w:rsidRPr="00FA68DD" w:rsidRDefault="00361913" w:rsidP="00F41256">
            <w:pPr>
              <w:spacing w:before="0" w:line="240" w:lineRule="auto"/>
              <w:rPr>
                <w:rFonts w:eastAsia="Times New Roman"/>
                <w:i/>
                <w:iCs/>
                <w:color w:val="000000"/>
                <w:lang w:val="en-GB" w:eastAsia="en-GB"/>
              </w:rPr>
            </w:pPr>
            <w:r w:rsidRPr="00FA68DD">
              <w:rPr>
                <w:rFonts w:eastAsia="Times New Roman"/>
                <w:i/>
                <w:iCs/>
                <w:color w:val="000000"/>
                <w:lang w:val="en-GB" w:eastAsia="en-GB"/>
              </w:rPr>
              <w:t>Pan troglodytes troglodytes</w:t>
            </w:r>
          </w:p>
        </w:tc>
        <w:tc>
          <w:tcPr>
            <w:tcW w:w="955" w:type="dxa"/>
            <w:tcBorders>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72</w:t>
            </w:r>
          </w:p>
        </w:tc>
        <w:tc>
          <w:tcPr>
            <w:tcW w:w="959" w:type="dxa"/>
            <w:tcBorders>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0</w:t>
            </w:r>
          </w:p>
        </w:tc>
        <w:tc>
          <w:tcPr>
            <w:tcW w:w="1485" w:type="dxa"/>
            <w:tcBorders>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0</w:t>
            </w:r>
          </w:p>
        </w:tc>
        <w:tc>
          <w:tcPr>
            <w:tcW w:w="1627" w:type="dxa"/>
            <w:tcBorders>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0</w:t>
            </w:r>
          </w:p>
        </w:tc>
        <w:tc>
          <w:tcPr>
            <w:tcW w:w="1128" w:type="dxa"/>
            <w:tcBorders>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72</w:t>
            </w:r>
          </w:p>
        </w:tc>
      </w:tr>
      <w:tr w:rsidR="00361913" w:rsidRPr="00FA68DD" w:rsidTr="00753147">
        <w:trPr>
          <w:trHeight w:val="300"/>
          <w:jc w:val="center"/>
        </w:trPr>
        <w:tc>
          <w:tcPr>
            <w:tcW w:w="2999" w:type="dxa"/>
            <w:tcBorders>
              <w:top w:val="single" w:sz="4" w:space="0" w:color="auto"/>
              <w:bottom w:val="single" w:sz="4" w:space="0" w:color="auto"/>
            </w:tcBorders>
            <w:shd w:val="clear" w:color="auto" w:fill="auto"/>
            <w:noWrap/>
            <w:vAlign w:val="bottom"/>
            <w:hideMark/>
          </w:tcPr>
          <w:p w:rsidR="00361913" w:rsidRPr="00FA68DD" w:rsidRDefault="00361913" w:rsidP="00F41256">
            <w:pPr>
              <w:spacing w:before="0" w:line="240" w:lineRule="auto"/>
              <w:rPr>
                <w:rFonts w:eastAsia="Times New Roman"/>
                <w:color w:val="000000"/>
                <w:lang w:val="en-GB" w:eastAsia="en-GB"/>
              </w:rPr>
            </w:pPr>
            <w:r w:rsidRPr="00FA68DD">
              <w:rPr>
                <w:rFonts w:eastAsia="Times New Roman"/>
                <w:color w:val="000000"/>
                <w:lang w:val="en-GB" w:eastAsia="en-GB"/>
              </w:rPr>
              <w:t>entire sample</w:t>
            </w:r>
          </w:p>
        </w:tc>
        <w:tc>
          <w:tcPr>
            <w:tcW w:w="955" w:type="dxa"/>
            <w:tcBorders>
              <w:top w:val="single" w:sz="4" w:space="0" w:color="auto"/>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150</w:t>
            </w:r>
          </w:p>
        </w:tc>
        <w:tc>
          <w:tcPr>
            <w:tcW w:w="959" w:type="dxa"/>
            <w:tcBorders>
              <w:top w:val="single" w:sz="4" w:space="0" w:color="auto"/>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21</w:t>
            </w:r>
          </w:p>
        </w:tc>
        <w:tc>
          <w:tcPr>
            <w:tcW w:w="1485" w:type="dxa"/>
            <w:tcBorders>
              <w:top w:val="single" w:sz="4" w:space="0" w:color="auto"/>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5</w:t>
            </w:r>
          </w:p>
        </w:tc>
        <w:tc>
          <w:tcPr>
            <w:tcW w:w="1627" w:type="dxa"/>
            <w:tcBorders>
              <w:top w:val="single" w:sz="4" w:space="0" w:color="auto"/>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43</w:t>
            </w:r>
          </w:p>
        </w:tc>
        <w:tc>
          <w:tcPr>
            <w:tcW w:w="1128" w:type="dxa"/>
            <w:tcBorders>
              <w:top w:val="single" w:sz="4" w:space="0" w:color="auto"/>
              <w:bottom w:val="single" w:sz="4" w:space="0" w:color="auto"/>
            </w:tcBorders>
            <w:shd w:val="clear" w:color="auto" w:fill="auto"/>
            <w:noWrap/>
            <w:vAlign w:val="center"/>
            <w:hideMark/>
          </w:tcPr>
          <w:p w:rsidR="00361913" w:rsidRPr="00FA68DD" w:rsidRDefault="00361913" w:rsidP="00F41256">
            <w:pPr>
              <w:spacing w:before="0" w:line="240" w:lineRule="auto"/>
              <w:jc w:val="center"/>
              <w:rPr>
                <w:rFonts w:eastAsia="Times New Roman"/>
                <w:color w:val="000000"/>
                <w:lang w:val="en-GB" w:eastAsia="en-GB"/>
              </w:rPr>
            </w:pPr>
            <w:r w:rsidRPr="00FA68DD">
              <w:rPr>
                <w:rFonts w:eastAsia="Times New Roman"/>
                <w:color w:val="000000"/>
                <w:lang w:val="en-GB" w:eastAsia="en-GB"/>
              </w:rPr>
              <w:t>219</w:t>
            </w:r>
          </w:p>
        </w:tc>
      </w:tr>
    </w:tbl>
    <w:p w:rsidR="00A35CA0" w:rsidRDefault="00F41256" w:rsidP="00CA5FBB">
      <w:pPr>
        <w:pStyle w:val="ListParagraph"/>
        <w:numPr>
          <w:ilvl w:val="0"/>
          <w:numId w:val="8"/>
        </w:numPr>
        <w:spacing w:before="120" w:line="240" w:lineRule="auto"/>
        <w:ind w:left="284" w:hanging="284"/>
        <w:rPr>
          <w:noProof/>
          <w:color w:val="000000"/>
          <w:sz w:val="20"/>
          <w:szCs w:val="20"/>
        </w:rPr>
      </w:pPr>
      <w:r w:rsidRPr="002C1873">
        <w:rPr>
          <w:noProof/>
          <w:color w:val="000000"/>
          <w:sz w:val="20"/>
          <w:szCs w:val="20"/>
        </w:rPr>
        <w:t>Wild indicates that some descriptive term indication geographic origin was presented.</w:t>
      </w:r>
    </w:p>
    <w:p w:rsidR="00A35CA0" w:rsidRDefault="00F41256" w:rsidP="00CA5FBB">
      <w:pPr>
        <w:pStyle w:val="ListParagraph"/>
        <w:numPr>
          <w:ilvl w:val="0"/>
          <w:numId w:val="8"/>
        </w:numPr>
        <w:spacing w:before="120" w:line="240" w:lineRule="auto"/>
        <w:ind w:left="284" w:hanging="284"/>
        <w:rPr>
          <w:noProof/>
          <w:color w:val="000000"/>
          <w:sz w:val="20"/>
          <w:szCs w:val="20"/>
        </w:rPr>
      </w:pPr>
      <w:r w:rsidRPr="002C1873">
        <w:rPr>
          <w:noProof/>
          <w:color w:val="000000"/>
          <w:sz w:val="20"/>
          <w:szCs w:val="20"/>
        </w:rPr>
        <w:t>Captive indicates that there is a reference to a zoo or other captive circumstance.</w:t>
      </w:r>
    </w:p>
    <w:p w:rsidR="00A35CA0" w:rsidRDefault="00F41256" w:rsidP="00CA5FBB">
      <w:pPr>
        <w:pStyle w:val="ListParagraph"/>
        <w:numPr>
          <w:ilvl w:val="0"/>
          <w:numId w:val="8"/>
        </w:numPr>
        <w:spacing w:before="120" w:line="240" w:lineRule="auto"/>
        <w:ind w:left="284" w:hanging="284"/>
        <w:rPr>
          <w:noProof/>
          <w:color w:val="000000"/>
          <w:sz w:val="20"/>
          <w:szCs w:val="20"/>
        </w:rPr>
      </w:pPr>
      <w:r w:rsidRPr="002C1873">
        <w:rPr>
          <w:noProof/>
          <w:color w:val="000000"/>
          <w:sz w:val="20"/>
          <w:szCs w:val="20"/>
        </w:rPr>
        <w:t>Ambiguous indicates that in the description the origin simply refers to the individual collector s</w:t>
      </w:r>
      <w:r w:rsidR="00FD23C7">
        <w:rPr>
          <w:noProof/>
          <w:color w:val="000000"/>
          <w:sz w:val="20"/>
          <w:szCs w:val="20"/>
        </w:rPr>
        <w:t>uch as ‘collected by Pilette.’</w:t>
      </w:r>
    </w:p>
    <w:p w:rsidR="00A35CA0" w:rsidRDefault="00F41256" w:rsidP="00CA5FBB">
      <w:pPr>
        <w:pStyle w:val="ListParagraph"/>
        <w:numPr>
          <w:ilvl w:val="0"/>
          <w:numId w:val="8"/>
        </w:numPr>
        <w:spacing w:before="120" w:line="240" w:lineRule="auto"/>
        <w:ind w:left="284" w:hanging="284"/>
        <w:rPr>
          <w:noProof/>
          <w:color w:val="000000"/>
          <w:sz w:val="20"/>
          <w:szCs w:val="20"/>
        </w:rPr>
      </w:pPr>
      <w:r w:rsidRPr="002C1873">
        <w:rPr>
          <w:noProof/>
          <w:color w:val="000000"/>
          <w:sz w:val="20"/>
          <w:szCs w:val="20"/>
        </w:rPr>
        <w:t>Not reported means that no information was given.</w:t>
      </w:r>
    </w:p>
    <w:p w:rsidR="00361913" w:rsidRPr="00B519AF" w:rsidRDefault="001C7142" w:rsidP="00F41256">
      <w:pPr>
        <w:rPr>
          <w:b/>
          <w:i/>
          <w:noProof/>
        </w:rPr>
      </w:pPr>
      <w:r w:rsidRPr="00B519AF">
        <w:rPr>
          <w:b/>
          <w:i/>
          <w:noProof/>
        </w:rPr>
        <w:t>3.1.2.a</w:t>
      </w:r>
      <w:r w:rsidRPr="00B519AF">
        <w:rPr>
          <w:b/>
          <w:i/>
          <w:noProof/>
        </w:rPr>
        <w:tab/>
      </w:r>
      <w:r w:rsidR="00361913" w:rsidRPr="00B519AF">
        <w:rPr>
          <w:b/>
          <w:i/>
          <w:noProof/>
        </w:rPr>
        <w:t>Provenance at the Museum of Central Africa</w:t>
      </w:r>
    </w:p>
    <w:p w:rsidR="00361913" w:rsidRPr="00977A63" w:rsidRDefault="00361913" w:rsidP="00F41256">
      <w:pPr>
        <w:rPr>
          <w:noProof/>
          <w:sz w:val="20"/>
          <w:szCs w:val="20"/>
        </w:rPr>
      </w:pPr>
      <w:r>
        <w:rPr>
          <w:noProof/>
        </w:rPr>
        <w:t>At the Museum of Central Africa</w:t>
      </w:r>
      <w:r w:rsidR="00B21D13">
        <w:rPr>
          <w:noProof/>
        </w:rPr>
        <w:t xml:space="preserve"> [MCA]</w:t>
      </w:r>
      <w:r>
        <w:rPr>
          <w:noProof/>
        </w:rPr>
        <w:t xml:space="preserve"> the exact location or region </w:t>
      </w:r>
      <w:r w:rsidR="00353271">
        <w:rPr>
          <w:noProof/>
        </w:rPr>
        <w:t>where</w:t>
      </w:r>
      <w:r>
        <w:rPr>
          <w:noProof/>
        </w:rPr>
        <w:t xml:space="preserve"> the individual was found was reported for many of the specimens.  It should be noted that many of the MCA specimens which had been listed as being obtained from the Antwerp Zoo may have originally been wild animals.  Their capture age and duration of time spent within the zoo was not specified.  Due to the lack of records and the paucity of information regarding their</w:t>
      </w:r>
      <w:r w:rsidRPr="00DD1728">
        <w:rPr>
          <w:noProof/>
          <w:color w:val="000000" w:themeColor="text1"/>
        </w:rPr>
        <w:t xml:space="preserve"> origins, it shall be assumed for the purposes of this study that these ha</w:t>
      </w:r>
      <w:r w:rsidR="0091259C">
        <w:rPr>
          <w:noProof/>
          <w:color w:val="000000" w:themeColor="text1"/>
        </w:rPr>
        <w:t>d</w:t>
      </w:r>
      <w:r w:rsidRPr="00DD1728">
        <w:rPr>
          <w:noProof/>
          <w:color w:val="000000" w:themeColor="text1"/>
        </w:rPr>
        <w:t xml:space="preserve"> always remained captive animals.  </w:t>
      </w:r>
      <w:r w:rsidR="005154ED">
        <w:rPr>
          <w:noProof/>
          <w:color w:val="000000" w:themeColor="text1"/>
        </w:rPr>
        <w:t>Table 8</w:t>
      </w:r>
      <w:r>
        <w:rPr>
          <w:noProof/>
          <w:color w:val="000000" w:themeColor="text1"/>
        </w:rPr>
        <w:t>.</w:t>
      </w:r>
      <w:r w:rsidR="00FC2B44">
        <w:rPr>
          <w:noProof/>
          <w:color w:val="000000" w:themeColor="text1"/>
        </w:rPr>
        <w:t>1</w:t>
      </w:r>
      <w:r w:rsidRPr="00DD1728">
        <w:rPr>
          <w:noProof/>
          <w:color w:val="000000" w:themeColor="text1"/>
        </w:rPr>
        <w:t xml:space="preserve"> </w:t>
      </w:r>
      <w:r w:rsidR="00FC2B44">
        <w:rPr>
          <w:noProof/>
          <w:color w:val="000000" w:themeColor="text1"/>
        </w:rPr>
        <w:t xml:space="preserve">in the appendix </w:t>
      </w:r>
      <w:r w:rsidRPr="00DD1728">
        <w:rPr>
          <w:noProof/>
          <w:color w:val="000000" w:themeColor="text1"/>
        </w:rPr>
        <w:t>list</w:t>
      </w:r>
      <w:r>
        <w:rPr>
          <w:noProof/>
          <w:color w:val="000000" w:themeColor="text1"/>
        </w:rPr>
        <w:t>s</w:t>
      </w:r>
      <w:r w:rsidRPr="00DD1728">
        <w:rPr>
          <w:noProof/>
          <w:color w:val="000000" w:themeColor="text1"/>
        </w:rPr>
        <w:t xml:space="preserve"> </w:t>
      </w:r>
      <w:r>
        <w:rPr>
          <w:noProof/>
          <w:color w:val="000000" w:themeColor="text1"/>
        </w:rPr>
        <w:t>the</w:t>
      </w:r>
      <w:r w:rsidRPr="00DD1728">
        <w:rPr>
          <w:noProof/>
          <w:color w:val="000000" w:themeColor="text1"/>
        </w:rPr>
        <w:t xml:space="preserve"> reported locations for th</w:t>
      </w:r>
      <w:r w:rsidR="009F4336">
        <w:rPr>
          <w:noProof/>
          <w:color w:val="000000" w:themeColor="text1"/>
        </w:rPr>
        <w:t>e wild specimens from the MCA.</w:t>
      </w:r>
    </w:p>
    <w:p w:rsidR="00361913" w:rsidRPr="00B519AF" w:rsidRDefault="001C7142" w:rsidP="00F41256">
      <w:pPr>
        <w:rPr>
          <w:b/>
          <w:i/>
          <w:noProof/>
        </w:rPr>
      </w:pPr>
      <w:r w:rsidRPr="00B519AF">
        <w:rPr>
          <w:b/>
          <w:i/>
          <w:noProof/>
        </w:rPr>
        <w:t>3.1.2.b</w:t>
      </w:r>
      <w:r w:rsidRPr="00B519AF">
        <w:rPr>
          <w:b/>
          <w:i/>
          <w:noProof/>
        </w:rPr>
        <w:tab/>
      </w:r>
      <w:r w:rsidR="00361913" w:rsidRPr="00B519AF">
        <w:rPr>
          <w:b/>
          <w:i/>
          <w:noProof/>
        </w:rPr>
        <w:t>Provenance at the Powell-Cotton Museum</w:t>
      </w:r>
    </w:p>
    <w:p w:rsidR="00361913" w:rsidRDefault="00361913" w:rsidP="00F41256">
      <w:pPr>
        <w:rPr>
          <w:rFonts w:eastAsia="Times New Roman"/>
          <w:color w:val="000000" w:themeColor="text1"/>
          <w:lang w:val="en-GB" w:eastAsia="en-GB"/>
        </w:rPr>
      </w:pPr>
      <w:r>
        <w:rPr>
          <w:noProof/>
        </w:rPr>
        <w:t xml:space="preserve">Virtually all of the specimens at </w:t>
      </w:r>
      <w:r w:rsidR="008867D8">
        <w:rPr>
          <w:noProof/>
        </w:rPr>
        <w:t xml:space="preserve">the </w:t>
      </w:r>
      <w:r>
        <w:rPr>
          <w:noProof/>
        </w:rPr>
        <w:t xml:space="preserve">Powell-Cotton </w:t>
      </w:r>
      <w:r w:rsidR="008867D8">
        <w:rPr>
          <w:noProof/>
        </w:rPr>
        <w:t xml:space="preserve">Museum </w:t>
      </w:r>
      <w:r w:rsidR="00A90938">
        <w:rPr>
          <w:noProof/>
        </w:rPr>
        <w:t xml:space="preserve">had </w:t>
      </w:r>
      <w:r>
        <w:rPr>
          <w:noProof/>
        </w:rPr>
        <w:t>curation card</w:t>
      </w:r>
      <w:r w:rsidR="00CD3D61">
        <w:rPr>
          <w:noProof/>
        </w:rPr>
        <w:t>s</w:t>
      </w:r>
      <w:r>
        <w:rPr>
          <w:noProof/>
        </w:rPr>
        <w:t xml:space="preserve"> that </w:t>
      </w:r>
      <w:r w:rsidR="00C77BE9">
        <w:rPr>
          <w:noProof/>
        </w:rPr>
        <w:t>provided</w:t>
      </w:r>
      <w:r>
        <w:rPr>
          <w:noProof/>
        </w:rPr>
        <w:t xml:space="preserve"> species name, sex, locality, latitude and longitude, head and body measurements, span, height, g</w:t>
      </w:r>
      <w:r w:rsidR="000A56FB">
        <w:rPr>
          <w:noProof/>
        </w:rPr>
        <w:t xml:space="preserve">irth, anatomical parts present </w:t>
      </w:r>
      <w:r>
        <w:rPr>
          <w:noProof/>
        </w:rPr>
        <w:t>and additional notes.  A date was also provided, although it is not clear what this date represents.  These dates were mostly from the 1930s.  Virtually all individuals were listed as ‘</w:t>
      </w:r>
      <w:r>
        <w:rPr>
          <w:i/>
          <w:noProof/>
        </w:rPr>
        <w:t xml:space="preserve">Pan satyrus </w:t>
      </w:r>
      <w:r>
        <w:rPr>
          <w:noProof/>
        </w:rPr>
        <w:t>(</w:t>
      </w:r>
      <w:r>
        <w:rPr>
          <w:i/>
          <w:noProof/>
        </w:rPr>
        <w:t>schweinfurthii</w:t>
      </w:r>
      <w:r>
        <w:rPr>
          <w:noProof/>
        </w:rPr>
        <w:t xml:space="preserve">).’  As discussed below, it is unlikely that these specimens are members of this sub-species and they will be referred to here as members of </w:t>
      </w:r>
      <w:r>
        <w:rPr>
          <w:i/>
          <w:noProof/>
        </w:rPr>
        <w:t>Pan troglodytes troglodytes</w:t>
      </w:r>
      <w:r>
        <w:rPr>
          <w:noProof/>
        </w:rPr>
        <w:t xml:space="preserve">.  Of these individuals, 45% were recorded as being collected from a single region of Cameroon, </w:t>
      </w:r>
      <w:r w:rsidR="000E0AAC">
        <w:rPr>
          <w:noProof/>
        </w:rPr>
        <w:t>the</w:t>
      </w:r>
      <w:r>
        <w:rPr>
          <w:noProof/>
        </w:rPr>
        <w:t xml:space="preserve"> </w:t>
      </w:r>
      <w:r>
        <w:rPr>
          <w:rFonts w:eastAsia="Times New Roman"/>
          <w:lang w:val="en-GB" w:eastAsia="en-GB"/>
        </w:rPr>
        <w:t xml:space="preserve">Obala, </w:t>
      </w:r>
      <w:proofErr w:type="gramStart"/>
      <w:r>
        <w:rPr>
          <w:rFonts w:eastAsia="Times New Roman"/>
          <w:lang w:val="en-GB" w:eastAsia="en-GB"/>
        </w:rPr>
        <w:lastRenderedPageBreak/>
        <w:t>Batouri</w:t>
      </w:r>
      <w:proofErr w:type="gramEnd"/>
      <w:r>
        <w:rPr>
          <w:rFonts w:eastAsia="Times New Roman"/>
          <w:lang w:val="en-GB" w:eastAsia="en-GB"/>
        </w:rPr>
        <w:t xml:space="preserve"> District.  The remainder of the specimens were also from various parts of Cameroon with the exception of one individual which had come fro</w:t>
      </w:r>
      <w:r>
        <w:rPr>
          <w:rFonts w:eastAsia="Times New Roman"/>
          <w:color w:val="000000" w:themeColor="text1"/>
          <w:lang w:val="en-GB" w:eastAsia="en-GB"/>
        </w:rPr>
        <w:t>m the Congo</w:t>
      </w:r>
      <w:r w:rsidR="009E34F8">
        <w:rPr>
          <w:rFonts w:eastAsia="Times New Roman"/>
          <w:color w:val="000000" w:themeColor="text1"/>
          <w:lang w:val="en-GB" w:eastAsia="en-GB"/>
        </w:rPr>
        <w:t xml:space="preserve">.  Numbers of individuals from each location are available in </w:t>
      </w:r>
      <w:r w:rsidR="005154ED">
        <w:rPr>
          <w:rFonts w:eastAsia="Times New Roman"/>
          <w:color w:val="000000" w:themeColor="text1"/>
          <w:lang w:val="en-GB" w:eastAsia="en-GB"/>
        </w:rPr>
        <w:t>Table 8</w:t>
      </w:r>
      <w:r w:rsidR="009E34F8">
        <w:rPr>
          <w:rFonts w:eastAsia="Times New Roman"/>
          <w:color w:val="000000" w:themeColor="text1"/>
          <w:lang w:val="en-GB" w:eastAsia="en-GB"/>
        </w:rPr>
        <w:t>.2 in the appendix.</w:t>
      </w:r>
    </w:p>
    <w:p w:rsidR="00361913" w:rsidRPr="00DD1728" w:rsidRDefault="00361913" w:rsidP="00F41256">
      <w:pPr>
        <w:rPr>
          <w:noProof/>
          <w:color w:val="000000" w:themeColor="text1"/>
        </w:rPr>
      </w:pPr>
      <w:r>
        <w:rPr>
          <w:noProof/>
        </w:rPr>
        <w:t xml:space="preserve">Current classification indicates that </w:t>
      </w:r>
      <w:r>
        <w:rPr>
          <w:i/>
          <w:noProof/>
        </w:rPr>
        <w:t>Pan troglodytes schweinfurthii</w:t>
      </w:r>
      <w:r>
        <w:rPr>
          <w:noProof/>
        </w:rPr>
        <w:t xml:space="preserve"> and </w:t>
      </w:r>
      <w:r>
        <w:rPr>
          <w:i/>
          <w:noProof/>
        </w:rPr>
        <w:t>Pan troglodytes troglodytes</w:t>
      </w:r>
      <w:r>
        <w:rPr>
          <w:noProof/>
        </w:rPr>
        <w:t xml:space="preserve"> inhabit non-overlapping</w:t>
      </w:r>
      <w:r w:rsidRPr="00A54874">
        <w:rPr>
          <w:noProof/>
          <w:color w:val="FF0000"/>
        </w:rPr>
        <w:t xml:space="preserve"> </w:t>
      </w:r>
      <w:r>
        <w:rPr>
          <w:noProof/>
        </w:rPr>
        <w:t xml:space="preserve">regions in central Africa.  </w:t>
      </w:r>
      <w:r>
        <w:rPr>
          <w:i/>
          <w:noProof/>
        </w:rPr>
        <w:t>Pan troglodytes schwein</w:t>
      </w:r>
      <w:r w:rsidRPr="00DD1728">
        <w:rPr>
          <w:i/>
          <w:noProof/>
          <w:color w:val="000000" w:themeColor="text1"/>
        </w:rPr>
        <w:t>furthii</w:t>
      </w:r>
      <w:r w:rsidRPr="00DD1728">
        <w:rPr>
          <w:noProof/>
          <w:color w:val="000000" w:themeColor="text1"/>
        </w:rPr>
        <w:t xml:space="preserve"> resides north and east of the Congo river while </w:t>
      </w:r>
      <w:r w:rsidRPr="00DD1728">
        <w:rPr>
          <w:i/>
          <w:noProof/>
          <w:color w:val="000000" w:themeColor="text1"/>
        </w:rPr>
        <w:t>Pan troglodytes troglodytes</w:t>
      </w:r>
      <w:r w:rsidRPr="00DD1728">
        <w:rPr>
          <w:noProof/>
          <w:color w:val="000000" w:themeColor="text1"/>
        </w:rPr>
        <w:t xml:space="preserve"> is located in the we</w:t>
      </w:r>
      <w:r w:rsidR="000A56FB">
        <w:rPr>
          <w:noProof/>
          <w:color w:val="000000" w:themeColor="text1"/>
        </w:rPr>
        <w:t>stern margins of central Africa</w:t>
      </w:r>
      <w:r w:rsidRPr="00DD1728">
        <w:rPr>
          <w:noProof/>
          <w:color w:val="000000" w:themeColor="text1"/>
        </w:rPr>
        <w:t xml:space="preserve"> cover</w:t>
      </w:r>
      <w:r w:rsidR="000A56FB">
        <w:rPr>
          <w:noProof/>
          <w:color w:val="000000" w:themeColor="text1"/>
        </w:rPr>
        <w:t>ing territories in Gabon, Congo</w:t>
      </w:r>
      <w:r w:rsidRPr="00DD1728">
        <w:rPr>
          <w:noProof/>
          <w:color w:val="000000" w:themeColor="text1"/>
        </w:rPr>
        <w:t xml:space="preserve"> and Cameroon (Stumpf 2007).  These geographic subdivisions suggest that the entire sample from the Powell-Cotton Museum can be confidently re-assigned to the sub</w:t>
      </w:r>
      <w:r w:rsidR="00BE3272">
        <w:rPr>
          <w:noProof/>
          <w:color w:val="000000" w:themeColor="text1"/>
        </w:rPr>
        <w:t>-</w:t>
      </w:r>
      <w:r w:rsidRPr="00DD1728">
        <w:rPr>
          <w:noProof/>
          <w:color w:val="000000" w:themeColor="text1"/>
        </w:rPr>
        <w:t xml:space="preserve">species </w:t>
      </w:r>
      <w:r w:rsidRPr="00DD1728">
        <w:rPr>
          <w:i/>
          <w:noProof/>
          <w:color w:val="000000" w:themeColor="text1"/>
        </w:rPr>
        <w:t>Pan troglodytes troglodytes</w:t>
      </w:r>
      <w:r w:rsidR="005154ED">
        <w:rPr>
          <w:noProof/>
          <w:color w:val="000000" w:themeColor="text1"/>
        </w:rPr>
        <w:t>.</w:t>
      </w:r>
    </w:p>
    <w:p w:rsidR="00361913" w:rsidRPr="00B519AF" w:rsidRDefault="0002038F" w:rsidP="00F41256">
      <w:pPr>
        <w:rPr>
          <w:b/>
          <w:i/>
          <w:noProof/>
        </w:rPr>
      </w:pPr>
      <w:r w:rsidRPr="00B519AF">
        <w:rPr>
          <w:b/>
          <w:i/>
          <w:noProof/>
        </w:rPr>
        <w:t>3.1.2.c</w:t>
      </w:r>
      <w:r w:rsidRPr="00B519AF">
        <w:rPr>
          <w:b/>
          <w:i/>
          <w:noProof/>
        </w:rPr>
        <w:tab/>
      </w:r>
      <w:r w:rsidR="00361913" w:rsidRPr="00B519AF">
        <w:rPr>
          <w:b/>
          <w:i/>
          <w:noProof/>
        </w:rPr>
        <w:t>Provenance at the Adolph Schultz Collection, University of Zurich</w:t>
      </w:r>
    </w:p>
    <w:p w:rsidR="00361913" w:rsidRPr="00DD1728" w:rsidRDefault="00361913" w:rsidP="00F41256">
      <w:pPr>
        <w:rPr>
          <w:noProof/>
        </w:rPr>
      </w:pPr>
      <w:r>
        <w:rPr>
          <w:noProof/>
        </w:rPr>
        <w:t xml:space="preserve">As indicated by </w:t>
      </w:r>
      <w:r w:rsidR="00A17646">
        <w:rPr>
          <w:noProof/>
        </w:rPr>
        <w:t>T</w:t>
      </w:r>
      <w:r w:rsidR="00220FA9">
        <w:rPr>
          <w:noProof/>
        </w:rPr>
        <w:t>able 3.1</w:t>
      </w:r>
      <w:r w:rsidRPr="00DD1728">
        <w:rPr>
          <w:noProof/>
        </w:rPr>
        <w:t xml:space="preserve">, </w:t>
      </w:r>
      <w:r>
        <w:rPr>
          <w:noProof/>
        </w:rPr>
        <w:t>all</w:t>
      </w:r>
      <w:r w:rsidRPr="00DD1728">
        <w:rPr>
          <w:noProof/>
        </w:rPr>
        <w:t xml:space="preserve"> of </w:t>
      </w:r>
      <w:r>
        <w:rPr>
          <w:noProof/>
        </w:rPr>
        <w:t xml:space="preserve">the </w:t>
      </w:r>
      <w:r w:rsidRPr="00DD1728">
        <w:rPr>
          <w:noProof/>
        </w:rPr>
        <w:t>specimens</w:t>
      </w:r>
      <w:r>
        <w:rPr>
          <w:noProof/>
        </w:rPr>
        <w:t xml:space="preserve"> from the University of Zurich were ascribed </w:t>
      </w:r>
      <w:r>
        <w:rPr>
          <w:i/>
          <w:noProof/>
        </w:rPr>
        <w:t xml:space="preserve">Pan troglodytes </w:t>
      </w:r>
      <w:r>
        <w:rPr>
          <w:noProof/>
        </w:rPr>
        <w:t>without sub-species classification</w:t>
      </w:r>
      <w:r w:rsidRPr="00DD1728">
        <w:rPr>
          <w:noProof/>
        </w:rPr>
        <w:t xml:space="preserve">.  </w:t>
      </w:r>
      <w:r>
        <w:rPr>
          <w:noProof/>
        </w:rPr>
        <w:t>A handful of individuals had geographic origins provided in curation records.  These individuals were</w:t>
      </w:r>
      <w:r w:rsidRPr="00DD1728">
        <w:rPr>
          <w:noProof/>
        </w:rPr>
        <w:t xml:space="preserve"> only specified to the country or region.  </w:t>
      </w:r>
      <w:r>
        <w:rPr>
          <w:noProof/>
        </w:rPr>
        <w:t>T</w:t>
      </w:r>
      <w:r w:rsidRPr="00DD1728">
        <w:rPr>
          <w:noProof/>
        </w:rPr>
        <w:t xml:space="preserve">he specimens from Liberia and Sierra Leone can be </w:t>
      </w:r>
      <w:r>
        <w:rPr>
          <w:noProof/>
        </w:rPr>
        <w:t xml:space="preserve">confidently </w:t>
      </w:r>
      <w:r w:rsidRPr="00DD1728">
        <w:rPr>
          <w:noProof/>
        </w:rPr>
        <w:t>ascribed to the sub</w:t>
      </w:r>
      <w:r w:rsidR="00BE3272">
        <w:rPr>
          <w:noProof/>
        </w:rPr>
        <w:t>-</w:t>
      </w:r>
      <w:r w:rsidRPr="00DD1728">
        <w:rPr>
          <w:noProof/>
        </w:rPr>
        <w:t xml:space="preserve">species </w:t>
      </w:r>
      <w:r w:rsidRPr="00DD1728">
        <w:rPr>
          <w:i/>
          <w:noProof/>
        </w:rPr>
        <w:t>Pan troglodytes verus</w:t>
      </w:r>
      <w:r w:rsidRPr="00DD1728">
        <w:rPr>
          <w:noProof/>
        </w:rPr>
        <w:t xml:space="preserve"> as those two countries an entirely encapsulated by the range of this sub</w:t>
      </w:r>
      <w:r w:rsidR="00BE3272">
        <w:rPr>
          <w:noProof/>
        </w:rPr>
        <w:t>-</w:t>
      </w:r>
      <w:r w:rsidRPr="00DD1728">
        <w:rPr>
          <w:noProof/>
        </w:rPr>
        <w:t xml:space="preserve">species (Sugiyama 1989, 2004).  The specimen from Equatorial Guinea may be assigned to </w:t>
      </w:r>
      <w:r w:rsidRPr="00DD1728">
        <w:rPr>
          <w:i/>
          <w:noProof/>
        </w:rPr>
        <w:t xml:space="preserve">Pan troglodytes troglodytes </w:t>
      </w:r>
      <w:r w:rsidRPr="00DD1728">
        <w:rPr>
          <w:noProof/>
        </w:rPr>
        <w:t>for the same reason</w:t>
      </w:r>
      <w:r w:rsidR="009E34F8">
        <w:rPr>
          <w:noProof/>
        </w:rPr>
        <w:t>.  T</w:t>
      </w:r>
      <w:r w:rsidRPr="00DD1728">
        <w:rPr>
          <w:noProof/>
        </w:rPr>
        <w:t xml:space="preserve">his country </w:t>
      </w:r>
      <w:r w:rsidR="00CD3D61">
        <w:rPr>
          <w:noProof/>
        </w:rPr>
        <w:t>is</w:t>
      </w:r>
      <w:r w:rsidRPr="00DD1728">
        <w:rPr>
          <w:noProof/>
        </w:rPr>
        <w:t xml:space="preserve"> entirely within the range of this sub</w:t>
      </w:r>
      <w:r w:rsidR="009E34F8">
        <w:rPr>
          <w:noProof/>
        </w:rPr>
        <w:t>-</w:t>
      </w:r>
      <w:r w:rsidRPr="00DD1728">
        <w:rPr>
          <w:noProof/>
        </w:rPr>
        <w:t xml:space="preserve">species (Stumpf 2007).  This is also true for the Nigerian specimen, which can be classified as </w:t>
      </w:r>
      <w:r w:rsidRPr="00DD1728">
        <w:rPr>
          <w:i/>
          <w:noProof/>
        </w:rPr>
        <w:t>Pan troglodytes vellerosus</w:t>
      </w:r>
      <w:r w:rsidRPr="00DD1728">
        <w:rPr>
          <w:noProof/>
        </w:rPr>
        <w:t xml:space="preserve"> (Sommer </w:t>
      </w:r>
      <w:r w:rsidRPr="00DD1728">
        <w:rPr>
          <w:i/>
          <w:noProof/>
        </w:rPr>
        <w:t>et al</w:t>
      </w:r>
      <w:r w:rsidRPr="00DD1728">
        <w:rPr>
          <w:noProof/>
        </w:rPr>
        <w:t>. 2004)</w:t>
      </w:r>
      <w:r w:rsidR="00506354">
        <w:rPr>
          <w:noProof/>
        </w:rPr>
        <w:t>.  Proven</w:t>
      </w:r>
      <w:r w:rsidR="00BE3272">
        <w:rPr>
          <w:noProof/>
        </w:rPr>
        <w:t>a</w:t>
      </w:r>
      <w:r w:rsidR="00506354">
        <w:rPr>
          <w:noProof/>
        </w:rPr>
        <w:t>nce for specimens at the Adolph Schultz Collection are liste</w:t>
      </w:r>
      <w:r w:rsidR="009F4336">
        <w:rPr>
          <w:noProof/>
        </w:rPr>
        <w:t xml:space="preserve">d in </w:t>
      </w:r>
      <w:r w:rsidR="00A17646">
        <w:rPr>
          <w:noProof/>
        </w:rPr>
        <w:t>T</w:t>
      </w:r>
      <w:r w:rsidR="009F4336">
        <w:rPr>
          <w:noProof/>
        </w:rPr>
        <w:t xml:space="preserve">able </w:t>
      </w:r>
      <w:r w:rsidR="005154ED">
        <w:rPr>
          <w:noProof/>
        </w:rPr>
        <w:t>8</w:t>
      </w:r>
      <w:r w:rsidR="009F4336">
        <w:rPr>
          <w:noProof/>
        </w:rPr>
        <w:t>.3 in the appendix.</w:t>
      </w:r>
    </w:p>
    <w:p w:rsidR="00361913" w:rsidRPr="00B519AF" w:rsidRDefault="00623BE2" w:rsidP="00F41256">
      <w:pPr>
        <w:rPr>
          <w:b/>
          <w:i/>
          <w:noProof/>
        </w:rPr>
      </w:pPr>
      <w:r w:rsidRPr="00B519AF">
        <w:rPr>
          <w:b/>
          <w:i/>
          <w:noProof/>
        </w:rPr>
        <w:t>3.1.2.d</w:t>
      </w:r>
      <w:r w:rsidRPr="00B519AF">
        <w:rPr>
          <w:b/>
          <w:i/>
          <w:noProof/>
        </w:rPr>
        <w:tab/>
      </w:r>
      <w:r w:rsidR="00361913" w:rsidRPr="00B519AF">
        <w:rPr>
          <w:b/>
          <w:i/>
          <w:noProof/>
        </w:rPr>
        <w:t>Provenance at Weston Park Museum</w:t>
      </w:r>
    </w:p>
    <w:p w:rsidR="00361913" w:rsidRPr="00774444" w:rsidRDefault="00361913" w:rsidP="00F41256">
      <w:pPr>
        <w:rPr>
          <w:noProof/>
        </w:rPr>
      </w:pPr>
      <w:r>
        <w:rPr>
          <w:noProof/>
        </w:rPr>
        <w:t xml:space="preserve">There were five individuals from Weston Park Museum in Sheffield.  Four of these had no provided information on provenance.  One individual was reported to have come from Bostock’s Jungle, a local equivalent of a Zoo, and thus has been considered a captive animal for the purposes of this study.  All of these individuals were reported as belonging to </w:t>
      </w:r>
      <w:r>
        <w:rPr>
          <w:i/>
          <w:noProof/>
        </w:rPr>
        <w:t>Pan troglodytes</w:t>
      </w:r>
      <w:r w:rsidR="00A0744E">
        <w:rPr>
          <w:noProof/>
        </w:rPr>
        <w:t>.</w:t>
      </w:r>
    </w:p>
    <w:p w:rsidR="00361913" w:rsidRPr="00B519AF" w:rsidRDefault="00623BE2" w:rsidP="00F41256">
      <w:pPr>
        <w:rPr>
          <w:b/>
          <w:i/>
          <w:noProof/>
        </w:rPr>
      </w:pPr>
      <w:r w:rsidRPr="00B519AF">
        <w:rPr>
          <w:b/>
          <w:i/>
          <w:noProof/>
        </w:rPr>
        <w:t>3.1.2.e</w:t>
      </w:r>
      <w:r w:rsidRPr="00B519AF">
        <w:rPr>
          <w:b/>
          <w:i/>
          <w:noProof/>
        </w:rPr>
        <w:tab/>
      </w:r>
      <w:r w:rsidR="00361913" w:rsidRPr="00B519AF">
        <w:rPr>
          <w:b/>
          <w:i/>
          <w:noProof/>
        </w:rPr>
        <w:t>Summary of geographic origins</w:t>
      </w:r>
    </w:p>
    <w:p w:rsidR="00361913" w:rsidRPr="00F41256" w:rsidRDefault="003F54F7" w:rsidP="00F41256">
      <w:pPr>
        <w:rPr>
          <w:noProof/>
        </w:rPr>
      </w:pPr>
      <w:r>
        <w:rPr>
          <w:noProof/>
        </w:rPr>
        <w:t>Figure 3.1</w:t>
      </w:r>
      <w:r w:rsidR="00361913">
        <w:rPr>
          <w:noProof/>
        </w:rPr>
        <w:t xml:space="preserve"> provides a summary of the known geographic origins for the individuals in this sample.  The samples of </w:t>
      </w:r>
      <w:r w:rsidR="00361913">
        <w:rPr>
          <w:i/>
          <w:noProof/>
        </w:rPr>
        <w:t>Pan troglodytes</w:t>
      </w:r>
      <w:r w:rsidR="00361913">
        <w:rPr>
          <w:noProof/>
        </w:rPr>
        <w:t xml:space="preserve"> from the University of Zurich are identified by dots indicating the locations from which individuals were derived.  The ranges for </w:t>
      </w:r>
      <w:r w:rsidR="00361913">
        <w:rPr>
          <w:i/>
          <w:noProof/>
        </w:rPr>
        <w:t>Pan paniscus, Pan troglodytes schweinfurthii</w:t>
      </w:r>
      <w:r w:rsidR="00361913">
        <w:rPr>
          <w:noProof/>
        </w:rPr>
        <w:t xml:space="preserve">, and </w:t>
      </w:r>
      <w:r w:rsidR="00361913">
        <w:rPr>
          <w:i/>
          <w:noProof/>
        </w:rPr>
        <w:t xml:space="preserve">Pan troglodytes troglodytes </w:t>
      </w:r>
      <w:r w:rsidR="00361913">
        <w:rPr>
          <w:noProof/>
        </w:rPr>
        <w:t xml:space="preserve">represent </w:t>
      </w:r>
      <w:r w:rsidR="009866C7">
        <w:rPr>
          <w:noProof/>
        </w:rPr>
        <w:t xml:space="preserve">geographic regions </w:t>
      </w:r>
      <w:r w:rsidR="00361913">
        <w:rPr>
          <w:noProof/>
        </w:rPr>
        <w:t>where those species are found.</w:t>
      </w:r>
    </w:p>
    <w:p w:rsidR="00361913" w:rsidRDefault="00361913" w:rsidP="00361913">
      <w:pPr>
        <w:spacing w:line="240" w:lineRule="auto"/>
        <w:jc w:val="center"/>
        <w:rPr>
          <w:noProof/>
          <w:color w:val="000000"/>
        </w:rPr>
      </w:pPr>
      <w:r>
        <w:rPr>
          <w:noProof/>
          <w:color w:val="000000"/>
          <w:lang w:val="en-GB" w:eastAsia="en-GB"/>
        </w:rPr>
        <w:lastRenderedPageBreak/>
        <w:drawing>
          <wp:inline distT="0" distB="0" distL="0" distR="0" wp14:anchorId="3EA43255" wp14:editId="3C2BC331">
            <wp:extent cx="4143375" cy="475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3375" cy="4752975"/>
                    </a:xfrm>
                    <a:prstGeom prst="rect">
                      <a:avLst/>
                    </a:prstGeom>
                    <a:noFill/>
                    <a:ln>
                      <a:noFill/>
                    </a:ln>
                  </pic:spPr>
                </pic:pic>
              </a:graphicData>
            </a:graphic>
          </wp:inline>
        </w:drawing>
      </w:r>
    </w:p>
    <w:p w:rsidR="00361913" w:rsidRPr="00A57CC1" w:rsidRDefault="00D557BE" w:rsidP="00D557BE">
      <w:pPr>
        <w:pStyle w:val="Caption"/>
        <w:rPr>
          <w:szCs w:val="22"/>
        </w:rPr>
      </w:pPr>
      <w:bookmarkStart w:id="112" w:name="_Toc373147448"/>
      <w:proofErr w:type="gramStart"/>
      <w:r w:rsidRPr="00D557BE">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1</w:t>
      </w:r>
      <w:r w:rsidR="008943E4">
        <w:rPr>
          <w:b/>
        </w:rPr>
        <w:fldChar w:fldCharType="end"/>
      </w:r>
      <w:r w:rsidR="00F41256">
        <w:t xml:space="preserve"> Map showing the </w:t>
      </w:r>
      <w:r w:rsidR="00A67F1B">
        <w:t>distribu</w:t>
      </w:r>
      <w:r w:rsidR="00F41256">
        <w:t>tion of all major sub-species and the locations of individuals from the University of Zurich.</w:t>
      </w:r>
      <w:r w:rsidR="00F41256" w:rsidRPr="005E193D">
        <w:t xml:space="preserve"> </w:t>
      </w:r>
      <w:r w:rsidR="00A57CC1" w:rsidRPr="00A57CC1">
        <w:rPr>
          <w:noProof/>
          <w:color w:val="000000"/>
          <w:szCs w:val="22"/>
        </w:rPr>
        <w:t>(Image created using Open Street Map)</w:t>
      </w:r>
      <w:bookmarkEnd w:id="112"/>
    </w:p>
    <w:p w:rsidR="00361913" w:rsidRDefault="00361913" w:rsidP="00D263E8">
      <w:pPr>
        <w:pStyle w:val="Heading3"/>
      </w:pPr>
      <w:bookmarkStart w:id="113" w:name="_Toc373477754"/>
      <w:bookmarkStart w:id="114" w:name="_Toc373480752"/>
      <w:r>
        <w:t>Sex</w:t>
      </w:r>
      <w:bookmarkEnd w:id="113"/>
      <w:bookmarkEnd w:id="114"/>
    </w:p>
    <w:p w:rsidR="0049085E" w:rsidRDefault="00361913" w:rsidP="0049085E">
      <w:pPr>
        <w:rPr>
          <w:noProof/>
        </w:rPr>
      </w:pPr>
      <w:r>
        <w:rPr>
          <w:noProof/>
        </w:rPr>
        <w:t xml:space="preserve">Sex was not determined in this study by any means other than curation records.  No osteological determinations were made for individuals that did not have reported sex.  Sexually dimorphic features such as larger canines, </w:t>
      </w:r>
      <w:r w:rsidR="0040237D">
        <w:rPr>
          <w:noProof/>
        </w:rPr>
        <w:t>more prominent</w:t>
      </w:r>
      <w:r>
        <w:rPr>
          <w:noProof/>
        </w:rPr>
        <w:t xml:space="preserve"> brow ridges, differing facial morphology and overall greater robusticity in males (</w:t>
      </w:r>
      <w:r w:rsidR="001E189B">
        <w:rPr>
          <w:noProof/>
        </w:rPr>
        <w:t xml:space="preserve">Cobb and O’Higgins 2007, </w:t>
      </w:r>
      <w:r>
        <w:rPr>
          <w:noProof/>
        </w:rPr>
        <w:t xml:space="preserve">Leutenegger and Kelly 1977) can be assessed in adults with relative ease but this is not necessarily the case for sub-adult individuals.  Chimpanzees and bonobos show some similarity </w:t>
      </w:r>
      <w:r w:rsidR="00A0744E">
        <w:rPr>
          <w:noProof/>
        </w:rPr>
        <w:t>to</w:t>
      </w:r>
      <w:r>
        <w:rPr>
          <w:noProof/>
        </w:rPr>
        <w:t xml:space="preserve"> humans with respect to the fact that these features are not as overtly visible if present at all during at earlier stage</w:t>
      </w:r>
      <w:r w:rsidR="00D165DC">
        <w:rPr>
          <w:noProof/>
        </w:rPr>
        <w:t>s of development and thus make</w:t>
      </w:r>
      <w:r>
        <w:rPr>
          <w:noProof/>
        </w:rPr>
        <w:t xml:space="preserve"> confident sex determinations</w:t>
      </w:r>
      <w:r w:rsidR="001E189B">
        <w:rPr>
          <w:noProof/>
        </w:rPr>
        <w:t xml:space="preserve"> </w:t>
      </w:r>
      <w:r>
        <w:rPr>
          <w:noProof/>
        </w:rPr>
        <w:t xml:space="preserve">difficult.  </w:t>
      </w:r>
      <w:r w:rsidRPr="00DD1728">
        <w:rPr>
          <w:noProof/>
          <w:color w:val="000000" w:themeColor="text1"/>
        </w:rPr>
        <w:t xml:space="preserve">The number of individuals </w:t>
      </w:r>
      <w:r w:rsidR="000273F9">
        <w:rPr>
          <w:noProof/>
          <w:color w:val="000000" w:themeColor="text1"/>
        </w:rPr>
        <w:t xml:space="preserve">present </w:t>
      </w:r>
      <w:r w:rsidRPr="00DD1728">
        <w:rPr>
          <w:noProof/>
          <w:color w:val="000000" w:themeColor="text1"/>
        </w:rPr>
        <w:t>by sex for each species/sub-species</w:t>
      </w:r>
      <w:r>
        <w:rPr>
          <w:noProof/>
          <w:color w:val="000000" w:themeColor="text1"/>
        </w:rPr>
        <w:t xml:space="preserve"> is shown in </w:t>
      </w:r>
      <w:r w:rsidR="00A17646">
        <w:rPr>
          <w:noProof/>
          <w:color w:val="000000" w:themeColor="text1"/>
        </w:rPr>
        <w:t>T</w:t>
      </w:r>
      <w:r>
        <w:rPr>
          <w:noProof/>
          <w:color w:val="000000" w:themeColor="text1"/>
        </w:rPr>
        <w:t xml:space="preserve">able </w:t>
      </w:r>
      <w:r w:rsidRPr="00DD1728">
        <w:rPr>
          <w:noProof/>
          <w:color w:val="000000" w:themeColor="text1"/>
        </w:rPr>
        <w:t>3.</w:t>
      </w:r>
      <w:r w:rsidR="00015C7B">
        <w:rPr>
          <w:noProof/>
          <w:color w:val="000000" w:themeColor="text1"/>
        </w:rPr>
        <w:t>3</w:t>
      </w:r>
      <w:r w:rsidRPr="00DD1728">
        <w:rPr>
          <w:noProof/>
          <w:color w:val="000000" w:themeColor="text1"/>
        </w:rPr>
        <w:t xml:space="preserve">.  It is of particular note that females out-numbered males for both </w:t>
      </w:r>
      <w:r w:rsidRPr="00DD1728">
        <w:rPr>
          <w:i/>
          <w:noProof/>
          <w:color w:val="000000" w:themeColor="text1"/>
        </w:rPr>
        <w:t>Pan paniscus</w:t>
      </w:r>
      <w:r w:rsidRPr="00DD1728">
        <w:rPr>
          <w:noProof/>
          <w:color w:val="000000" w:themeColor="text1"/>
        </w:rPr>
        <w:t xml:space="preserve"> and all the </w:t>
      </w:r>
      <w:r w:rsidRPr="00DD1728">
        <w:rPr>
          <w:i/>
          <w:noProof/>
          <w:color w:val="000000" w:themeColor="text1"/>
        </w:rPr>
        <w:t>Pan troglodytes</w:t>
      </w:r>
      <w:r w:rsidRPr="00DD1728">
        <w:rPr>
          <w:noProof/>
          <w:color w:val="000000" w:themeColor="text1"/>
        </w:rPr>
        <w:t xml:space="preserve"> sub-species.  This was a pattern that appeared</w:t>
      </w:r>
      <w:r>
        <w:rPr>
          <w:noProof/>
          <w:color w:val="000000" w:themeColor="text1"/>
        </w:rPr>
        <w:t xml:space="preserve"> at all institutions </w:t>
      </w:r>
      <w:r w:rsidRPr="00DD1728">
        <w:rPr>
          <w:noProof/>
          <w:color w:val="000000" w:themeColor="text1"/>
        </w:rPr>
        <w:t xml:space="preserve">with the exception of Weston Park Museum where there was only one individual of confirmed </w:t>
      </w:r>
      <w:r>
        <w:rPr>
          <w:noProof/>
          <w:color w:val="000000" w:themeColor="text1"/>
        </w:rPr>
        <w:t>sex</w:t>
      </w:r>
      <w:r w:rsidRPr="00DD1728">
        <w:rPr>
          <w:noProof/>
          <w:color w:val="000000" w:themeColor="text1"/>
        </w:rPr>
        <w:t>.</w:t>
      </w:r>
    </w:p>
    <w:p w:rsidR="00361913" w:rsidRPr="0049085E" w:rsidRDefault="00D557BE" w:rsidP="00D557BE">
      <w:pPr>
        <w:pStyle w:val="Caption"/>
        <w:keepNext/>
        <w:jc w:val="left"/>
      </w:pPr>
      <w:bookmarkStart w:id="115" w:name="_Toc373180115"/>
      <w:proofErr w:type="gramStart"/>
      <w:r w:rsidRPr="00D557BE">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w:t>
      </w:r>
      <w:r w:rsidR="008943E4">
        <w:rPr>
          <w:b/>
        </w:rPr>
        <w:fldChar w:fldCharType="end"/>
      </w:r>
      <w:r>
        <w:t xml:space="preserve"> </w:t>
      </w:r>
      <w:r w:rsidR="00361913" w:rsidRPr="00DD1728">
        <w:t xml:space="preserve">Number of individuals </w:t>
      </w:r>
      <w:r w:rsidR="00240B9F">
        <w:t xml:space="preserve">listed </w:t>
      </w:r>
      <w:r w:rsidR="00361913" w:rsidRPr="00DD1728">
        <w:t>for each sex by species and sub-species</w:t>
      </w:r>
      <w:r w:rsidR="00855F00">
        <w:t>.</w:t>
      </w:r>
      <w:bookmarkEnd w:id="115"/>
    </w:p>
    <w:tbl>
      <w:tblPr>
        <w:tblW w:w="9231" w:type="dxa"/>
        <w:jc w:val="center"/>
        <w:tblInd w:w="147" w:type="dxa"/>
        <w:tblBorders>
          <w:top w:val="single" w:sz="4" w:space="0" w:color="auto"/>
          <w:bottom w:val="single" w:sz="4" w:space="0" w:color="auto"/>
        </w:tblBorders>
        <w:tblLook w:val="04A0" w:firstRow="1" w:lastRow="0" w:firstColumn="1" w:lastColumn="0" w:noHBand="0" w:noVBand="1"/>
      </w:tblPr>
      <w:tblGrid>
        <w:gridCol w:w="2596"/>
        <w:gridCol w:w="839"/>
        <w:gridCol w:w="750"/>
        <w:gridCol w:w="938"/>
        <w:gridCol w:w="938"/>
        <w:gridCol w:w="1097"/>
        <w:gridCol w:w="1228"/>
        <w:gridCol w:w="1097"/>
      </w:tblGrid>
      <w:tr w:rsidR="002E0D3D" w:rsidRPr="00A57CC1" w:rsidTr="008F6928">
        <w:trPr>
          <w:trHeight w:val="307"/>
          <w:jc w:val="center"/>
        </w:trPr>
        <w:tc>
          <w:tcPr>
            <w:tcW w:w="2596" w:type="dxa"/>
            <w:tcBorders>
              <w:top w:val="single" w:sz="4" w:space="0" w:color="auto"/>
              <w:bottom w:val="single" w:sz="4" w:space="0" w:color="auto"/>
            </w:tcBorders>
            <w:shd w:val="clear" w:color="auto" w:fill="auto"/>
            <w:noWrap/>
            <w:vAlign w:val="center"/>
            <w:hideMark/>
          </w:tcPr>
          <w:p w:rsidR="00361913" w:rsidRPr="00A57CC1" w:rsidRDefault="008F6928" w:rsidP="00D5142F">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361913" w:rsidRPr="00A57CC1">
              <w:rPr>
                <w:rFonts w:eastAsia="Times New Roman"/>
                <w:b/>
                <w:bCs/>
                <w:color w:val="000000"/>
                <w:lang w:val="en-GB" w:eastAsia="en-GB"/>
              </w:rPr>
              <w:t>pecies</w:t>
            </w:r>
          </w:p>
        </w:tc>
        <w:tc>
          <w:tcPr>
            <w:tcW w:w="839" w:type="dxa"/>
            <w:tcBorders>
              <w:top w:val="single" w:sz="4" w:space="0" w:color="auto"/>
              <w:bottom w:val="single" w:sz="4" w:space="0" w:color="auto"/>
            </w:tcBorders>
            <w:shd w:val="clear" w:color="auto" w:fill="auto"/>
            <w:noWrap/>
            <w:vAlign w:val="center"/>
            <w:hideMark/>
          </w:tcPr>
          <w:p w:rsidR="00361913" w:rsidRPr="00A57CC1" w:rsidRDefault="008F6928"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t</w:t>
            </w:r>
            <w:r w:rsidR="00361913" w:rsidRPr="00A57CC1">
              <w:rPr>
                <w:rFonts w:eastAsia="Times New Roman"/>
                <w:b/>
                <w:bCs/>
                <w:color w:val="000000"/>
                <w:lang w:val="en-GB" w:eastAsia="en-GB"/>
              </w:rPr>
              <w:t>otal no.</w:t>
            </w:r>
          </w:p>
        </w:tc>
        <w:tc>
          <w:tcPr>
            <w:tcW w:w="750" w:type="dxa"/>
            <w:tcBorders>
              <w:top w:val="single" w:sz="4" w:space="0" w:color="auto"/>
              <w:bottom w:val="single" w:sz="4" w:space="0" w:color="auto"/>
            </w:tcBorders>
            <w:shd w:val="clear" w:color="auto" w:fill="auto"/>
            <w:noWrap/>
            <w:vAlign w:val="center"/>
            <w:hideMark/>
          </w:tcPr>
          <w:p w:rsidR="00A57CC1" w:rsidRPr="00A57CC1" w:rsidRDefault="008F6928"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361913" w:rsidRPr="00A57CC1">
              <w:rPr>
                <w:rFonts w:eastAsia="Times New Roman"/>
                <w:b/>
                <w:bCs/>
                <w:color w:val="000000"/>
                <w:lang w:val="en-GB" w:eastAsia="en-GB"/>
              </w:rPr>
              <w:t>ale</w:t>
            </w:r>
          </w:p>
          <w:p w:rsidR="00361913" w:rsidRPr="00A57CC1" w:rsidRDefault="001E189B" w:rsidP="0049085E">
            <w:pPr>
              <w:spacing w:before="0" w:line="240" w:lineRule="auto"/>
              <w:jc w:val="center"/>
              <w:rPr>
                <w:rFonts w:eastAsia="Times New Roman"/>
                <w:b/>
                <w:bCs/>
                <w:color w:val="000000"/>
                <w:lang w:val="en-GB" w:eastAsia="en-GB"/>
              </w:rPr>
            </w:pPr>
            <w:r w:rsidRPr="00A57CC1">
              <w:rPr>
                <w:rFonts w:eastAsia="Times New Roman"/>
                <w:b/>
                <w:bCs/>
                <w:color w:val="000000"/>
                <w:lang w:val="en-GB" w:eastAsia="en-GB"/>
              </w:rPr>
              <w:t>#</w:t>
            </w:r>
          </w:p>
        </w:tc>
        <w:tc>
          <w:tcPr>
            <w:tcW w:w="938" w:type="dxa"/>
            <w:tcBorders>
              <w:top w:val="single" w:sz="4" w:space="0" w:color="auto"/>
              <w:bottom w:val="single" w:sz="4" w:space="0" w:color="auto"/>
            </w:tcBorders>
            <w:shd w:val="clear" w:color="auto" w:fill="auto"/>
            <w:noWrap/>
            <w:vAlign w:val="center"/>
            <w:hideMark/>
          </w:tcPr>
          <w:p w:rsidR="00A57CC1" w:rsidRPr="00A57CC1" w:rsidRDefault="008F6928"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361913" w:rsidRPr="00A57CC1">
              <w:rPr>
                <w:rFonts w:eastAsia="Times New Roman"/>
                <w:b/>
                <w:bCs/>
                <w:color w:val="000000"/>
                <w:lang w:val="en-GB" w:eastAsia="en-GB"/>
              </w:rPr>
              <w:t xml:space="preserve">ale </w:t>
            </w:r>
          </w:p>
          <w:p w:rsidR="00361913" w:rsidRPr="00A57CC1" w:rsidRDefault="00361913" w:rsidP="0049085E">
            <w:pPr>
              <w:spacing w:before="0" w:line="240" w:lineRule="auto"/>
              <w:jc w:val="center"/>
              <w:rPr>
                <w:rFonts w:eastAsia="Times New Roman"/>
                <w:b/>
                <w:bCs/>
                <w:color w:val="000000"/>
                <w:lang w:val="en-GB" w:eastAsia="en-GB"/>
              </w:rPr>
            </w:pPr>
            <w:r w:rsidRPr="00A57CC1">
              <w:rPr>
                <w:rFonts w:eastAsia="Times New Roman"/>
                <w:b/>
                <w:bCs/>
                <w:color w:val="000000"/>
                <w:lang w:val="en-GB" w:eastAsia="en-GB"/>
              </w:rPr>
              <w:t>%</w:t>
            </w:r>
          </w:p>
        </w:tc>
        <w:tc>
          <w:tcPr>
            <w:tcW w:w="938" w:type="dxa"/>
            <w:tcBorders>
              <w:top w:val="single" w:sz="4" w:space="0" w:color="auto"/>
              <w:bottom w:val="single" w:sz="4" w:space="0" w:color="auto"/>
            </w:tcBorders>
            <w:shd w:val="clear" w:color="auto" w:fill="auto"/>
            <w:noWrap/>
            <w:vAlign w:val="center"/>
            <w:hideMark/>
          </w:tcPr>
          <w:p w:rsidR="00A57CC1" w:rsidRPr="00A57CC1" w:rsidRDefault="008F6928"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00361913" w:rsidRPr="00A57CC1">
              <w:rPr>
                <w:rFonts w:eastAsia="Times New Roman"/>
                <w:b/>
                <w:bCs/>
                <w:color w:val="000000"/>
                <w:lang w:val="en-GB" w:eastAsia="en-GB"/>
              </w:rPr>
              <w:t>emale</w:t>
            </w:r>
          </w:p>
          <w:p w:rsidR="00361913" w:rsidRPr="00A57CC1" w:rsidRDefault="001E189B" w:rsidP="0049085E">
            <w:pPr>
              <w:spacing w:before="0" w:line="240" w:lineRule="auto"/>
              <w:jc w:val="center"/>
              <w:rPr>
                <w:rFonts w:eastAsia="Times New Roman"/>
                <w:b/>
                <w:bCs/>
                <w:color w:val="000000"/>
                <w:lang w:val="en-GB" w:eastAsia="en-GB"/>
              </w:rPr>
            </w:pPr>
            <w:r w:rsidRPr="00A57CC1">
              <w:rPr>
                <w:rFonts w:eastAsia="Times New Roman"/>
                <w:b/>
                <w:bCs/>
                <w:color w:val="000000"/>
                <w:lang w:val="en-GB" w:eastAsia="en-GB"/>
              </w:rPr>
              <w:t>#</w:t>
            </w:r>
          </w:p>
        </w:tc>
        <w:tc>
          <w:tcPr>
            <w:tcW w:w="1097" w:type="dxa"/>
            <w:tcBorders>
              <w:top w:val="single" w:sz="4" w:space="0" w:color="auto"/>
              <w:bottom w:val="single" w:sz="4" w:space="0" w:color="auto"/>
            </w:tcBorders>
            <w:shd w:val="clear" w:color="auto" w:fill="auto"/>
            <w:noWrap/>
            <w:vAlign w:val="center"/>
            <w:hideMark/>
          </w:tcPr>
          <w:p w:rsidR="00A57CC1" w:rsidRPr="00A57CC1" w:rsidRDefault="008F6928"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00361913" w:rsidRPr="00A57CC1">
              <w:rPr>
                <w:rFonts w:eastAsia="Times New Roman"/>
                <w:b/>
                <w:bCs/>
                <w:color w:val="000000"/>
                <w:lang w:val="en-GB" w:eastAsia="en-GB"/>
              </w:rPr>
              <w:t xml:space="preserve">emale </w:t>
            </w:r>
          </w:p>
          <w:p w:rsidR="00361913" w:rsidRPr="00A57CC1" w:rsidRDefault="00361913" w:rsidP="0049085E">
            <w:pPr>
              <w:spacing w:before="0" w:line="240" w:lineRule="auto"/>
              <w:jc w:val="center"/>
              <w:rPr>
                <w:rFonts w:eastAsia="Times New Roman"/>
                <w:b/>
                <w:bCs/>
                <w:color w:val="000000"/>
                <w:lang w:val="en-GB" w:eastAsia="en-GB"/>
              </w:rPr>
            </w:pPr>
            <w:r w:rsidRPr="00A57CC1">
              <w:rPr>
                <w:rFonts w:eastAsia="Times New Roman"/>
                <w:b/>
                <w:bCs/>
                <w:color w:val="000000"/>
                <w:lang w:val="en-GB" w:eastAsia="en-GB"/>
              </w:rPr>
              <w:t>%</w:t>
            </w:r>
          </w:p>
        </w:tc>
        <w:tc>
          <w:tcPr>
            <w:tcW w:w="1228" w:type="dxa"/>
            <w:tcBorders>
              <w:top w:val="single" w:sz="4" w:space="0" w:color="auto"/>
              <w:bottom w:val="single" w:sz="4" w:space="0" w:color="auto"/>
            </w:tcBorders>
            <w:shd w:val="clear" w:color="auto" w:fill="auto"/>
            <w:noWrap/>
            <w:vAlign w:val="center"/>
            <w:hideMark/>
          </w:tcPr>
          <w:p w:rsidR="00A57CC1" w:rsidRPr="00A57CC1" w:rsidRDefault="008F6928"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u</w:t>
            </w:r>
            <w:r w:rsidR="00A16379" w:rsidRPr="00A57CC1">
              <w:rPr>
                <w:rFonts w:eastAsia="Times New Roman"/>
                <w:b/>
                <w:bCs/>
                <w:color w:val="000000"/>
                <w:lang w:val="en-GB" w:eastAsia="en-GB"/>
              </w:rPr>
              <w:t>nknown</w:t>
            </w:r>
          </w:p>
          <w:p w:rsidR="00361913" w:rsidRPr="00A57CC1" w:rsidRDefault="00A16379" w:rsidP="0049085E">
            <w:pPr>
              <w:spacing w:before="0" w:line="240" w:lineRule="auto"/>
              <w:jc w:val="center"/>
              <w:rPr>
                <w:rFonts w:eastAsia="Times New Roman"/>
                <w:b/>
                <w:bCs/>
                <w:color w:val="000000"/>
                <w:lang w:val="en-GB" w:eastAsia="en-GB"/>
              </w:rPr>
            </w:pPr>
            <w:r w:rsidRPr="00A57CC1">
              <w:rPr>
                <w:rFonts w:eastAsia="Times New Roman"/>
                <w:b/>
                <w:bCs/>
                <w:color w:val="000000"/>
                <w:lang w:val="en-GB" w:eastAsia="en-GB"/>
              </w:rPr>
              <w:t xml:space="preserve"> #</w:t>
            </w:r>
          </w:p>
        </w:tc>
        <w:tc>
          <w:tcPr>
            <w:tcW w:w="845" w:type="dxa"/>
            <w:tcBorders>
              <w:top w:val="single" w:sz="4" w:space="0" w:color="auto"/>
              <w:bottom w:val="single" w:sz="4" w:space="0" w:color="auto"/>
            </w:tcBorders>
            <w:shd w:val="clear" w:color="auto" w:fill="auto"/>
            <w:noWrap/>
            <w:vAlign w:val="center"/>
            <w:hideMark/>
          </w:tcPr>
          <w:p w:rsidR="00A57CC1" w:rsidRPr="00A57CC1" w:rsidRDefault="008F6928"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u</w:t>
            </w:r>
            <w:r w:rsidR="00A57CC1" w:rsidRPr="00A57CC1">
              <w:rPr>
                <w:rFonts w:eastAsia="Times New Roman"/>
                <w:b/>
                <w:bCs/>
                <w:color w:val="000000"/>
                <w:lang w:val="en-GB" w:eastAsia="en-GB"/>
              </w:rPr>
              <w:t>nknown</w:t>
            </w:r>
          </w:p>
          <w:p w:rsidR="00361913" w:rsidRPr="00A57CC1" w:rsidRDefault="00361913" w:rsidP="0049085E">
            <w:pPr>
              <w:spacing w:before="0" w:line="240" w:lineRule="auto"/>
              <w:jc w:val="center"/>
              <w:rPr>
                <w:rFonts w:eastAsia="Times New Roman"/>
                <w:b/>
                <w:bCs/>
                <w:color w:val="000000"/>
                <w:lang w:val="en-GB" w:eastAsia="en-GB"/>
              </w:rPr>
            </w:pPr>
            <w:r w:rsidRPr="00A57CC1">
              <w:rPr>
                <w:rFonts w:eastAsia="Times New Roman"/>
                <w:b/>
                <w:bCs/>
                <w:color w:val="000000"/>
                <w:lang w:val="en-GB" w:eastAsia="en-GB"/>
              </w:rPr>
              <w:t>%</w:t>
            </w:r>
          </w:p>
        </w:tc>
      </w:tr>
      <w:tr w:rsidR="002E0D3D" w:rsidRPr="00A57CC1" w:rsidTr="008F6928">
        <w:trPr>
          <w:trHeight w:val="307"/>
          <w:jc w:val="center"/>
        </w:trPr>
        <w:tc>
          <w:tcPr>
            <w:tcW w:w="2596" w:type="dxa"/>
            <w:tcBorders>
              <w:top w:val="single" w:sz="4" w:space="0" w:color="auto"/>
            </w:tcBorders>
            <w:shd w:val="clear" w:color="auto" w:fill="auto"/>
            <w:noWrap/>
            <w:vAlign w:val="center"/>
            <w:hideMark/>
          </w:tcPr>
          <w:p w:rsidR="00361913" w:rsidRPr="00A57CC1" w:rsidRDefault="00361913" w:rsidP="00A57CC1">
            <w:pPr>
              <w:spacing w:before="0" w:line="240" w:lineRule="auto"/>
              <w:jc w:val="left"/>
              <w:rPr>
                <w:rFonts w:eastAsia="Times New Roman"/>
                <w:i/>
                <w:iCs/>
                <w:color w:val="000000"/>
                <w:lang w:val="en-GB" w:eastAsia="en-GB"/>
              </w:rPr>
            </w:pPr>
            <w:r w:rsidRPr="00A57CC1">
              <w:rPr>
                <w:rFonts w:eastAsia="Times New Roman"/>
                <w:i/>
                <w:iCs/>
                <w:color w:val="000000"/>
                <w:lang w:val="en-GB" w:eastAsia="en-GB"/>
              </w:rPr>
              <w:t>P. paniscus</w:t>
            </w:r>
          </w:p>
        </w:tc>
        <w:tc>
          <w:tcPr>
            <w:tcW w:w="839" w:type="dxa"/>
            <w:tcBorders>
              <w:top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37</w:t>
            </w:r>
          </w:p>
        </w:tc>
        <w:tc>
          <w:tcPr>
            <w:tcW w:w="750" w:type="dxa"/>
            <w:tcBorders>
              <w:top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17</w:t>
            </w:r>
          </w:p>
        </w:tc>
        <w:tc>
          <w:tcPr>
            <w:tcW w:w="938" w:type="dxa"/>
            <w:tcBorders>
              <w:top w:val="single" w:sz="4" w:space="0" w:color="auto"/>
            </w:tcBorders>
            <w:shd w:val="clear" w:color="auto" w:fill="auto"/>
            <w:noWrap/>
            <w:vAlign w:val="center"/>
            <w:hideMark/>
          </w:tcPr>
          <w:p w:rsidR="00361913" w:rsidRPr="00A57CC1" w:rsidRDefault="007B5E3F" w:rsidP="007B5E3F">
            <w:pPr>
              <w:spacing w:before="0" w:line="240" w:lineRule="auto"/>
              <w:jc w:val="center"/>
              <w:rPr>
                <w:rFonts w:eastAsia="Times New Roman"/>
                <w:color w:val="000000"/>
                <w:lang w:val="en-GB" w:eastAsia="en-GB"/>
              </w:rPr>
            </w:pPr>
            <w:r>
              <w:rPr>
                <w:rFonts w:eastAsia="Times New Roman"/>
                <w:color w:val="000000"/>
                <w:lang w:val="en-GB" w:eastAsia="en-GB"/>
              </w:rPr>
              <w:t>46.0</w:t>
            </w:r>
          </w:p>
        </w:tc>
        <w:tc>
          <w:tcPr>
            <w:tcW w:w="938" w:type="dxa"/>
            <w:tcBorders>
              <w:top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13</w:t>
            </w:r>
          </w:p>
        </w:tc>
        <w:tc>
          <w:tcPr>
            <w:tcW w:w="1097" w:type="dxa"/>
            <w:tcBorders>
              <w:top w:val="single" w:sz="4" w:space="0" w:color="auto"/>
            </w:tcBorders>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35</w:t>
            </w:r>
          </w:p>
        </w:tc>
        <w:tc>
          <w:tcPr>
            <w:tcW w:w="1228" w:type="dxa"/>
            <w:tcBorders>
              <w:top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7</w:t>
            </w:r>
          </w:p>
        </w:tc>
        <w:tc>
          <w:tcPr>
            <w:tcW w:w="845" w:type="dxa"/>
            <w:tcBorders>
              <w:top w:val="single" w:sz="4" w:space="0" w:color="auto"/>
            </w:tcBorders>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19</w:t>
            </w:r>
          </w:p>
        </w:tc>
      </w:tr>
      <w:tr w:rsidR="002E0D3D" w:rsidRPr="00A57CC1" w:rsidTr="008F6928">
        <w:trPr>
          <w:trHeight w:val="307"/>
          <w:jc w:val="center"/>
        </w:trPr>
        <w:tc>
          <w:tcPr>
            <w:tcW w:w="2596" w:type="dxa"/>
            <w:shd w:val="clear" w:color="auto" w:fill="auto"/>
            <w:noWrap/>
            <w:vAlign w:val="center"/>
            <w:hideMark/>
          </w:tcPr>
          <w:p w:rsidR="00361913" w:rsidRPr="00A57CC1" w:rsidRDefault="00361913" w:rsidP="00A57CC1">
            <w:pPr>
              <w:spacing w:before="0" w:line="240" w:lineRule="auto"/>
              <w:jc w:val="left"/>
              <w:rPr>
                <w:rFonts w:eastAsia="Times New Roman"/>
                <w:i/>
                <w:iCs/>
                <w:color w:val="000000"/>
                <w:lang w:val="en-GB" w:eastAsia="en-GB"/>
              </w:rPr>
            </w:pPr>
            <w:r w:rsidRPr="00A57CC1">
              <w:rPr>
                <w:rFonts w:eastAsia="Times New Roman"/>
                <w:i/>
                <w:iCs/>
                <w:color w:val="000000"/>
                <w:lang w:val="en-GB" w:eastAsia="en-GB"/>
              </w:rPr>
              <w:t>P. troglodytes</w:t>
            </w:r>
          </w:p>
        </w:tc>
        <w:tc>
          <w:tcPr>
            <w:tcW w:w="839"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54</w:t>
            </w:r>
          </w:p>
        </w:tc>
        <w:tc>
          <w:tcPr>
            <w:tcW w:w="750"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19</w:t>
            </w:r>
          </w:p>
        </w:tc>
        <w:tc>
          <w:tcPr>
            <w:tcW w:w="938" w:type="dxa"/>
            <w:shd w:val="clear" w:color="auto" w:fill="auto"/>
            <w:noWrap/>
            <w:vAlign w:val="center"/>
            <w:hideMark/>
          </w:tcPr>
          <w:p w:rsidR="00361913" w:rsidRPr="00A57CC1" w:rsidRDefault="007B5E3F" w:rsidP="007B5E3F">
            <w:pPr>
              <w:spacing w:before="0" w:line="240" w:lineRule="auto"/>
              <w:jc w:val="center"/>
              <w:rPr>
                <w:rFonts w:eastAsia="Times New Roman"/>
                <w:color w:val="000000"/>
                <w:lang w:val="en-GB" w:eastAsia="en-GB"/>
              </w:rPr>
            </w:pPr>
            <w:r>
              <w:rPr>
                <w:rFonts w:eastAsia="Times New Roman"/>
                <w:color w:val="000000"/>
                <w:lang w:val="en-GB" w:eastAsia="en-GB"/>
              </w:rPr>
              <w:t>35</w:t>
            </w:r>
          </w:p>
        </w:tc>
        <w:tc>
          <w:tcPr>
            <w:tcW w:w="93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27</w:t>
            </w:r>
          </w:p>
        </w:tc>
        <w:tc>
          <w:tcPr>
            <w:tcW w:w="1097"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50</w:t>
            </w:r>
          </w:p>
        </w:tc>
        <w:tc>
          <w:tcPr>
            <w:tcW w:w="122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7</w:t>
            </w:r>
          </w:p>
        </w:tc>
        <w:tc>
          <w:tcPr>
            <w:tcW w:w="845" w:type="dxa"/>
            <w:shd w:val="clear" w:color="auto" w:fill="auto"/>
            <w:noWrap/>
            <w:vAlign w:val="center"/>
            <w:hideMark/>
          </w:tcPr>
          <w:p w:rsidR="00361913" w:rsidRPr="00A57CC1" w:rsidRDefault="00361913" w:rsidP="007B5E3F">
            <w:pPr>
              <w:spacing w:before="0" w:line="240" w:lineRule="auto"/>
              <w:jc w:val="center"/>
              <w:rPr>
                <w:rFonts w:eastAsia="Times New Roman"/>
                <w:color w:val="000000"/>
                <w:lang w:val="en-GB" w:eastAsia="en-GB"/>
              </w:rPr>
            </w:pPr>
            <w:r w:rsidRPr="00A57CC1">
              <w:rPr>
                <w:rFonts w:eastAsia="Times New Roman"/>
                <w:color w:val="000000"/>
                <w:lang w:val="en-GB" w:eastAsia="en-GB"/>
              </w:rPr>
              <w:t>1</w:t>
            </w:r>
            <w:r w:rsidR="007B5E3F">
              <w:rPr>
                <w:rFonts w:eastAsia="Times New Roman"/>
                <w:color w:val="000000"/>
                <w:lang w:val="en-GB" w:eastAsia="en-GB"/>
              </w:rPr>
              <w:t>3</w:t>
            </w:r>
          </w:p>
        </w:tc>
      </w:tr>
      <w:tr w:rsidR="002E0D3D" w:rsidRPr="00A57CC1" w:rsidTr="008F6928">
        <w:trPr>
          <w:trHeight w:val="307"/>
          <w:jc w:val="center"/>
        </w:trPr>
        <w:tc>
          <w:tcPr>
            <w:tcW w:w="2596" w:type="dxa"/>
            <w:shd w:val="clear" w:color="auto" w:fill="auto"/>
            <w:noWrap/>
            <w:vAlign w:val="center"/>
            <w:hideMark/>
          </w:tcPr>
          <w:p w:rsidR="00361913" w:rsidRPr="00A57CC1" w:rsidRDefault="00361913" w:rsidP="00A57CC1">
            <w:pPr>
              <w:spacing w:before="0" w:line="240" w:lineRule="auto"/>
              <w:jc w:val="left"/>
              <w:rPr>
                <w:rFonts w:eastAsia="Times New Roman"/>
                <w:i/>
                <w:iCs/>
                <w:color w:val="000000"/>
                <w:lang w:val="en-GB" w:eastAsia="en-GB"/>
              </w:rPr>
            </w:pPr>
            <w:r w:rsidRPr="00A57CC1">
              <w:rPr>
                <w:rFonts w:eastAsia="Times New Roman"/>
                <w:i/>
                <w:iCs/>
                <w:color w:val="000000"/>
                <w:lang w:val="en-GB" w:eastAsia="en-GB"/>
              </w:rPr>
              <w:t>P. troglodytes schweinfurthii</w:t>
            </w:r>
          </w:p>
        </w:tc>
        <w:tc>
          <w:tcPr>
            <w:tcW w:w="839"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47</w:t>
            </w:r>
          </w:p>
        </w:tc>
        <w:tc>
          <w:tcPr>
            <w:tcW w:w="750"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15</w:t>
            </w:r>
          </w:p>
        </w:tc>
        <w:tc>
          <w:tcPr>
            <w:tcW w:w="938" w:type="dxa"/>
            <w:shd w:val="clear" w:color="auto" w:fill="auto"/>
            <w:noWrap/>
            <w:vAlign w:val="center"/>
            <w:hideMark/>
          </w:tcPr>
          <w:p w:rsidR="00361913" w:rsidRPr="00A57CC1" w:rsidRDefault="007B5E3F" w:rsidP="007B5E3F">
            <w:pPr>
              <w:spacing w:before="0" w:line="240" w:lineRule="auto"/>
              <w:jc w:val="center"/>
              <w:rPr>
                <w:rFonts w:eastAsia="Times New Roman"/>
                <w:color w:val="000000"/>
                <w:lang w:val="en-GB" w:eastAsia="en-GB"/>
              </w:rPr>
            </w:pPr>
            <w:r>
              <w:rPr>
                <w:rFonts w:eastAsia="Times New Roman"/>
                <w:color w:val="000000"/>
                <w:lang w:val="en-GB" w:eastAsia="en-GB"/>
              </w:rPr>
              <w:t>31</w:t>
            </w:r>
          </w:p>
        </w:tc>
        <w:tc>
          <w:tcPr>
            <w:tcW w:w="93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17</w:t>
            </w:r>
          </w:p>
        </w:tc>
        <w:tc>
          <w:tcPr>
            <w:tcW w:w="1097"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36</w:t>
            </w:r>
          </w:p>
        </w:tc>
        <w:tc>
          <w:tcPr>
            <w:tcW w:w="122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15</w:t>
            </w:r>
          </w:p>
        </w:tc>
        <w:tc>
          <w:tcPr>
            <w:tcW w:w="845"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32</w:t>
            </w:r>
          </w:p>
        </w:tc>
      </w:tr>
      <w:tr w:rsidR="002E0D3D" w:rsidRPr="00A57CC1" w:rsidTr="008F6928">
        <w:trPr>
          <w:trHeight w:val="307"/>
          <w:jc w:val="center"/>
        </w:trPr>
        <w:tc>
          <w:tcPr>
            <w:tcW w:w="2596" w:type="dxa"/>
            <w:shd w:val="clear" w:color="auto" w:fill="auto"/>
            <w:noWrap/>
            <w:vAlign w:val="center"/>
            <w:hideMark/>
          </w:tcPr>
          <w:p w:rsidR="00361913" w:rsidRPr="00A57CC1" w:rsidRDefault="00361913" w:rsidP="00A57CC1">
            <w:pPr>
              <w:spacing w:before="0" w:line="240" w:lineRule="auto"/>
              <w:jc w:val="left"/>
              <w:rPr>
                <w:rFonts w:eastAsia="Times New Roman"/>
                <w:i/>
                <w:iCs/>
                <w:color w:val="000000"/>
                <w:lang w:val="en-GB" w:eastAsia="en-GB"/>
              </w:rPr>
            </w:pPr>
            <w:r w:rsidRPr="00A57CC1">
              <w:rPr>
                <w:rFonts w:eastAsia="Times New Roman"/>
                <w:i/>
                <w:iCs/>
                <w:color w:val="000000"/>
                <w:lang w:val="en-GB" w:eastAsia="en-GB"/>
              </w:rPr>
              <w:t>P. troglodytes troglodytes</w:t>
            </w:r>
          </w:p>
        </w:tc>
        <w:tc>
          <w:tcPr>
            <w:tcW w:w="839"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74</w:t>
            </w:r>
          </w:p>
        </w:tc>
        <w:tc>
          <w:tcPr>
            <w:tcW w:w="750"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29</w:t>
            </w:r>
          </w:p>
        </w:tc>
        <w:tc>
          <w:tcPr>
            <w:tcW w:w="93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3</w:t>
            </w:r>
            <w:r w:rsidR="007B5E3F">
              <w:rPr>
                <w:rFonts w:eastAsia="Times New Roman"/>
                <w:color w:val="000000"/>
                <w:lang w:val="en-GB" w:eastAsia="en-GB"/>
              </w:rPr>
              <w:t>9</w:t>
            </w:r>
          </w:p>
        </w:tc>
        <w:tc>
          <w:tcPr>
            <w:tcW w:w="93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45</w:t>
            </w:r>
          </w:p>
        </w:tc>
        <w:tc>
          <w:tcPr>
            <w:tcW w:w="1097"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61</w:t>
            </w:r>
          </w:p>
        </w:tc>
        <w:tc>
          <w:tcPr>
            <w:tcW w:w="122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0</w:t>
            </w:r>
          </w:p>
        </w:tc>
        <w:tc>
          <w:tcPr>
            <w:tcW w:w="845"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0</w:t>
            </w:r>
          </w:p>
        </w:tc>
      </w:tr>
      <w:tr w:rsidR="002E0D3D" w:rsidRPr="00A57CC1" w:rsidTr="008F6928">
        <w:trPr>
          <w:trHeight w:val="307"/>
          <w:jc w:val="center"/>
        </w:trPr>
        <w:tc>
          <w:tcPr>
            <w:tcW w:w="2596" w:type="dxa"/>
            <w:shd w:val="clear" w:color="auto" w:fill="auto"/>
            <w:noWrap/>
            <w:vAlign w:val="bottom"/>
            <w:hideMark/>
          </w:tcPr>
          <w:p w:rsidR="00361913" w:rsidRPr="00A57CC1" w:rsidRDefault="00361913" w:rsidP="00A57CC1">
            <w:pPr>
              <w:spacing w:before="0" w:line="240" w:lineRule="auto"/>
              <w:jc w:val="left"/>
              <w:rPr>
                <w:rFonts w:eastAsia="Times New Roman"/>
                <w:i/>
                <w:iCs/>
                <w:color w:val="000000"/>
                <w:lang w:val="en-GB" w:eastAsia="en-GB"/>
              </w:rPr>
            </w:pPr>
            <w:r w:rsidRPr="00A57CC1">
              <w:rPr>
                <w:rFonts w:eastAsia="Times New Roman"/>
                <w:i/>
                <w:iCs/>
                <w:color w:val="000000"/>
                <w:lang w:val="en-GB" w:eastAsia="en-GB"/>
              </w:rPr>
              <w:t>P. troglodytes verus</w:t>
            </w:r>
          </w:p>
        </w:tc>
        <w:tc>
          <w:tcPr>
            <w:tcW w:w="839"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2</w:t>
            </w:r>
          </w:p>
        </w:tc>
        <w:tc>
          <w:tcPr>
            <w:tcW w:w="750"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0</w:t>
            </w:r>
          </w:p>
        </w:tc>
        <w:tc>
          <w:tcPr>
            <w:tcW w:w="938"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0</w:t>
            </w:r>
          </w:p>
        </w:tc>
        <w:tc>
          <w:tcPr>
            <w:tcW w:w="93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2</w:t>
            </w:r>
          </w:p>
        </w:tc>
        <w:tc>
          <w:tcPr>
            <w:tcW w:w="1097"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100</w:t>
            </w:r>
          </w:p>
        </w:tc>
        <w:tc>
          <w:tcPr>
            <w:tcW w:w="122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0</w:t>
            </w:r>
          </w:p>
        </w:tc>
        <w:tc>
          <w:tcPr>
            <w:tcW w:w="845"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0</w:t>
            </w:r>
          </w:p>
        </w:tc>
      </w:tr>
      <w:tr w:rsidR="002E0D3D" w:rsidRPr="00A57CC1" w:rsidTr="008F6928">
        <w:trPr>
          <w:trHeight w:val="307"/>
          <w:jc w:val="center"/>
        </w:trPr>
        <w:tc>
          <w:tcPr>
            <w:tcW w:w="2596" w:type="dxa"/>
            <w:shd w:val="clear" w:color="auto" w:fill="auto"/>
            <w:noWrap/>
            <w:vAlign w:val="bottom"/>
            <w:hideMark/>
          </w:tcPr>
          <w:p w:rsidR="00361913" w:rsidRPr="00A57CC1" w:rsidRDefault="00361913" w:rsidP="00A57CC1">
            <w:pPr>
              <w:spacing w:before="0" w:line="240" w:lineRule="auto"/>
              <w:jc w:val="left"/>
              <w:rPr>
                <w:rFonts w:eastAsia="Times New Roman"/>
                <w:i/>
                <w:iCs/>
                <w:color w:val="000000"/>
                <w:lang w:val="en-GB" w:eastAsia="en-GB"/>
              </w:rPr>
            </w:pPr>
            <w:r w:rsidRPr="00A57CC1">
              <w:rPr>
                <w:rFonts w:eastAsia="Times New Roman"/>
                <w:i/>
                <w:iCs/>
                <w:color w:val="000000"/>
                <w:lang w:val="en-GB" w:eastAsia="en-GB"/>
              </w:rPr>
              <w:t>P. troglodytes vellerosus</w:t>
            </w:r>
          </w:p>
        </w:tc>
        <w:tc>
          <w:tcPr>
            <w:tcW w:w="839"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w:t>
            </w:r>
          </w:p>
        </w:tc>
        <w:tc>
          <w:tcPr>
            <w:tcW w:w="750"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w:t>
            </w:r>
          </w:p>
        </w:tc>
        <w:tc>
          <w:tcPr>
            <w:tcW w:w="93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100</w:t>
            </w:r>
          </w:p>
        </w:tc>
        <w:tc>
          <w:tcPr>
            <w:tcW w:w="93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0</w:t>
            </w:r>
          </w:p>
        </w:tc>
        <w:tc>
          <w:tcPr>
            <w:tcW w:w="1097"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0</w:t>
            </w:r>
          </w:p>
        </w:tc>
        <w:tc>
          <w:tcPr>
            <w:tcW w:w="1228" w:type="dxa"/>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0</w:t>
            </w:r>
          </w:p>
        </w:tc>
        <w:tc>
          <w:tcPr>
            <w:tcW w:w="845" w:type="dxa"/>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0</w:t>
            </w:r>
          </w:p>
        </w:tc>
      </w:tr>
      <w:tr w:rsidR="002E0D3D" w:rsidRPr="00A57CC1" w:rsidTr="008F6928">
        <w:trPr>
          <w:trHeight w:val="307"/>
          <w:jc w:val="center"/>
        </w:trPr>
        <w:tc>
          <w:tcPr>
            <w:tcW w:w="2596" w:type="dxa"/>
            <w:tcBorders>
              <w:bottom w:val="single" w:sz="4" w:space="0" w:color="auto"/>
            </w:tcBorders>
            <w:shd w:val="clear" w:color="auto" w:fill="auto"/>
            <w:noWrap/>
            <w:vAlign w:val="center"/>
            <w:hideMark/>
          </w:tcPr>
          <w:p w:rsidR="00361913" w:rsidRPr="00A57CC1" w:rsidRDefault="00361913" w:rsidP="00A57CC1">
            <w:pPr>
              <w:spacing w:before="0" w:line="240" w:lineRule="auto"/>
              <w:jc w:val="left"/>
              <w:rPr>
                <w:rFonts w:eastAsia="Times New Roman"/>
                <w:i/>
                <w:iCs/>
                <w:color w:val="000000"/>
                <w:lang w:val="en-GB" w:eastAsia="en-GB"/>
              </w:rPr>
            </w:pPr>
            <w:r w:rsidRPr="00A57CC1">
              <w:rPr>
                <w:rFonts w:eastAsia="Times New Roman"/>
                <w:i/>
                <w:iCs/>
                <w:color w:val="000000"/>
                <w:lang w:val="en-GB" w:eastAsia="en-GB"/>
              </w:rPr>
              <w:t xml:space="preserve">Pan species </w:t>
            </w:r>
            <w:r w:rsidRPr="00A57CC1">
              <w:rPr>
                <w:rFonts w:eastAsia="Times New Roman"/>
                <w:color w:val="000000"/>
                <w:lang w:val="en-GB" w:eastAsia="en-GB"/>
              </w:rPr>
              <w:t>(unspecified)</w:t>
            </w:r>
          </w:p>
        </w:tc>
        <w:tc>
          <w:tcPr>
            <w:tcW w:w="839" w:type="dxa"/>
            <w:tcBorders>
              <w:bottom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5</w:t>
            </w:r>
          </w:p>
        </w:tc>
        <w:tc>
          <w:tcPr>
            <w:tcW w:w="750" w:type="dxa"/>
            <w:tcBorders>
              <w:bottom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0</w:t>
            </w:r>
          </w:p>
        </w:tc>
        <w:tc>
          <w:tcPr>
            <w:tcW w:w="938" w:type="dxa"/>
            <w:tcBorders>
              <w:bottom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0</w:t>
            </w:r>
          </w:p>
        </w:tc>
        <w:tc>
          <w:tcPr>
            <w:tcW w:w="938" w:type="dxa"/>
            <w:tcBorders>
              <w:bottom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0</w:t>
            </w:r>
          </w:p>
        </w:tc>
        <w:tc>
          <w:tcPr>
            <w:tcW w:w="1097" w:type="dxa"/>
            <w:tcBorders>
              <w:bottom w:val="single" w:sz="4" w:space="0" w:color="auto"/>
            </w:tcBorders>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0</w:t>
            </w:r>
          </w:p>
        </w:tc>
        <w:tc>
          <w:tcPr>
            <w:tcW w:w="1228" w:type="dxa"/>
            <w:tcBorders>
              <w:bottom w:val="single" w:sz="4" w:space="0" w:color="auto"/>
            </w:tcBorders>
            <w:shd w:val="clear" w:color="auto" w:fill="auto"/>
            <w:noWrap/>
            <w:vAlign w:val="center"/>
            <w:hideMark/>
          </w:tcPr>
          <w:p w:rsidR="00361913" w:rsidRPr="00A57CC1" w:rsidRDefault="00361913" w:rsidP="0049085E">
            <w:pPr>
              <w:spacing w:before="0" w:line="240" w:lineRule="auto"/>
              <w:jc w:val="center"/>
              <w:rPr>
                <w:rFonts w:eastAsia="Times New Roman"/>
                <w:color w:val="000000"/>
                <w:lang w:val="en-GB" w:eastAsia="en-GB"/>
              </w:rPr>
            </w:pPr>
            <w:r w:rsidRPr="00A57CC1">
              <w:rPr>
                <w:rFonts w:eastAsia="Times New Roman"/>
                <w:color w:val="000000"/>
                <w:lang w:val="en-GB" w:eastAsia="en-GB"/>
              </w:rPr>
              <w:t>5</w:t>
            </w:r>
          </w:p>
        </w:tc>
        <w:tc>
          <w:tcPr>
            <w:tcW w:w="845" w:type="dxa"/>
            <w:tcBorders>
              <w:bottom w:val="single" w:sz="4" w:space="0" w:color="auto"/>
            </w:tcBorders>
            <w:shd w:val="clear" w:color="auto" w:fill="auto"/>
            <w:noWrap/>
            <w:vAlign w:val="center"/>
            <w:hideMark/>
          </w:tcPr>
          <w:p w:rsidR="00361913" w:rsidRPr="00A57CC1" w:rsidRDefault="007B5E3F" w:rsidP="0049085E">
            <w:pPr>
              <w:spacing w:before="0" w:line="240" w:lineRule="auto"/>
              <w:jc w:val="center"/>
              <w:rPr>
                <w:rFonts w:eastAsia="Times New Roman"/>
                <w:color w:val="000000"/>
                <w:lang w:val="en-GB" w:eastAsia="en-GB"/>
              </w:rPr>
            </w:pPr>
            <w:r>
              <w:rPr>
                <w:rFonts w:eastAsia="Times New Roman"/>
                <w:color w:val="000000"/>
                <w:lang w:val="en-GB" w:eastAsia="en-GB"/>
              </w:rPr>
              <w:t>100</w:t>
            </w:r>
          </w:p>
        </w:tc>
      </w:tr>
      <w:tr w:rsidR="002E0D3D" w:rsidRPr="00A57CC1" w:rsidTr="008F6928">
        <w:trPr>
          <w:trHeight w:val="307"/>
          <w:jc w:val="center"/>
        </w:trPr>
        <w:tc>
          <w:tcPr>
            <w:tcW w:w="2596" w:type="dxa"/>
            <w:tcBorders>
              <w:top w:val="single" w:sz="4" w:space="0" w:color="auto"/>
              <w:bottom w:val="single" w:sz="4" w:space="0" w:color="auto"/>
            </w:tcBorders>
            <w:shd w:val="clear" w:color="auto" w:fill="auto"/>
            <w:noWrap/>
            <w:vAlign w:val="center"/>
            <w:hideMark/>
          </w:tcPr>
          <w:p w:rsidR="00361913" w:rsidRPr="008F6928" w:rsidRDefault="001646F4" w:rsidP="00A57CC1">
            <w:pPr>
              <w:spacing w:before="0" w:line="240" w:lineRule="auto"/>
              <w:jc w:val="left"/>
              <w:rPr>
                <w:rFonts w:eastAsia="Times New Roman"/>
                <w:color w:val="000000"/>
                <w:lang w:val="en-GB" w:eastAsia="en-GB"/>
              </w:rPr>
            </w:pPr>
            <w:r w:rsidRPr="008F6928">
              <w:rPr>
                <w:rFonts w:eastAsia="Times New Roman"/>
                <w:color w:val="000000"/>
                <w:lang w:val="en-GB" w:eastAsia="en-GB"/>
              </w:rPr>
              <w:t>t</w:t>
            </w:r>
            <w:r w:rsidR="00361913" w:rsidRPr="008F6928">
              <w:rPr>
                <w:rFonts w:eastAsia="Times New Roman"/>
                <w:color w:val="000000"/>
                <w:lang w:val="en-GB" w:eastAsia="en-GB"/>
              </w:rPr>
              <w:t>otal</w:t>
            </w:r>
          </w:p>
        </w:tc>
        <w:tc>
          <w:tcPr>
            <w:tcW w:w="839" w:type="dxa"/>
            <w:tcBorders>
              <w:top w:val="single" w:sz="4" w:space="0" w:color="auto"/>
              <w:bottom w:val="single" w:sz="4" w:space="0" w:color="auto"/>
            </w:tcBorders>
            <w:shd w:val="clear" w:color="auto" w:fill="auto"/>
            <w:noWrap/>
            <w:vAlign w:val="center"/>
            <w:hideMark/>
          </w:tcPr>
          <w:p w:rsidR="00361913" w:rsidRPr="008F6928" w:rsidRDefault="00361913" w:rsidP="0049085E">
            <w:pPr>
              <w:spacing w:before="0" w:line="240" w:lineRule="auto"/>
              <w:jc w:val="center"/>
              <w:rPr>
                <w:rFonts w:eastAsia="Times New Roman"/>
                <w:bCs/>
                <w:color w:val="000000"/>
                <w:lang w:val="en-GB" w:eastAsia="en-GB"/>
              </w:rPr>
            </w:pPr>
            <w:r w:rsidRPr="008F6928">
              <w:rPr>
                <w:rFonts w:eastAsia="Times New Roman"/>
                <w:bCs/>
                <w:color w:val="000000"/>
                <w:lang w:val="en-GB" w:eastAsia="en-GB"/>
              </w:rPr>
              <w:t>219</w:t>
            </w:r>
          </w:p>
        </w:tc>
        <w:tc>
          <w:tcPr>
            <w:tcW w:w="750" w:type="dxa"/>
            <w:tcBorders>
              <w:top w:val="single" w:sz="4" w:space="0" w:color="auto"/>
              <w:bottom w:val="single" w:sz="4" w:space="0" w:color="auto"/>
            </w:tcBorders>
            <w:shd w:val="clear" w:color="auto" w:fill="auto"/>
            <w:noWrap/>
            <w:vAlign w:val="center"/>
            <w:hideMark/>
          </w:tcPr>
          <w:p w:rsidR="00361913" w:rsidRPr="008F6928" w:rsidRDefault="00361913" w:rsidP="0049085E">
            <w:pPr>
              <w:spacing w:before="0" w:line="240" w:lineRule="auto"/>
              <w:jc w:val="center"/>
              <w:rPr>
                <w:rFonts w:eastAsia="Times New Roman"/>
                <w:bCs/>
                <w:color w:val="000000"/>
                <w:lang w:val="en-GB" w:eastAsia="en-GB"/>
              </w:rPr>
            </w:pPr>
            <w:r w:rsidRPr="008F6928">
              <w:rPr>
                <w:rFonts w:eastAsia="Times New Roman"/>
                <w:bCs/>
                <w:color w:val="000000"/>
                <w:lang w:val="en-GB" w:eastAsia="en-GB"/>
              </w:rPr>
              <w:t>81</w:t>
            </w:r>
          </w:p>
        </w:tc>
        <w:tc>
          <w:tcPr>
            <w:tcW w:w="938" w:type="dxa"/>
            <w:tcBorders>
              <w:top w:val="single" w:sz="4" w:space="0" w:color="auto"/>
              <w:bottom w:val="single" w:sz="4" w:space="0" w:color="auto"/>
            </w:tcBorders>
            <w:shd w:val="clear" w:color="auto" w:fill="auto"/>
            <w:noWrap/>
            <w:vAlign w:val="center"/>
            <w:hideMark/>
          </w:tcPr>
          <w:p w:rsidR="00361913" w:rsidRPr="008F6928" w:rsidRDefault="00361913" w:rsidP="0049085E">
            <w:pPr>
              <w:spacing w:before="0" w:line="240" w:lineRule="auto"/>
              <w:jc w:val="center"/>
              <w:rPr>
                <w:rFonts w:eastAsia="Times New Roman"/>
                <w:bCs/>
                <w:color w:val="000000"/>
                <w:lang w:val="en-GB" w:eastAsia="en-GB"/>
              </w:rPr>
            </w:pPr>
            <w:r w:rsidRPr="008F6928">
              <w:rPr>
                <w:rFonts w:eastAsia="Times New Roman"/>
                <w:bCs/>
                <w:color w:val="000000"/>
                <w:lang w:val="en-GB" w:eastAsia="en-GB"/>
              </w:rPr>
              <w:t>36.99</w:t>
            </w:r>
          </w:p>
        </w:tc>
        <w:tc>
          <w:tcPr>
            <w:tcW w:w="938" w:type="dxa"/>
            <w:tcBorders>
              <w:top w:val="single" w:sz="4" w:space="0" w:color="auto"/>
              <w:bottom w:val="single" w:sz="4" w:space="0" w:color="auto"/>
            </w:tcBorders>
            <w:shd w:val="clear" w:color="auto" w:fill="auto"/>
            <w:noWrap/>
            <w:vAlign w:val="center"/>
            <w:hideMark/>
          </w:tcPr>
          <w:p w:rsidR="00361913" w:rsidRPr="008F6928" w:rsidRDefault="00361913" w:rsidP="0049085E">
            <w:pPr>
              <w:spacing w:before="0" w:line="240" w:lineRule="auto"/>
              <w:jc w:val="center"/>
              <w:rPr>
                <w:rFonts w:eastAsia="Times New Roman"/>
                <w:bCs/>
                <w:color w:val="000000"/>
                <w:lang w:val="en-GB" w:eastAsia="en-GB"/>
              </w:rPr>
            </w:pPr>
            <w:r w:rsidRPr="008F6928">
              <w:rPr>
                <w:rFonts w:eastAsia="Times New Roman"/>
                <w:bCs/>
                <w:color w:val="000000"/>
                <w:lang w:val="en-GB" w:eastAsia="en-GB"/>
              </w:rPr>
              <w:t>104</w:t>
            </w:r>
          </w:p>
        </w:tc>
        <w:tc>
          <w:tcPr>
            <w:tcW w:w="1097" w:type="dxa"/>
            <w:tcBorders>
              <w:top w:val="single" w:sz="4" w:space="0" w:color="auto"/>
              <w:bottom w:val="single" w:sz="4" w:space="0" w:color="auto"/>
            </w:tcBorders>
            <w:shd w:val="clear" w:color="auto" w:fill="auto"/>
            <w:noWrap/>
            <w:vAlign w:val="center"/>
            <w:hideMark/>
          </w:tcPr>
          <w:p w:rsidR="00361913" w:rsidRPr="008F6928" w:rsidRDefault="00361913" w:rsidP="0049085E">
            <w:pPr>
              <w:spacing w:before="0" w:line="240" w:lineRule="auto"/>
              <w:jc w:val="center"/>
              <w:rPr>
                <w:rFonts w:eastAsia="Times New Roman"/>
                <w:bCs/>
                <w:color w:val="000000"/>
                <w:lang w:val="en-GB" w:eastAsia="en-GB"/>
              </w:rPr>
            </w:pPr>
            <w:r w:rsidRPr="008F6928">
              <w:rPr>
                <w:rFonts w:eastAsia="Times New Roman"/>
                <w:bCs/>
                <w:color w:val="000000"/>
                <w:lang w:val="en-GB" w:eastAsia="en-GB"/>
              </w:rPr>
              <w:t>47.49</w:t>
            </w:r>
          </w:p>
        </w:tc>
        <w:tc>
          <w:tcPr>
            <w:tcW w:w="1228" w:type="dxa"/>
            <w:tcBorders>
              <w:top w:val="single" w:sz="4" w:space="0" w:color="auto"/>
              <w:bottom w:val="single" w:sz="4" w:space="0" w:color="auto"/>
            </w:tcBorders>
            <w:shd w:val="clear" w:color="auto" w:fill="auto"/>
            <w:noWrap/>
            <w:vAlign w:val="center"/>
            <w:hideMark/>
          </w:tcPr>
          <w:p w:rsidR="00361913" w:rsidRPr="008F6928" w:rsidRDefault="00361913" w:rsidP="0049085E">
            <w:pPr>
              <w:spacing w:before="0" w:line="240" w:lineRule="auto"/>
              <w:jc w:val="center"/>
              <w:rPr>
                <w:rFonts w:eastAsia="Times New Roman"/>
                <w:bCs/>
                <w:color w:val="000000"/>
                <w:lang w:val="en-GB" w:eastAsia="en-GB"/>
              </w:rPr>
            </w:pPr>
            <w:r w:rsidRPr="008F6928">
              <w:rPr>
                <w:rFonts w:eastAsia="Times New Roman"/>
                <w:bCs/>
                <w:color w:val="000000"/>
                <w:lang w:val="en-GB" w:eastAsia="en-GB"/>
              </w:rPr>
              <w:t>34</w:t>
            </w:r>
          </w:p>
        </w:tc>
        <w:tc>
          <w:tcPr>
            <w:tcW w:w="845" w:type="dxa"/>
            <w:tcBorders>
              <w:top w:val="single" w:sz="4" w:space="0" w:color="auto"/>
              <w:bottom w:val="single" w:sz="4" w:space="0" w:color="auto"/>
            </w:tcBorders>
            <w:shd w:val="clear" w:color="auto" w:fill="auto"/>
            <w:noWrap/>
            <w:vAlign w:val="center"/>
            <w:hideMark/>
          </w:tcPr>
          <w:p w:rsidR="00361913" w:rsidRPr="008F6928" w:rsidRDefault="00361913" w:rsidP="0049085E">
            <w:pPr>
              <w:spacing w:before="0" w:line="240" w:lineRule="auto"/>
              <w:jc w:val="center"/>
              <w:rPr>
                <w:rFonts w:eastAsia="Times New Roman"/>
                <w:bCs/>
                <w:color w:val="000000"/>
                <w:lang w:val="en-GB" w:eastAsia="en-GB"/>
              </w:rPr>
            </w:pPr>
            <w:r w:rsidRPr="008F6928">
              <w:rPr>
                <w:rFonts w:eastAsia="Times New Roman"/>
                <w:bCs/>
                <w:color w:val="000000"/>
                <w:lang w:val="en-GB" w:eastAsia="en-GB"/>
              </w:rPr>
              <w:t>15.53</w:t>
            </w:r>
          </w:p>
        </w:tc>
      </w:tr>
    </w:tbl>
    <w:p w:rsidR="00C668D5" w:rsidRDefault="00361913" w:rsidP="0049085E">
      <w:pPr>
        <w:rPr>
          <w:noProof/>
        </w:rPr>
      </w:pPr>
      <w:r>
        <w:rPr>
          <w:noProof/>
        </w:rPr>
        <w:t xml:space="preserve">Table </w:t>
      </w:r>
      <w:r w:rsidRPr="00DD1728">
        <w:rPr>
          <w:noProof/>
        </w:rPr>
        <w:t>3.</w:t>
      </w:r>
      <w:r w:rsidR="00015C7B">
        <w:rPr>
          <w:noProof/>
        </w:rPr>
        <w:t>3</w:t>
      </w:r>
      <w:r w:rsidRPr="00DD1728">
        <w:rPr>
          <w:noProof/>
        </w:rPr>
        <w:t xml:space="preserve"> include</w:t>
      </w:r>
      <w:r>
        <w:rPr>
          <w:noProof/>
        </w:rPr>
        <w:t>s all individuals</w:t>
      </w:r>
      <w:r w:rsidRPr="00DD1728">
        <w:rPr>
          <w:noProof/>
        </w:rPr>
        <w:t xml:space="preserve"> </w:t>
      </w:r>
      <w:r>
        <w:rPr>
          <w:noProof/>
        </w:rPr>
        <w:t>(wild, captive, ambiguous and unreported)</w:t>
      </w:r>
      <w:r w:rsidRPr="00DD1728">
        <w:rPr>
          <w:noProof/>
        </w:rPr>
        <w:t xml:space="preserve">.  </w:t>
      </w:r>
      <w:r>
        <w:rPr>
          <w:noProof/>
        </w:rPr>
        <w:t xml:space="preserve">To ensure that there was no significant sex bias by captivity status, </w:t>
      </w:r>
      <w:r w:rsidR="00C668D5">
        <w:rPr>
          <w:noProof/>
        </w:rPr>
        <w:t xml:space="preserve">analysis of the data </w:t>
      </w:r>
      <w:r w:rsidR="00A17646">
        <w:rPr>
          <w:noProof/>
        </w:rPr>
        <w:t>T</w:t>
      </w:r>
      <w:r>
        <w:rPr>
          <w:noProof/>
        </w:rPr>
        <w:t>able 3.</w:t>
      </w:r>
      <w:r w:rsidR="00015C7B">
        <w:rPr>
          <w:noProof/>
        </w:rPr>
        <w:t>4</w:t>
      </w:r>
      <w:r>
        <w:rPr>
          <w:noProof/>
        </w:rPr>
        <w:t xml:space="preserve"> </w:t>
      </w:r>
      <w:r w:rsidR="00FF7C0E">
        <w:rPr>
          <w:noProof/>
        </w:rPr>
        <w:t>will be</w:t>
      </w:r>
      <w:r w:rsidR="00C668D5">
        <w:rPr>
          <w:noProof/>
        </w:rPr>
        <w:t xml:space="preserve"> considered.  These data </w:t>
      </w:r>
      <w:r>
        <w:rPr>
          <w:noProof/>
        </w:rPr>
        <w:t>indicate</w:t>
      </w:r>
      <w:r w:rsidRPr="00DD1728">
        <w:rPr>
          <w:noProof/>
        </w:rPr>
        <w:t xml:space="preserve"> the number of individuals reported by sex for each provenance category</w:t>
      </w:r>
      <w:r>
        <w:rPr>
          <w:noProof/>
        </w:rPr>
        <w:t>.  This includes</w:t>
      </w:r>
      <w:r w:rsidRPr="00DD1728">
        <w:rPr>
          <w:noProof/>
        </w:rPr>
        <w:t xml:space="preserve"> all species and sub-species.</w:t>
      </w:r>
      <w:r>
        <w:rPr>
          <w:noProof/>
        </w:rPr>
        <w:t xml:space="preserve"> </w:t>
      </w:r>
      <w:r w:rsidR="00C668D5">
        <w:rPr>
          <w:noProof/>
        </w:rPr>
        <w:t>T</w:t>
      </w:r>
      <w:r w:rsidR="00C668D5" w:rsidRPr="00DD1728">
        <w:rPr>
          <w:noProof/>
        </w:rPr>
        <w:t xml:space="preserve">he </w:t>
      </w:r>
      <w:r w:rsidR="00C668D5">
        <w:rPr>
          <w:noProof/>
        </w:rPr>
        <w:t>pattern whereby there are more</w:t>
      </w:r>
      <w:r w:rsidR="00C668D5" w:rsidRPr="00DD1728">
        <w:rPr>
          <w:noProof/>
        </w:rPr>
        <w:t xml:space="preserve"> females</w:t>
      </w:r>
      <w:r w:rsidR="00C668D5">
        <w:rPr>
          <w:noProof/>
        </w:rPr>
        <w:t xml:space="preserve"> than males i</w:t>
      </w:r>
      <w:r w:rsidR="00C668D5" w:rsidRPr="00DD1728">
        <w:rPr>
          <w:noProof/>
        </w:rPr>
        <w:t xml:space="preserve">s also repeated in </w:t>
      </w:r>
      <w:r w:rsidR="00C668D5">
        <w:rPr>
          <w:noProof/>
        </w:rPr>
        <w:t xml:space="preserve">each sub-category of </w:t>
      </w:r>
      <w:r w:rsidR="00A17646">
        <w:rPr>
          <w:noProof/>
        </w:rPr>
        <w:t>T</w:t>
      </w:r>
      <w:r w:rsidR="00C668D5">
        <w:rPr>
          <w:noProof/>
        </w:rPr>
        <w:t>able 3.</w:t>
      </w:r>
      <w:r w:rsidR="00015C7B">
        <w:rPr>
          <w:noProof/>
        </w:rPr>
        <w:t>4</w:t>
      </w:r>
      <w:r w:rsidR="00C668D5" w:rsidRPr="00DD1728">
        <w:rPr>
          <w:noProof/>
        </w:rPr>
        <w:t xml:space="preserve">.  When the wild </w:t>
      </w:r>
      <w:r w:rsidR="00C668D5" w:rsidRPr="004E3A7A">
        <w:rPr>
          <w:noProof/>
        </w:rPr>
        <w:t>specimens are sorted by sex and by species, th</w:t>
      </w:r>
      <w:r w:rsidR="00C668D5">
        <w:rPr>
          <w:noProof/>
        </w:rPr>
        <w:t xml:space="preserve">e </w:t>
      </w:r>
      <w:r w:rsidR="00015C7B">
        <w:rPr>
          <w:noProof/>
        </w:rPr>
        <w:t xml:space="preserve">results can be seen in </w:t>
      </w:r>
      <w:r w:rsidR="00A17646">
        <w:rPr>
          <w:noProof/>
        </w:rPr>
        <w:t>T</w:t>
      </w:r>
      <w:r w:rsidR="00015C7B">
        <w:rPr>
          <w:noProof/>
        </w:rPr>
        <w:t>able 3.5</w:t>
      </w:r>
      <w:r w:rsidR="00C668D5">
        <w:rPr>
          <w:noProof/>
        </w:rPr>
        <w:t>.</w:t>
      </w:r>
    </w:p>
    <w:p w:rsidR="00361913" w:rsidRPr="0049085E" w:rsidRDefault="00D557BE" w:rsidP="00D557BE">
      <w:pPr>
        <w:pStyle w:val="Caption"/>
        <w:keepNext/>
        <w:jc w:val="left"/>
      </w:pPr>
      <w:bookmarkStart w:id="116" w:name="_Toc373180116"/>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4</w:t>
      </w:r>
      <w:r w:rsidR="008943E4">
        <w:rPr>
          <w:b/>
        </w:rPr>
        <w:fldChar w:fldCharType="end"/>
      </w:r>
      <w:r>
        <w:t xml:space="preserve"> </w:t>
      </w:r>
      <w:r w:rsidR="00361913" w:rsidRPr="00DD1728">
        <w:t>Number of individuals for each sex by captivity status</w:t>
      </w:r>
      <w:r w:rsidR="00015C7B">
        <w:t>.</w:t>
      </w:r>
      <w:bookmarkEnd w:id="116"/>
    </w:p>
    <w:tbl>
      <w:tblPr>
        <w:tblW w:w="8840" w:type="dxa"/>
        <w:jc w:val="center"/>
        <w:tblLook w:val="04A0" w:firstRow="1" w:lastRow="0" w:firstColumn="1" w:lastColumn="0" w:noHBand="0" w:noVBand="1"/>
      </w:tblPr>
      <w:tblGrid>
        <w:gridCol w:w="2221"/>
        <w:gridCol w:w="693"/>
        <w:gridCol w:w="1613"/>
        <w:gridCol w:w="2132"/>
        <w:gridCol w:w="2181"/>
      </w:tblGrid>
      <w:tr w:rsidR="00361913" w:rsidRPr="00BD787C" w:rsidTr="00E20521">
        <w:trPr>
          <w:cantSplit/>
          <w:trHeight w:val="315"/>
          <w:jc w:val="center"/>
        </w:trPr>
        <w:tc>
          <w:tcPr>
            <w:tcW w:w="2221" w:type="dxa"/>
            <w:tcBorders>
              <w:top w:val="single" w:sz="4" w:space="0" w:color="auto"/>
              <w:bottom w:val="single" w:sz="4" w:space="0" w:color="auto"/>
            </w:tcBorders>
            <w:shd w:val="clear" w:color="000000" w:fill="FFFFFF"/>
            <w:noWrap/>
            <w:vAlign w:val="center"/>
            <w:hideMark/>
          </w:tcPr>
          <w:p w:rsidR="00361913" w:rsidRPr="00BD787C" w:rsidRDefault="00E20521" w:rsidP="00C51F1D">
            <w:pPr>
              <w:spacing w:before="0" w:line="240" w:lineRule="auto"/>
              <w:jc w:val="center"/>
              <w:rPr>
                <w:rFonts w:eastAsia="Times New Roman"/>
                <w:b/>
                <w:bCs/>
                <w:color w:val="000000"/>
                <w:lang w:val="en-GB" w:eastAsia="en-GB"/>
              </w:rPr>
            </w:pPr>
            <w:r>
              <w:rPr>
                <w:rFonts w:eastAsia="Times New Roman"/>
                <w:b/>
                <w:bCs/>
                <w:color w:val="000000"/>
                <w:lang w:val="en-GB" w:eastAsia="en-GB"/>
              </w:rPr>
              <w:t>c</w:t>
            </w:r>
            <w:r w:rsidR="00361913" w:rsidRPr="00BD787C">
              <w:rPr>
                <w:rFonts w:eastAsia="Times New Roman"/>
                <w:b/>
                <w:bCs/>
                <w:color w:val="000000"/>
                <w:lang w:val="en-GB" w:eastAsia="en-GB"/>
              </w:rPr>
              <w:t>aptivity status</w:t>
            </w:r>
          </w:p>
        </w:tc>
        <w:tc>
          <w:tcPr>
            <w:tcW w:w="693" w:type="dxa"/>
            <w:tcBorders>
              <w:top w:val="single" w:sz="4" w:space="0" w:color="auto"/>
              <w:bottom w:val="single" w:sz="4" w:space="0" w:color="auto"/>
            </w:tcBorders>
            <w:shd w:val="clear" w:color="auto" w:fill="auto"/>
            <w:noWrap/>
            <w:vAlign w:val="center"/>
            <w:hideMark/>
          </w:tcPr>
          <w:p w:rsidR="00361913" w:rsidRPr="00BD787C" w:rsidRDefault="00E20521"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361913" w:rsidRPr="00BD787C">
              <w:rPr>
                <w:rFonts w:eastAsia="Times New Roman"/>
                <w:b/>
                <w:bCs/>
                <w:color w:val="000000"/>
                <w:lang w:val="en-GB" w:eastAsia="en-GB"/>
              </w:rPr>
              <w:t>ale</w:t>
            </w:r>
          </w:p>
        </w:tc>
        <w:tc>
          <w:tcPr>
            <w:tcW w:w="1613" w:type="dxa"/>
            <w:tcBorders>
              <w:top w:val="single" w:sz="4" w:space="0" w:color="auto"/>
              <w:bottom w:val="single" w:sz="4" w:space="0" w:color="auto"/>
            </w:tcBorders>
            <w:shd w:val="clear" w:color="auto" w:fill="auto"/>
            <w:noWrap/>
            <w:vAlign w:val="center"/>
            <w:hideMark/>
          </w:tcPr>
          <w:p w:rsidR="00361913" w:rsidRPr="00BD787C" w:rsidRDefault="00E20521"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00361913" w:rsidRPr="00BD787C">
              <w:rPr>
                <w:rFonts w:eastAsia="Times New Roman"/>
                <w:b/>
                <w:bCs/>
                <w:color w:val="000000"/>
                <w:lang w:val="en-GB" w:eastAsia="en-GB"/>
              </w:rPr>
              <w:t>emale</w:t>
            </w:r>
          </w:p>
        </w:tc>
        <w:tc>
          <w:tcPr>
            <w:tcW w:w="2132" w:type="dxa"/>
            <w:tcBorders>
              <w:top w:val="single" w:sz="4" w:space="0" w:color="auto"/>
              <w:bottom w:val="single" w:sz="4" w:space="0" w:color="auto"/>
            </w:tcBorders>
            <w:shd w:val="clear" w:color="auto" w:fill="auto"/>
            <w:noWrap/>
            <w:vAlign w:val="center"/>
            <w:hideMark/>
          </w:tcPr>
          <w:p w:rsidR="00361913" w:rsidRPr="00BD787C" w:rsidRDefault="00E20521"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u</w:t>
            </w:r>
            <w:r w:rsidR="00361913" w:rsidRPr="00BD787C">
              <w:rPr>
                <w:rFonts w:eastAsia="Times New Roman"/>
                <w:b/>
                <w:bCs/>
                <w:color w:val="000000"/>
                <w:lang w:val="en-GB" w:eastAsia="en-GB"/>
              </w:rPr>
              <w:t>nknown</w:t>
            </w:r>
          </w:p>
        </w:tc>
        <w:tc>
          <w:tcPr>
            <w:tcW w:w="2181" w:type="dxa"/>
            <w:tcBorders>
              <w:top w:val="single" w:sz="4" w:space="0" w:color="auto"/>
              <w:bottom w:val="single" w:sz="4" w:space="0" w:color="auto"/>
            </w:tcBorders>
            <w:shd w:val="clear" w:color="auto" w:fill="auto"/>
            <w:noWrap/>
            <w:vAlign w:val="center"/>
            <w:hideMark/>
          </w:tcPr>
          <w:p w:rsidR="00361913" w:rsidRPr="00BD787C" w:rsidRDefault="00E20521" w:rsidP="0049085E">
            <w:pPr>
              <w:spacing w:before="0" w:line="240" w:lineRule="auto"/>
              <w:jc w:val="center"/>
              <w:rPr>
                <w:rFonts w:eastAsia="Times New Roman"/>
                <w:b/>
                <w:bCs/>
                <w:color w:val="000000"/>
                <w:lang w:val="en-GB" w:eastAsia="en-GB"/>
              </w:rPr>
            </w:pPr>
            <w:r>
              <w:rPr>
                <w:rFonts w:eastAsia="Times New Roman"/>
                <w:b/>
                <w:bCs/>
                <w:color w:val="000000"/>
                <w:lang w:val="en-GB" w:eastAsia="en-GB"/>
              </w:rPr>
              <w:t>a</w:t>
            </w:r>
            <w:r w:rsidR="00361913" w:rsidRPr="00BD787C">
              <w:rPr>
                <w:rFonts w:eastAsia="Times New Roman"/>
                <w:b/>
                <w:bCs/>
                <w:color w:val="000000"/>
                <w:lang w:val="en-GB" w:eastAsia="en-GB"/>
              </w:rPr>
              <w:t>ll specimens</w:t>
            </w:r>
          </w:p>
        </w:tc>
      </w:tr>
      <w:tr w:rsidR="00361913" w:rsidRPr="00BD787C" w:rsidTr="00E20521">
        <w:trPr>
          <w:cantSplit/>
          <w:trHeight w:val="315"/>
          <w:jc w:val="center"/>
        </w:trPr>
        <w:tc>
          <w:tcPr>
            <w:tcW w:w="2221" w:type="dxa"/>
            <w:tcBorders>
              <w:top w:val="single" w:sz="4" w:space="0" w:color="auto"/>
            </w:tcBorders>
            <w:shd w:val="clear" w:color="auto" w:fill="auto"/>
            <w:noWrap/>
            <w:vAlign w:val="center"/>
            <w:hideMark/>
          </w:tcPr>
          <w:p w:rsidR="00361913" w:rsidRPr="00BD787C" w:rsidRDefault="00C668D5" w:rsidP="00E13C92">
            <w:pPr>
              <w:spacing w:before="0" w:line="240" w:lineRule="auto"/>
              <w:jc w:val="center"/>
              <w:rPr>
                <w:rFonts w:eastAsia="Times New Roman"/>
                <w:color w:val="000000"/>
                <w:lang w:val="en-GB" w:eastAsia="en-GB"/>
              </w:rPr>
            </w:pPr>
            <w:r>
              <w:rPr>
                <w:rFonts w:eastAsia="Times New Roman"/>
                <w:color w:val="000000"/>
                <w:lang w:val="en-GB" w:eastAsia="en-GB"/>
              </w:rPr>
              <w:t>c</w:t>
            </w:r>
            <w:r w:rsidR="00361913" w:rsidRPr="00BD787C">
              <w:rPr>
                <w:rFonts w:eastAsia="Times New Roman"/>
                <w:color w:val="000000"/>
                <w:lang w:val="en-GB" w:eastAsia="en-GB"/>
              </w:rPr>
              <w:t>aptive</w:t>
            </w:r>
          </w:p>
        </w:tc>
        <w:tc>
          <w:tcPr>
            <w:tcW w:w="693" w:type="dxa"/>
            <w:tcBorders>
              <w:top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7</w:t>
            </w:r>
          </w:p>
        </w:tc>
        <w:tc>
          <w:tcPr>
            <w:tcW w:w="1613" w:type="dxa"/>
            <w:tcBorders>
              <w:top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9</w:t>
            </w:r>
          </w:p>
        </w:tc>
        <w:tc>
          <w:tcPr>
            <w:tcW w:w="2132" w:type="dxa"/>
            <w:tcBorders>
              <w:top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14</w:t>
            </w:r>
          </w:p>
        </w:tc>
        <w:tc>
          <w:tcPr>
            <w:tcW w:w="2181" w:type="dxa"/>
            <w:tcBorders>
              <w:top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30</w:t>
            </w:r>
          </w:p>
        </w:tc>
      </w:tr>
      <w:tr w:rsidR="00361913" w:rsidRPr="00BD787C" w:rsidTr="00E20521">
        <w:trPr>
          <w:cantSplit/>
          <w:trHeight w:val="315"/>
          <w:jc w:val="center"/>
        </w:trPr>
        <w:tc>
          <w:tcPr>
            <w:tcW w:w="2221" w:type="dxa"/>
            <w:shd w:val="clear" w:color="auto" w:fill="auto"/>
            <w:noWrap/>
            <w:vAlign w:val="center"/>
            <w:hideMark/>
          </w:tcPr>
          <w:p w:rsidR="00361913" w:rsidRPr="00BD787C" w:rsidRDefault="00C668D5" w:rsidP="00E13C92">
            <w:pPr>
              <w:spacing w:before="0" w:line="240" w:lineRule="auto"/>
              <w:jc w:val="center"/>
              <w:rPr>
                <w:rFonts w:eastAsia="Times New Roman"/>
                <w:color w:val="000000"/>
                <w:lang w:val="en-GB" w:eastAsia="en-GB"/>
              </w:rPr>
            </w:pPr>
            <w:r>
              <w:rPr>
                <w:rFonts w:eastAsia="Times New Roman"/>
                <w:color w:val="000000"/>
                <w:lang w:val="en-GB" w:eastAsia="en-GB"/>
              </w:rPr>
              <w:t>w</w:t>
            </w:r>
            <w:r w:rsidR="00361913" w:rsidRPr="00BD787C">
              <w:rPr>
                <w:rFonts w:eastAsia="Times New Roman"/>
                <w:color w:val="000000"/>
                <w:lang w:val="en-GB" w:eastAsia="en-GB"/>
              </w:rPr>
              <w:t>ild</w:t>
            </w:r>
          </w:p>
        </w:tc>
        <w:tc>
          <w:tcPr>
            <w:tcW w:w="693" w:type="dxa"/>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55</w:t>
            </w:r>
          </w:p>
        </w:tc>
        <w:tc>
          <w:tcPr>
            <w:tcW w:w="1613" w:type="dxa"/>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70</w:t>
            </w:r>
          </w:p>
        </w:tc>
        <w:tc>
          <w:tcPr>
            <w:tcW w:w="2132" w:type="dxa"/>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14</w:t>
            </w:r>
          </w:p>
        </w:tc>
        <w:tc>
          <w:tcPr>
            <w:tcW w:w="2181" w:type="dxa"/>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139</w:t>
            </w:r>
          </w:p>
        </w:tc>
      </w:tr>
      <w:tr w:rsidR="00361913" w:rsidRPr="00BD787C" w:rsidTr="00E20521">
        <w:trPr>
          <w:cantSplit/>
          <w:trHeight w:val="315"/>
          <w:jc w:val="center"/>
        </w:trPr>
        <w:tc>
          <w:tcPr>
            <w:tcW w:w="2221" w:type="dxa"/>
            <w:shd w:val="clear" w:color="auto" w:fill="auto"/>
            <w:noWrap/>
            <w:vAlign w:val="center"/>
            <w:hideMark/>
          </w:tcPr>
          <w:p w:rsidR="00361913" w:rsidRPr="00BD787C" w:rsidRDefault="00C668D5" w:rsidP="00E13C92">
            <w:pPr>
              <w:spacing w:before="0" w:line="240" w:lineRule="auto"/>
              <w:jc w:val="center"/>
              <w:rPr>
                <w:rFonts w:eastAsia="Times New Roman"/>
                <w:color w:val="000000"/>
                <w:lang w:val="en-GB" w:eastAsia="en-GB"/>
              </w:rPr>
            </w:pPr>
            <w:r>
              <w:rPr>
                <w:rFonts w:eastAsia="Times New Roman"/>
                <w:color w:val="000000"/>
                <w:lang w:val="en-GB" w:eastAsia="en-GB"/>
              </w:rPr>
              <w:t>a</w:t>
            </w:r>
            <w:r w:rsidR="00361913" w:rsidRPr="00BD787C">
              <w:rPr>
                <w:rFonts w:eastAsia="Times New Roman"/>
                <w:color w:val="000000"/>
                <w:lang w:val="en-GB" w:eastAsia="en-GB"/>
              </w:rPr>
              <w:t>mbiguous</w:t>
            </w:r>
          </w:p>
        </w:tc>
        <w:tc>
          <w:tcPr>
            <w:tcW w:w="693" w:type="dxa"/>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2</w:t>
            </w:r>
          </w:p>
        </w:tc>
        <w:tc>
          <w:tcPr>
            <w:tcW w:w="1613" w:type="dxa"/>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4</w:t>
            </w:r>
          </w:p>
        </w:tc>
        <w:tc>
          <w:tcPr>
            <w:tcW w:w="2132" w:type="dxa"/>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1</w:t>
            </w:r>
          </w:p>
        </w:tc>
        <w:tc>
          <w:tcPr>
            <w:tcW w:w="2181" w:type="dxa"/>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7</w:t>
            </w:r>
          </w:p>
        </w:tc>
      </w:tr>
      <w:tr w:rsidR="00361913" w:rsidRPr="00BD787C" w:rsidTr="00E20521">
        <w:trPr>
          <w:cantSplit/>
          <w:trHeight w:val="315"/>
          <w:jc w:val="center"/>
        </w:trPr>
        <w:tc>
          <w:tcPr>
            <w:tcW w:w="2221" w:type="dxa"/>
            <w:tcBorders>
              <w:bottom w:val="single" w:sz="4" w:space="0" w:color="auto"/>
            </w:tcBorders>
            <w:shd w:val="clear" w:color="auto" w:fill="auto"/>
            <w:noWrap/>
            <w:vAlign w:val="center"/>
            <w:hideMark/>
          </w:tcPr>
          <w:p w:rsidR="00361913" w:rsidRPr="00BD787C" w:rsidRDefault="00361913" w:rsidP="00E13C92">
            <w:pPr>
              <w:spacing w:before="0" w:line="240" w:lineRule="auto"/>
              <w:jc w:val="center"/>
              <w:rPr>
                <w:rFonts w:eastAsia="Times New Roman"/>
                <w:color w:val="000000"/>
                <w:lang w:val="en-GB" w:eastAsia="en-GB"/>
              </w:rPr>
            </w:pPr>
            <w:r w:rsidRPr="00BD787C">
              <w:rPr>
                <w:rFonts w:eastAsia="Times New Roman"/>
                <w:color w:val="000000"/>
                <w:lang w:val="en-GB" w:eastAsia="en-GB"/>
              </w:rPr>
              <w:t>not reported</w:t>
            </w:r>
          </w:p>
        </w:tc>
        <w:tc>
          <w:tcPr>
            <w:tcW w:w="693" w:type="dxa"/>
            <w:tcBorders>
              <w:bottom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16</w:t>
            </w:r>
          </w:p>
        </w:tc>
        <w:tc>
          <w:tcPr>
            <w:tcW w:w="1613" w:type="dxa"/>
            <w:tcBorders>
              <w:bottom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23</w:t>
            </w:r>
          </w:p>
        </w:tc>
        <w:tc>
          <w:tcPr>
            <w:tcW w:w="2132" w:type="dxa"/>
            <w:tcBorders>
              <w:bottom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4</w:t>
            </w:r>
          </w:p>
        </w:tc>
        <w:tc>
          <w:tcPr>
            <w:tcW w:w="2181" w:type="dxa"/>
            <w:tcBorders>
              <w:bottom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43</w:t>
            </w:r>
          </w:p>
        </w:tc>
      </w:tr>
      <w:tr w:rsidR="00361913" w:rsidRPr="00BD787C" w:rsidTr="00E20521">
        <w:trPr>
          <w:cantSplit/>
          <w:trHeight w:val="330"/>
          <w:jc w:val="center"/>
        </w:trPr>
        <w:tc>
          <w:tcPr>
            <w:tcW w:w="2221" w:type="dxa"/>
            <w:tcBorders>
              <w:top w:val="single" w:sz="4" w:space="0" w:color="auto"/>
              <w:bottom w:val="single" w:sz="4" w:space="0" w:color="auto"/>
            </w:tcBorders>
            <w:shd w:val="clear" w:color="auto" w:fill="auto"/>
            <w:noWrap/>
            <w:vAlign w:val="center"/>
            <w:hideMark/>
          </w:tcPr>
          <w:p w:rsidR="00361913" w:rsidRPr="00BD787C" w:rsidRDefault="00C668D5" w:rsidP="00E13C92">
            <w:pPr>
              <w:spacing w:before="0" w:line="240" w:lineRule="auto"/>
              <w:jc w:val="center"/>
              <w:rPr>
                <w:rFonts w:eastAsia="Times New Roman"/>
                <w:color w:val="000000"/>
                <w:lang w:val="en-GB" w:eastAsia="en-GB"/>
              </w:rPr>
            </w:pPr>
            <w:r>
              <w:rPr>
                <w:rFonts w:eastAsia="Times New Roman"/>
                <w:color w:val="000000"/>
                <w:lang w:val="en-GB" w:eastAsia="en-GB"/>
              </w:rPr>
              <w:t>t</w:t>
            </w:r>
            <w:r w:rsidR="00361913" w:rsidRPr="00BD787C">
              <w:rPr>
                <w:rFonts w:eastAsia="Times New Roman"/>
                <w:color w:val="000000"/>
                <w:lang w:val="en-GB" w:eastAsia="en-GB"/>
              </w:rPr>
              <w:t>otal</w:t>
            </w:r>
          </w:p>
        </w:tc>
        <w:tc>
          <w:tcPr>
            <w:tcW w:w="693" w:type="dxa"/>
            <w:tcBorders>
              <w:top w:val="single" w:sz="4" w:space="0" w:color="auto"/>
              <w:bottom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80</w:t>
            </w:r>
          </w:p>
        </w:tc>
        <w:tc>
          <w:tcPr>
            <w:tcW w:w="1613" w:type="dxa"/>
            <w:tcBorders>
              <w:top w:val="single" w:sz="4" w:space="0" w:color="auto"/>
              <w:bottom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106</w:t>
            </w:r>
          </w:p>
        </w:tc>
        <w:tc>
          <w:tcPr>
            <w:tcW w:w="2132" w:type="dxa"/>
            <w:tcBorders>
              <w:top w:val="single" w:sz="4" w:space="0" w:color="auto"/>
              <w:bottom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33</w:t>
            </w:r>
          </w:p>
        </w:tc>
        <w:tc>
          <w:tcPr>
            <w:tcW w:w="2181" w:type="dxa"/>
            <w:tcBorders>
              <w:top w:val="single" w:sz="4" w:space="0" w:color="auto"/>
              <w:bottom w:val="single" w:sz="4" w:space="0" w:color="auto"/>
            </w:tcBorders>
            <w:shd w:val="clear" w:color="auto" w:fill="auto"/>
            <w:noWrap/>
            <w:vAlign w:val="center"/>
            <w:hideMark/>
          </w:tcPr>
          <w:p w:rsidR="00361913" w:rsidRPr="00BD787C" w:rsidRDefault="00361913" w:rsidP="0049085E">
            <w:pPr>
              <w:spacing w:before="0" w:line="240" w:lineRule="auto"/>
              <w:jc w:val="center"/>
              <w:rPr>
                <w:rFonts w:eastAsia="Times New Roman"/>
                <w:color w:val="000000"/>
                <w:lang w:val="en-GB" w:eastAsia="en-GB"/>
              </w:rPr>
            </w:pPr>
            <w:r w:rsidRPr="00BD787C">
              <w:rPr>
                <w:rFonts w:eastAsia="Times New Roman"/>
                <w:color w:val="000000"/>
                <w:lang w:val="en-GB" w:eastAsia="en-GB"/>
              </w:rPr>
              <w:t>219</w:t>
            </w:r>
          </w:p>
        </w:tc>
      </w:tr>
    </w:tbl>
    <w:p w:rsidR="00361913" w:rsidRPr="00D93DE6" w:rsidRDefault="00D557BE" w:rsidP="00D557BE">
      <w:pPr>
        <w:pStyle w:val="Caption"/>
        <w:keepNext/>
        <w:jc w:val="left"/>
      </w:pPr>
      <w:bookmarkStart w:id="117" w:name="_Toc373180117"/>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5</w:t>
      </w:r>
      <w:r w:rsidR="008943E4">
        <w:rPr>
          <w:b/>
        </w:rPr>
        <w:fldChar w:fldCharType="end"/>
      </w:r>
      <w:r w:rsidR="00361913" w:rsidRPr="00DD1728">
        <w:t xml:space="preserve"> Wild specimen numbers by sex sorted by species and sub-species</w:t>
      </w:r>
      <w:r w:rsidR="00015C7B">
        <w:t>.</w:t>
      </w:r>
      <w:bookmarkEnd w:id="117"/>
      <w:proofErr w:type="gramEnd"/>
    </w:p>
    <w:tbl>
      <w:tblPr>
        <w:tblW w:w="8832" w:type="dxa"/>
        <w:jc w:val="center"/>
        <w:tblInd w:w="-524" w:type="dxa"/>
        <w:tblBorders>
          <w:top w:val="single" w:sz="4" w:space="0" w:color="auto"/>
          <w:bottom w:val="single" w:sz="4" w:space="0" w:color="auto"/>
        </w:tblBorders>
        <w:tblLook w:val="04A0" w:firstRow="1" w:lastRow="0" w:firstColumn="1" w:lastColumn="0" w:noHBand="0" w:noVBand="1"/>
      </w:tblPr>
      <w:tblGrid>
        <w:gridCol w:w="3132"/>
        <w:gridCol w:w="992"/>
        <w:gridCol w:w="1134"/>
        <w:gridCol w:w="1241"/>
        <w:gridCol w:w="2333"/>
      </w:tblGrid>
      <w:tr w:rsidR="00361913" w:rsidRPr="006F591E" w:rsidTr="00E13C92">
        <w:trPr>
          <w:trHeight w:val="315"/>
          <w:jc w:val="center"/>
        </w:trPr>
        <w:tc>
          <w:tcPr>
            <w:tcW w:w="3132" w:type="dxa"/>
            <w:tcBorders>
              <w:top w:val="single" w:sz="4" w:space="0" w:color="auto"/>
              <w:bottom w:val="single" w:sz="4" w:space="0" w:color="auto"/>
            </w:tcBorders>
            <w:shd w:val="clear" w:color="000000" w:fill="FFFFFF"/>
            <w:noWrap/>
            <w:vAlign w:val="center"/>
            <w:hideMark/>
          </w:tcPr>
          <w:p w:rsidR="00361913" w:rsidRPr="006F591E" w:rsidRDefault="00E13C92" w:rsidP="00E13C92">
            <w:pPr>
              <w:spacing w:before="0" w:line="240" w:lineRule="auto"/>
              <w:jc w:val="center"/>
              <w:rPr>
                <w:rFonts w:eastAsia="Times New Roman"/>
                <w:color w:val="000000"/>
                <w:lang w:val="en-GB" w:eastAsia="en-GB"/>
              </w:rPr>
            </w:pPr>
            <w:r>
              <w:rPr>
                <w:rFonts w:eastAsia="Times New Roman"/>
                <w:b/>
                <w:bCs/>
                <w:color w:val="000000"/>
                <w:lang w:val="en-GB" w:eastAsia="en-GB"/>
              </w:rPr>
              <w:t>s</w:t>
            </w:r>
            <w:r w:rsidR="00361913" w:rsidRPr="006F591E">
              <w:rPr>
                <w:rFonts w:eastAsia="Times New Roman"/>
                <w:b/>
                <w:bCs/>
                <w:color w:val="000000"/>
                <w:lang w:val="en-GB" w:eastAsia="en-GB"/>
              </w:rPr>
              <w:t>pecies</w:t>
            </w:r>
            <w:r w:rsidR="00361913">
              <w:rPr>
                <w:rFonts w:eastAsia="Times New Roman"/>
                <w:b/>
                <w:bCs/>
                <w:color w:val="000000"/>
                <w:lang w:val="en-GB" w:eastAsia="en-GB"/>
              </w:rPr>
              <w:t>/sub-species</w:t>
            </w:r>
          </w:p>
        </w:tc>
        <w:tc>
          <w:tcPr>
            <w:tcW w:w="992" w:type="dxa"/>
            <w:tcBorders>
              <w:top w:val="single" w:sz="4" w:space="0" w:color="auto"/>
              <w:bottom w:val="single" w:sz="4" w:space="0" w:color="auto"/>
            </w:tcBorders>
            <w:shd w:val="clear" w:color="000000" w:fill="FFFFFF"/>
            <w:noWrap/>
            <w:vAlign w:val="center"/>
            <w:hideMark/>
          </w:tcPr>
          <w:p w:rsidR="00361913" w:rsidRPr="006F591E" w:rsidRDefault="00E13C92" w:rsidP="00D93DE6">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361913" w:rsidRPr="006F591E">
              <w:rPr>
                <w:rFonts w:eastAsia="Times New Roman"/>
                <w:b/>
                <w:bCs/>
                <w:color w:val="000000"/>
                <w:lang w:val="en-GB" w:eastAsia="en-GB"/>
              </w:rPr>
              <w:t>ale</w:t>
            </w:r>
          </w:p>
        </w:tc>
        <w:tc>
          <w:tcPr>
            <w:tcW w:w="1134" w:type="dxa"/>
            <w:tcBorders>
              <w:top w:val="single" w:sz="4" w:space="0" w:color="auto"/>
              <w:bottom w:val="single" w:sz="4" w:space="0" w:color="auto"/>
            </w:tcBorders>
            <w:shd w:val="clear" w:color="000000" w:fill="FFFFFF"/>
            <w:noWrap/>
            <w:vAlign w:val="center"/>
            <w:hideMark/>
          </w:tcPr>
          <w:p w:rsidR="00361913" w:rsidRPr="006F591E" w:rsidRDefault="00E13C92" w:rsidP="00D93DE6">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00361913" w:rsidRPr="006F591E">
              <w:rPr>
                <w:rFonts w:eastAsia="Times New Roman"/>
                <w:b/>
                <w:bCs/>
                <w:color w:val="000000"/>
                <w:lang w:val="en-GB" w:eastAsia="en-GB"/>
              </w:rPr>
              <w:t>emale</w:t>
            </w:r>
          </w:p>
        </w:tc>
        <w:tc>
          <w:tcPr>
            <w:tcW w:w="1241" w:type="dxa"/>
            <w:tcBorders>
              <w:top w:val="single" w:sz="4" w:space="0" w:color="auto"/>
              <w:bottom w:val="single" w:sz="4" w:space="0" w:color="auto"/>
            </w:tcBorders>
            <w:shd w:val="clear" w:color="000000" w:fill="FFFFFF"/>
            <w:noWrap/>
            <w:vAlign w:val="center"/>
            <w:hideMark/>
          </w:tcPr>
          <w:p w:rsidR="00361913" w:rsidRPr="006F591E" w:rsidRDefault="00E13C92" w:rsidP="00D93DE6">
            <w:pPr>
              <w:spacing w:before="0" w:line="240" w:lineRule="auto"/>
              <w:jc w:val="center"/>
              <w:rPr>
                <w:rFonts w:eastAsia="Times New Roman"/>
                <w:b/>
                <w:bCs/>
                <w:color w:val="000000"/>
                <w:lang w:val="en-GB" w:eastAsia="en-GB"/>
              </w:rPr>
            </w:pPr>
            <w:r>
              <w:rPr>
                <w:rFonts w:eastAsia="Times New Roman"/>
                <w:b/>
                <w:bCs/>
                <w:color w:val="000000"/>
                <w:lang w:val="en-GB" w:eastAsia="en-GB"/>
              </w:rPr>
              <w:t>u</w:t>
            </w:r>
            <w:r w:rsidR="00361913" w:rsidRPr="006F591E">
              <w:rPr>
                <w:rFonts w:eastAsia="Times New Roman"/>
                <w:b/>
                <w:bCs/>
                <w:color w:val="000000"/>
                <w:lang w:val="en-GB" w:eastAsia="en-GB"/>
              </w:rPr>
              <w:t>nknown</w:t>
            </w:r>
          </w:p>
        </w:tc>
        <w:tc>
          <w:tcPr>
            <w:tcW w:w="2333" w:type="dxa"/>
            <w:tcBorders>
              <w:top w:val="single" w:sz="4" w:space="0" w:color="auto"/>
              <w:bottom w:val="single" w:sz="4" w:space="0" w:color="auto"/>
            </w:tcBorders>
            <w:shd w:val="clear" w:color="000000" w:fill="FFFFFF"/>
            <w:noWrap/>
            <w:vAlign w:val="center"/>
            <w:hideMark/>
          </w:tcPr>
          <w:p w:rsidR="00361913" w:rsidRPr="006F591E" w:rsidRDefault="00E13C92" w:rsidP="00D93DE6">
            <w:pPr>
              <w:spacing w:before="0" w:line="240" w:lineRule="auto"/>
              <w:jc w:val="center"/>
              <w:rPr>
                <w:rFonts w:eastAsia="Times New Roman"/>
                <w:b/>
                <w:bCs/>
                <w:color w:val="000000"/>
                <w:lang w:val="en-GB" w:eastAsia="en-GB"/>
              </w:rPr>
            </w:pPr>
            <w:r>
              <w:rPr>
                <w:rFonts w:eastAsia="Times New Roman"/>
                <w:b/>
                <w:bCs/>
                <w:color w:val="000000"/>
                <w:lang w:val="en-GB" w:eastAsia="en-GB"/>
              </w:rPr>
              <w:t>t</w:t>
            </w:r>
            <w:r w:rsidR="00361913" w:rsidRPr="006F591E">
              <w:rPr>
                <w:rFonts w:eastAsia="Times New Roman"/>
                <w:b/>
                <w:bCs/>
                <w:color w:val="000000"/>
                <w:lang w:val="en-GB" w:eastAsia="en-GB"/>
              </w:rPr>
              <w:t>otal</w:t>
            </w:r>
          </w:p>
        </w:tc>
      </w:tr>
      <w:tr w:rsidR="00361913" w:rsidRPr="006F591E" w:rsidTr="00E13C92">
        <w:trPr>
          <w:trHeight w:val="315"/>
          <w:jc w:val="center"/>
        </w:trPr>
        <w:tc>
          <w:tcPr>
            <w:tcW w:w="3132" w:type="dxa"/>
            <w:tcBorders>
              <w:top w:val="single" w:sz="4" w:space="0" w:color="auto"/>
            </w:tcBorders>
            <w:shd w:val="clear" w:color="000000" w:fill="FFFFFF"/>
            <w:noWrap/>
            <w:vAlign w:val="center"/>
            <w:hideMark/>
          </w:tcPr>
          <w:p w:rsidR="00361913" w:rsidRPr="006F591E" w:rsidRDefault="00361913" w:rsidP="00D93DE6">
            <w:pPr>
              <w:spacing w:before="0" w:line="240" w:lineRule="auto"/>
              <w:rPr>
                <w:rFonts w:eastAsia="Times New Roman"/>
                <w:bCs/>
                <w:i/>
                <w:iCs/>
                <w:color w:val="000000"/>
                <w:lang w:val="en-GB" w:eastAsia="en-GB"/>
              </w:rPr>
            </w:pPr>
            <w:r w:rsidRPr="006F591E">
              <w:rPr>
                <w:rFonts w:eastAsia="Times New Roman"/>
                <w:bCs/>
                <w:i/>
                <w:iCs/>
                <w:color w:val="000000"/>
                <w:lang w:val="en-GB" w:eastAsia="en-GB"/>
              </w:rPr>
              <w:t>Pan paniscus</w:t>
            </w:r>
          </w:p>
        </w:tc>
        <w:tc>
          <w:tcPr>
            <w:tcW w:w="992" w:type="dxa"/>
            <w:tcBorders>
              <w:top w:val="single" w:sz="4" w:space="0" w:color="auto"/>
            </w:tcBorders>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14</w:t>
            </w:r>
          </w:p>
        </w:tc>
        <w:tc>
          <w:tcPr>
            <w:tcW w:w="1134" w:type="dxa"/>
            <w:tcBorders>
              <w:top w:val="single" w:sz="4" w:space="0" w:color="auto"/>
            </w:tcBorders>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9</w:t>
            </w:r>
          </w:p>
        </w:tc>
        <w:tc>
          <w:tcPr>
            <w:tcW w:w="1241" w:type="dxa"/>
            <w:tcBorders>
              <w:top w:val="single" w:sz="4" w:space="0" w:color="auto"/>
            </w:tcBorders>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7</w:t>
            </w:r>
          </w:p>
        </w:tc>
        <w:tc>
          <w:tcPr>
            <w:tcW w:w="2333" w:type="dxa"/>
            <w:tcBorders>
              <w:top w:val="single" w:sz="4" w:space="0" w:color="auto"/>
            </w:tcBorders>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30</w:t>
            </w:r>
          </w:p>
        </w:tc>
      </w:tr>
      <w:tr w:rsidR="00361913" w:rsidRPr="006F591E" w:rsidTr="00E13C92">
        <w:trPr>
          <w:trHeight w:val="315"/>
          <w:jc w:val="center"/>
        </w:trPr>
        <w:tc>
          <w:tcPr>
            <w:tcW w:w="3132" w:type="dxa"/>
            <w:shd w:val="clear" w:color="000000" w:fill="FFFFFF"/>
            <w:noWrap/>
            <w:vAlign w:val="center"/>
            <w:hideMark/>
          </w:tcPr>
          <w:p w:rsidR="00361913" w:rsidRPr="006F591E" w:rsidRDefault="00361913" w:rsidP="00D93DE6">
            <w:pPr>
              <w:spacing w:before="0" w:line="240" w:lineRule="auto"/>
              <w:rPr>
                <w:rFonts w:eastAsia="Times New Roman"/>
                <w:bCs/>
                <w:i/>
                <w:iCs/>
                <w:color w:val="000000"/>
                <w:lang w:val="en-GB" w:eastAsia="en-GB"/>
              </w:rPr>
            </w:pPr>
            <w:r w:rsidRPr="006F591E">
              <w:rPr>
                <w:rFonts w:eastAsia="Times New Roman"/>
                <w:bCs/>
                <w:i/>
                <w:iCs/>
                <w:color w:val="000000"/>
                <w:lang w:val="en-GB" w:eastAsia="en-GB"/>
              </w:rPr>
              <w:t>Pan troglodytes schweinfurthii</w:t>
            </w:r>
          </w:p>
        </w:tc>
        <w:tc>
          <w:tcPr>
            <w:tcW w:w="992"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12</w:t>
            </w:r>
          </w:p>
        </w:tc>
        <w:tc>
          <w:tcPr>
            <w:tcW w:w="1134"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13</w:t>
            </w:r>
          </w:p>
        </w:tc>
        <w:tc>
          <w:tcPr>
            <w:tcW w:w="1241"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7</w:t>
            </w:r>
          </w:p>
        </w:tc>
        <w:tc>
          <w:tcPr>
            <w:tcW w:w="2333"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32</w:t>
            </w:r>
          </w:p>
        </w:tc>
      </w:tr>
      <w:tr w:rsidR="00361913" w:rsidRPr="006F591E" w:rsidTr="00E13C92">
        <w:trPr>
          <w:trHeight w:val="315"/>
          <w:jc w:val="center"/>
        </w:trPr>
        <w:tc>
          <w:tcPr>
            <w:tcW w:w="3132" w:type="dxa"/>
            <w:shd w:val="clear" w:color="000000" w:fill="FFFFFF"/>
            <w:noWrap/>
            <w:vAlign w:val="center"/>
            <w:hideMark/>
          </w:tcPr>
          <w:p w:rsidR="00361913" w:rsidRPr="006F591E" w:rsidRDefault="00361913" w:rsidP="00D93DE6">
            <w:pPr>
              <w:spacing w:before="0" w:line="240" w:lineRule="auto"/>
              <w:rPr>
                <w:rFonts w:eastAsia="Times New Roman"/>
                <w:bCs/>
                <w:i/>
                <w:iCs/>
                <w:color w:val="000000"/>
                <w:lang w:val="en-GB" w:eastAsia="en-GB"/>
              </w:rPr>
            </w:pPr>
            <w:r w:rsidRPr="006F591E">
              <w:rPr>
                <w:rFonts w:eastAsia="Times New Roman"/>
                <w:bCs/>
                <w:i/>
                <w:iCs/>
                <w:color w:val="000000"/>
                <w:lang w:val="en-GB" w:eastAsia="en-GB"/>
              </w:rPr>
              <w:t>Pan troglodytes troglodytes</w:t>
            </w:r>
          </w:p>
        </w:tc>
        <w:tc>
          <w:tcPr>
            <w:tcW w:w="992"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27</w:t>
            </w:r>
          </w:p>
        </w:tc>
        <w:tc>
          <w:tcPr>
            <w:tcW w:w="1134"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44</w:t>
            </w:r>
          </w:p>
        </w:tc>
        <w:tc>
          <w:tcPr>
            <w:tcW w:w="1241"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0</w:t>
            </w:r>
          </w:p>
        </w:tc>
        <w:tc>
          <w:tcPr>
            <w:tcW w:w="2333"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71</w:t>
            </w:r>
          </w:p>
        </w:tc>
      </w:tr>
      <w:tr w:rsidR="00361913" w:rsidRPr="006F591E" w:rsidTr="00E13C92">
        <w:trPr>
          <w:trHeight w:val="315"/>
          <w:jc w:val="center"/>
        </w:trPr>
        <w:tc>
          <w:tcPr>
            <w:tcW w:w="3132" w:type="dxa"/>
            <w:shd w:val="clear" w:color="000000" w:fill="FFFFFF"/>
            <w:noWrap/>
            <w:vAlign w:val="center"/>
            <w:hideMark/>
          </w:tcPr>
          <w:p w:rsidR="00361913" w:rsidRPr="006F591E" w:rsidRDefault="00361913" w:rsidP="00D93DE6">
            <w:pPr>
              <w:spacing w:before="0" w:line="240" w:lineRule="auto"/>
              <w:rPr>
                <w:rFonts w:eastAsia="Times New Roman"/>
                <w:bCs/>
                <w:i/>
                <w:iCs/>
                <w:color w:val="000000"/>
                <w:lang w:val="en-GB" w:eastAsia="en-GB"/>
              </w:rPr>
            </w:pPr>
            <w:r w:rsidRPr="006F591E">
              <w:rPr>
                <w:rFonts w:eastAsia="Times New Roman"/>
                <w:bCs/>
                <w:i/>
                <w:iCs/>
                <w:color w:val="000000"/>
                <w:lang w:val="en-GB" w:eastAsia="en-GB"/>
              </w:rPr>
              <w:t>Pan troglodytes</w:t>
            </w:r>
          </w:p>
        </w:tc>
        <w:tc>
          <w:tcPr>
            <w:tcW w:w="992"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2</w:t>
            </w:r>
          </w:p>
        </w:tc>
        <w:tc>
          <w:tcPr>
            <w:tcW w:w="1134"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4</w:t>
            </w:r>
          </w:p>
        </w:tc>
        <w:tc>
          <w:tcPr>
            <w:tcW w:w="1241"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0</w:t>
            </w:r>
          </w:p>
        </w:tc>
        <w:tc>
          <w:tcPr>
            <w:tcW w:w="2333" w:type="dxa"/>
            <w:shd w:val="clear" w:color="000000" w:fill="FFFFFF"/>
            <w:noWrap/>
            <w:vAlign w:val="center"/>
            <w:hideMark/>
          </w:tcPr>
          <w:p w:rsidR="00361913" w:rsidRPr="006F591E" w:rsidRDefault="00361913" w:rsidP="00D93DE6">
            <w:pPr>
              <w:spacing w:before="0" w:line="240" w:lineRule="auto"/>
              <w:jc w:val="center"/>
              <w:rPr>
                <w:rFonts w:eastAsia="Times New Roman"/>
                <w:color w:val="000000"/>
                <w:lang w:val="en-GB" w:eastAsia="en-GB"/>
              </w:rPr>
            </w:pPr>
            <w:r w:rsidRPr="006F591E">
              <w:rPr>
                <w:rFonts w:eastAsia="Times New Roman"/>
                <w:color w:val="000000"/>
                <w:lang w:val="en-GB" w:eastAsia="en-GB"/>
              </w:rPr>
              <w:t>6</w:t>
            </w:r>
          </w:p>
        </w:tc>
      </w:tr>
    </w:tbl>
    <w:p w:rsidR="00C37B05" w:rsidRDefault="00C37B05">
      <w:pPr>
        <w:spacing w:before="0" w:after="200" w:line="276" w:lineRule="auto"/>
        <w:jc w:val="left"/>
        <w:rPr>
          <w:noProof/>
        </w:rPr>
      </w:pPr>
      <w:r>
        <w:rPr>
          <w:noProof/>
        </w:rPr>
        <w:br w:type="page"/>
      </w:r>
    </w:p>
    <w:p w:rsidR="00E15B29" w:rsidRPr="00D93DE6" w:rsidRDefault="00361913" w:rsidP="00A42C93">
      <w:pPr>
        <w:tabs>
          <w:tab w:val="left" w:pos="4536"/>
        </w:tabs>
        <w:rPr>
          <w:noProof/>
        </w:rPr>
      </w:pPr>
      <w:r>
        <w:rPr>
          <w:noProof/>
        </w:rPr>
        <w:lastRenderedPageBreak/>
        <w:t xml:space="preserve">There can be several observations made regarding these </w:t>
      </w:r>
      <w:r w:rsidR="00FF4993">
        <w:rPr>
          <w:noProof/>
        </w:rPr>
        <w:t>distribution patterns</w:t>
      </w:r>
      <w:r>
        <w:rPr>
          <w:noProof/>
        </w:rPr>
        <w:t xml:space="preserve">.  With the exception of the </w:t>
      </w:r>
      <w:r>
        <w:rPr>
          <w:i/>
          <w:noProof/>
        </w:rPr>
        <w:t xml:space="preserve">Pan </w:t>
      </w:r>
      <w:r w:rsidRPr="00B1309C">
        <w:rPr>
          <w:i/>
          <w:noProof/>
        </w:rPr>
        <w:t>paniscus</w:t>
      </w:r>
      <w:r>
        <w:rPr>
          <w:noProof/>
        </w:rPr>
        <w:t xml:space="preserve"> sample, the relative proportions of males, females, and unsexed individuals was consistent between species, sub-species, and within captive and wild categories.  </w:t>
      </w:r>
      <w:r w:rsidRPr="00B1309C">
        <w:rPr>
          <w:noProof/>
        </w:rPr>
        <w:t>Overall</w:t>
      </w:r>
      <w:r>
        <w:rPr>
          <w:noProof/>
        </w:rPr>
        <w:t xml:space="preserve"> the percentage of individuals with unknown sex was low at 15.5% for the entire sample.  Males out</w:t>
      </w:r>
      <w:r w:rsidR="00E5740B">
        <w:rPr>
          <w:noProof/>
        </w:rPr>
        <w:t>-</w:t>
      </w:r>
      <w:r>
        <w:rPr>
          <w:noProof/>
        </w:rPr>
        <w:t xml:space="preserve">numbered females for all groupings of </w:t>
      </w:r>
      <w:r>
        <w:rPr>
          <w:i/>
          <w:noProof/>
        </w:rPr>
        <w:t>Pan troglodytes</w:t>
      </w:r>
      <w:r>
        <w:rPr>
          <w:noProof/>
        </w:rPr>
        <w:t xml:space="preserve"> with 41% of sexed individuals of this species (excluding unknowns) being male and 59% female.  Equivalent values for </w:t>
      </w:r>
      <w:r w:rsidRPr="0099700F">
        <w:rPr>
          <w:i/>
          <w:noProof/>
        </w:rPr>
        <w:t>Pan paniscus</w:t>
      </w:r>
      <w:r>
        <w:rPr>
          <w:noProof/>
        </w:rPr>
        <w:t xml:space="preserve"> were 57% male and 43% female.  </w:t>
      </w:r>
      <w:r w:rsidR="00161965">
        <w:rPr>
          <w:noProof/>
        </w:rPr>
        <w:t xml:space="preserve">Despite </w:t>
      </w:r>
      <w:r>
        <w:rPr>
          <w:noProof/>
        </w:rPr>
        <w:t>these values not represent</w:t>
      </w:r>
      <w:r w:rsidR="00161965">
        <w:rPr>
          <w:noProof/>
        </w:rPr>
        <w:t>ing</w:t>
      </w:r>
      <w:r>
        <w:rPr>
          <w:noProof/>
        </w:rPr>
        <w:t xml:space="preserve"> a perfectly even s</w:t>
      </w:r>
      <w:r w:rsidR="00E5740B">
        <w:rPr>
          <w:noProof/>
        </w:rPr>
        <w:t>ex distribution, the do provide</w:t>
      </w:r>
      <w:r>
        <w:rPr>
          <w:noProof/>
        </w:rPr>
        <w:t xml:space="preserve"> values that are quite acceptable for use in analysis of both sexes for both species. </w:t>
      </w:r>
    </w:p>
    <w:p w:rsidR="00361913" w:rsidRDefault="00361913" w:rsidP="00D263E8">
      <w:pPr>
        <w:pStyle w:val="Heading3"/>
      </w:pPr>
      <w:bookmarkStart w:id="118" w:name="_Toc373477755"/>
      <w:bookmarkStart w:id="119" w:name="_Toc373480753"/>
      <w:r>
        <w:t>Completeness of the collections and condition: statement by collection</w:t>
      </w:r>
      <w:bookmarkEnd w:id="118"/>
      <w:bookmarkEnd w:id="119"/>
    </w:p>
    <w:p w:rsidR="00361913" w:rsidRDefault="00361913" w:rsidP="00D93DE6">
      <w:pPr>
        <w:rPr>
          <w:noProof/>
        </w:rPr>
      </w:pPr>
      <w:r>
        <w:rPr>
          <w:noProof/>
        </w:rPr>
        <w:t>To further clarify which elements were requir</w:t>
      </w:r>
      <w:r w:rsidR="00B827F4">
        <w:rPr>
          <w:noProof/>
        </w:rPr>
        <w:t xml:space="preserve">ed, bilateral assessments </w:t>
      </w:r>
      <w:r w:rsidR="00C71BA6">
        <w:rPr>
          <w:noProof/>
        </w:rPr>
        <w:t xml:space="preserve">(both left and right sides) </w:t>
      </w:r>
      <w:r w:rsidR="00B827F4">
        <w:rPr>
          <w:noProof/>
        </w:rPr>
        <w:t xml:space="preserve">were </w:t>
      </w:r>
      <w:r>
        <w:rPr>
          <w:noProof/>
        </w:rPr>
        <w:t xml:space="preserve">taken for each individual and as such a complete skeleton was desirable.  A statement simply quantifying presence or absence of skeletal elements at this juncture is not especially meaningful for understanding the feasibility of analysis.  For example, the presence or absence of epiphyses has an impact on long-bone length and as such a list of numbers of each long bone would need to be qualified by the presence </w:t>
      </w:r>
      <w:r w:rsidR="00E0282A">
        <w:rPr>
          <w:noProof/>
        </w:rPr>
        <w:t>or absence of one of both of it</w:t>
      </w:r>
      <w:r>
        <w:rPr>
          <w:noProof/>
        </w:rPr>
        <w:t>s epiphyses.  Likewise with dentition, the presence or absence of teeth may or may not have an influence on the assessment of dental score (see section 3.4) and thus simply listing presence/absence values will not assist in understanding the effectiveness of data presence/absence for the analysis of results.  Due to the complex nature of this, the completeness of elements used is described within each methodology section.  The following provides the location of all completeness analyses within this chapter.  Each of these analyses is completed for both specie</w:t>
      </w:r>
      <w:r w:rsidR="00D93DE6">
        <w:rPr>
          <w:noProof/>
        </w:rPr>
        <w:t>s and both sexes independently.</w:t>
      </w:r>
    </w:p>
    <w:p w:rsidR="00361913" w:rsidRDefault="00361913" w:rsidP="00C37B05">
      <w:pPr>
        <w:spacing w:line="276" w:lineRule="auto"/>
        <w:rPr>
          <w:noProof/>
        </w:rPr>
      </w:pPr>
      <w:r>
        <w:rPr>
          <w:noProof/>
        </w:rPr>
        <w:t>Dentition:</w:t>
      </w:r>
    </w:p>
    <w:p w:rsidR="00A35CA0" w:rsidRDefault="00361913" w:rsidP="00CA5FBB">
      <w:pPr>
        <w:pStyle w:val="ListParagraph"/>
        <w:numPr>
          <w:ilvl w:val="0"/>
          <w:numId w:val="9"/>
        </w:numPr>
        <w:tabs>
          <w:tab w:val="left" w:pos="360"/>
        </w:tabs>
        <w:spacing w:line="276" w:lineRule="auto"/>
        <w:rPr>
          <w:noProof/>
        </w:rPr>
      </w:pPr>
      <w:r w:rsidRPr="00ED49D8">
        <w:rPr>
          <w:noProof/>
        </w:rPr>
        <w:t>Bilateral ass</w:t>
      </w:r>
      <w:r>
        <w:rPr>
          <w:noProof/>
        </w:rPr>
        <w:t>essment of dentition by species including tooth presence and completion of quadrants: section 3.4.1 and 3.4.2.</w:t>
      </w:r>
    </w:p>
    <w:p w:rsidR="00361913" w:rsidRDefault="00361913" w:rsidP="00C37B05">
      <w:pPr>
        <w:spacing w:line="276" w:lineRule="auto"/>
        <w:rPr>
          <w:noProof/>
        </w:rPr>
      </w:pPr>
      <w:r>
        <w:rPr>
          <w:noProof/>
        </w:rPr>
        <w:t>Epiphyseal fusion:</w:t>
      </w:r>
    </w:p>
    <w:p w:rsidR="00361913" w:rsidRDefault="00361913" w:rsidP="00C37B05">
      <w:pPr>
        <w:pStyle w:val="ListParagraph"/>
        <w:numPr>
          <w:ilvl w:val="0"/>
          <w:numId w:val="10"/>
        </w:numPr>
        <w:tabs>
          <w:tab w:val="left" w:pos="360"/>
        </w:tabs>
        <w:spacing w:line="276" w:lineRule="auto"/>
        <w:rPr>
          <w:noProof/>
        </w:rPr>
      </w:pPr>
      <w:r>
        <w:rPr>
          <w:noProof/>
        </w:rPr>
        <w:t>Number of bilateral epiphyseal fusion site records: section 3.5.1</w:t>
      </w:r>
    </w:p>
    <w:p w:rsidR="00D93DE6" w:rsidRDefault="00D93DE6" w:rsidP="00C37B05">
      <w:pPr>
        <w:pStyle w:val="ListParagraph"/>
        <w:tabs>
          <w:tab w:val="left" w:pos="360"/>
        </w:tabs>
        <w:spacing w:line="276" w:lineRule="auto"/>
        <w:rPr>
          <w:noProof/>
        </w:rPr>
      </w:pPr>
    </w:p>
    <w:p w:rsidR="00361913" w:rsidRDefault="00361913" w:rsidP="00C37B05">
      <w:pPr>
        <w:pStyle w:val="ListParagraph"/>
        <w:numPr>
          <w:ilvl w:val="0"/>
          <w:numId w:val="10"/>
        </w:numPr>
        <w:tabs>
          <w:tab w:val="left" w:pos="360"/>
        </w:tabs>
        <w:spacing w:line="276" w:lineRule="auto"/>
        <w:rPr>
          <w:noProof/>
        </w:rPr>
      </w:pPr>
      <w:r>
        <w:rPr>
          <w:noProof/>
        </w:rPr>
        <w:t>Number of complete epiphyseal fusion centre data points: section 3.5.1</w:t>
      </w:r>
    </w:p>
    <w:p w:rsidR="00361913" w:rsidRDefault="00361913" w:rsidP="00C37B05">
      <w:pPr>
        <w:spacing w:line="276" w:lineRule="auto"/>
        <w:rPr>
          <w:noProof/>
        </w:rPr>
      </w:pPr>
      <w:r>
        <w:rPr>
          <w:noProof/>
        </w:rPr>
        <w:t>Long-bone length:</w:t>
      </w:r>
    </w:p>
    <w:p w:rsidR="00361913" w:rsidRPr="00ED49D8" w:rsidRDefault="00361913" w:rsidP="00C37B05">
      <w:pPr>
        <w:pStyle w:val="ListParagraph"/>
        <w:numPr>
          <w:ilvl w:val="0"/>
          <w:numId w:val="11"/>
        </w:numPr>
        <w:tabs>
          <w:tab w:val="left" w:pos="360"/>
        </w:tabs>
        <w:spacing w:line="276" w:lineRule="auto"/>
        <w:rPr>
          <w:noProof/>
        </w:rPr>
      </w:pPr>
      <w:r>
        <w:rPr>
          <w:noProof/>
        </w:rPr>
        <w:t>Number of bilateral measurements for long bone length: section 3.6.1 and 3.6.2</w:t>
      </w:r>
    </w:p>
    <w:p w:rsidR="00D93DE6" w:rsidRDefault="00D93DE6" w:rsidP="00C37B05">
      <w:pPr>
        <w:pStyle w:val="ListParagraph"/>
        <w:tabs>
          <w:tab w:val="left" w:pos="360"/>
        </w:tabs>
        <w:spacing w:line="276" w:lineRule="auto"/>
        <w:rPr>
          <w:noProof/>
        </w:rPr>
      </w:pPr>
    </w:p>
    <w:p w:rsidR="00361913" w:rsidRDefault="00361913" w:rsidP="00C37B05">
      <w:pPr>
        <w:pStyle w:val="ListParagraph"/>
        <w:numPr>
          <w:ilvl w:val="0"/>
          <w:numId w:val="11"/>
        </w:numPr>
        <w:tabs>
          <w:tab w:val="left" w:pos="360"/>
        </w:tabs>
        <w:spacing w:line="276" w:lineRule="auto"/>
        <w:rPr>
          <w:noProof/>
        </w:rPr>
      </w:pPr>
      <w:r>
        <w:rPr>
          <w:noProof/>
        </w:rPr>
        <w:t>Number of complete long bones: section 3.6.3</w:t>
      </w:r>
    </w:p>
    <w:p w:rsidR="00361913" w:rsidRDefault="00361913" w:rsidP="00D93DE6">
      <w:pPr>
        <w:rPr>
          <w:noProof/>
        </w:rPr>
      </w:pPr>
      <w:r>
        <w:rPr>
          <w:noProof/>
        </w:rPr>
        <w:lastRenderedPageBreak/>
        <w:t>Cortical condition and state of preservation are important factors to consider as poor preservation may lead to difficulty in making assessments regarding epiphyseal fusion and ultimately with regards to error in measurement.  For all of these collections the state of preservation was very good.  Provided here is a brief statement for each collection regarding collection condition.</w:t>
      </w:r>
    </w:p>
    <w:p w:rsidR="00361913" w:rsidRDefault="00361913" w:rsidP="00D93DE6">
      <w:pPr>
        <w:rPr>
          <w:noProof/>
        </w:rPr>
      </w:pPr>
      <w:r>
        <w:rPr>
          <w:noProof/>
        </w:rPr>
        <w:t xml:space="preserve">The condition of cortical bone </w:t>
      </w:r>
      <w:r w:rsidR="00625CC9">
        <w:rPr>
          <w:noProof/>
        </w:rPr>
        <w:t>for</w:t>
      </w:r>
      <w:r w:rsidR="000E6E16">
        <w:rPr>
          <w:noProof/>
        </w:rPr>
        <w:t xml:space="preserve"> the Powell-Cotton Museum skeletal collection </w:t>
      </w:r>
      <w:r>
        <w:rPr>
          <w:noProof/>
        </w:rPr>
        <w:t xml:space="preserve">was extremely good.  Some cut-marks were visible but this had no impact on the sites used for data collection in this study.  Post-mortem fractures of long bones were not notably present and as such </w:t>
      </w:r>
      <w:r w:rsidR="00446390">
        <w:rPr>
          <w:noProof/>
        </w:rPr>
        <w:t xml:space="preserve">long-bone </w:t>
      </w:r>
      <w:r>
        <w:rPr>
          <w:noProof/>
        </w:rPr>
        <w:t>lengths could be obtained for virtuall</w:t>
      </w:r>
      <w:r w:rsidR="00D4018B">
        <w:rPr>
          <w:noProof/>
        </w:rPr>
        <w:t>y</w:t>
      </w:r>
      <w:r>
        <w:rPr>
          <w:noProof/>
        </w:rPr>
        <w:t xml:space="preserve"> all long bones</w:t>
      </w:r>
      <w:r w:rsidR="000E6E16">
        <w:rPr>
          <w:noProof/>
        </w:rPr>
        <w:t xml:space="preserve"> </w:t>
      </w:r>
      <w:r w:rsidR="00B334EB">
        <w:rPr>
          <w:noProof/>
        </w:rPr>
        <w:t>available</w:t>
      </w:r>
      <w:r>
        <w:rPr>
          <w:noProof/>
        </w:rPr>
        <w:t xml:space="preserve">.  Epiphyses were often found </w:t>
      </w:r>
      <w:r w:rsidR="00D93DE6">
        <w:rPr>
          <w:noProof/>
        </w:rPr>
        <w:t>glued to the ends of the bones.</w:t>
      </w:r>
    </w:p>
    <w:p w:rsidR="00361913" w:rsidRDefault="000E6E16" w:rsidP="00D93DE6">
      <w:pPr>
        <w:rPr>
          <w:noProof/>
        </w:rPr>
      </w:pPr>
      <w:r>
        <w:rPr>
          <w:noProof/>
        </w:rPr>
        <w:t>In t</w:t>
      </w:r>
      <w:r w:rsidR="00361913">
        <w:rPr>
          <w:noProof/>
        </w:rPr>
        <w:t>he Museum of Central Africa</w:t>
      </w:r>
      <w:r>
        <w:rPr>
          <w:noProof/>
        </w:rPr>
        <w:t xml:space="preserve"> skeletal collection</w:t>
      </w:r>
      <w:r w:rsidR="007223DD">
        <w:rPr>
          <w:noProof/>
        </w:rPr>
        <w:t xml:space="preserve"> </w:t>
      </w:r>
      <w:r>
        <w:rPr>
          <w:noProof/>
        </w:rPr>
        <w:t>the c</w:t>
      </w:r>
      <w:r w:rsidR="00361913">
        <w:rPr>
          <w:noProof/>
        </w:rPr>
        <w:t>ortical condition was generally good</w:t>
      </w:r>
      <w:r w:rsidR="001C3355">
        <w:rPr>
          <w:noProof/>
        </w:rPr>
        <w:t xml:space="preserve"> with most bones having no visible surface damage.  Some </w:t>
      </w:r>
      <w:r w:rsidR="00361913">
        <w:rPr>
          <w:noProof/>
        </w:rPr>
        <w:t>specimens</w:t>
      </w:r>
      <w:r w:rsidR="001C3355">
        <w:rPr>
          <w:noProof/>
        </w:rPr>
        <w:t xml:space="preserve"> showed mild surface erosion</w:t>
      </w:r>
      <w:r w:rsidR="00361913">
        <w:rPr>
          <w:noProof/>
        </w:rPr>
        <w:t xml:space="preserve">.  Some cut-marks remained due to disarticulation but these did not impede data collection.  None of these specimens had decay severe enough to be considered a problem for evaluation of epiphyseal </w:t>
      </w:r>
      <w:r w:rsidR="00D4018B">
        <w:rPr>
          <w:noProof/>
        </w:rPr>
        <w:t>state or length measurements.  Similarly to the Powell-Cotton Museum, e</w:t>
      </w:r>
      <w:r w:rsidR="00361913">
        <w:rPr>
          <w:noProof/>
        </w:rPr>
        <w:t>piphyses were often</w:t>
      </w:r>
      <w:r w:rsidR="00445F47">
        <w:rPr>
          <w:noProof/>
        </w:rPr>
        <w:t xml:space="preserve"> found</w:t>
      </w:r>
      <w:r w:rsidR="00361913">
        <w:rPr>
          <w:noProof/>
        </w:rPr>
        <w:t xml:space="preserve"> glued.  A few skeletons were articulated using wires, which created some difficulties for measurement and this was noted during data collection.  Residual cartilage and liagmentous material made assessment difficult for hand and foot bones in some samples.</w:t>
      </w:r>
    </w:p>
    <w:p w:rsidR="00361913" w:rsidRDefault="000E6E16" w:rsidP="00D93DE6">
      <w:pPr>
        <w:rPr>
          <w:noProof/>
        </w:rPr>
      </w:pPr>
      <w:r>
        <w:rPr>
          <w:noProof/>
        </w:rPr>
        <w:t xml:space="preserve">The skeletal collection at the University of Zurich </w:t>
      </w:r>
      <w:r w:rsidR="00445F47">
        <w:rPr>
          <w:noProof/>
        </w:rPr>
        <w:t>demonstrated good</w:t>
      </w:r>
      <w:r>
        <w:rPr>
          <w:noProof/>
        </w:rPr>
        <w:t xml:space="preserve"> c</w:t>
      </w:r>
      <w:r w:rsidR="00361913">
        <w:rPr>
          <w:noProof/>
        </w:rPr>
        <w:t xml:space="preserve">ortical </w:t>
      </w:r>
      <w:r w:rsidR="00445F47">
        <w:rPr>
          <w:noProof/>
        </w:rPr>
        <w:t>preservation with most bones having no visible surface damage</w:t>
      </w:r>
      <w:r w:rsidR="00361913">
        <w:rPr>
          <w:noProof/>
        </w:rPr>
        <w:t>.  Some cut-marks remained due to disarticulation but these in no way impeded data collection.  Many of the skulls had the top portion of the cranium removed, presumably for extraction of the brain for post-mortem examination or preparation.  The piece of bone that was removed, which included parts of the frontal, parietal, and occipital, was not often present.</w:t>
      </w:r>
    </w:p>
    <w:p w:rsidR="00361913" w:rsidRPr="00422910" w:rsidRDefault="00361913" w:rsidP="00D93DE6">
      <w:pPr>
        <w:rPr>
          <w:noProof/>
        </w:rPr>
      </w:pPr>
      <w:r>
        <w:rPr>
          <w:noProof/>
        </w:rPr>
        <w:t xml:space="preserve">The individuals </w:t>
      </w:r>
      <w:r w:rsidR="00FD6B2C">
        <w:rPr>
          <w:noProof/>
        </w:rPr>
        <w:t xml:space="preserve">from Weston Park Museum </w:t>
      </w:r>
      <w:r>
        <w:rPr>
          <w:noProof/>
        </w:rPr>
        <w:t xml:space="preserve">were articulated on stands and intended for display.  These skeletons retained a </w:t>
      </w:r>
      <w:r w:rsidR="00F961EE">
        <w:rPr>
          <w:noProof/>
        </w:rPr>
        <w:t>considerable</w:t>
      </w:r>
      <w:r>
        <w:rPr>
          <w:noProof/>
        </w:rPr>
        <w:t xml:space="preserve"> amount of cartilage and ligamentous material making assessment </w:t>
      </w:r>
      <w:r w:rsidR="00C3478F">
        <w:rPr>
          <w:noProof/>
        </w:rPr>
        <w:t>difficult</w:t>
      </w:r>
      <w:r>
        <w:rPr>
          <w:noProof/>
        </w:rPr>
        <w:t>.</w:t>
      </w:r>
    </w:p>
    <w:p w:rsidR="00361913" w:rsidRPr="00D93DE6" w:rsidRDefault="00361913" w:rsidP="00D263E8">
      <w:pPr>
        <w:pStyle w:val="Heading3"/>
      </w:pPr>
      <w:bookmarkStart w:id="120" w:name="_Toc373477756"/>
      <w:bookmarkStart w:id="121" w:name="_Toc373480754"/>
      <w:r w:rsidRPr="00FF6593">
        <w:t>Observation of pathological conditions</w:t>
      </w:r>
      <w:bookmarkEnd w:id="120"/>
      <w:bookmarkEnd w:id="121"/>
    </w:p>
    <w:p w:rsidR="00361913" w:rsidRDefault="00361913" w:rsidP="00D93DE6">
      <w:pPr>
        <w:rPr>
          <w:noProof/>
        </w:rPr>
      </w:pPr>
      <w:r>
        <w:rPr>
          <w:noProof/>
        </w:rPr>
        <w:t>A variety of pathological conditions are known to affect skeletal development (Bogin 1999</w:t>
      </w:r>
      <w:r w:rsidR="00026F6B">
        <w:rPr>
          <w:noProof/>
        </w:rPr>
        <w:t>a</w:t>
      </w:r>
      <w:r>
        <w:rPr>
          <w:noProof/>
        </w:rPr>
        <w:t>, Scheuer and Black 2000).  Many such conditions are not visible osteologically, but some may be symptomatic in the skelet</w:t>
      </w:r>
      <w:r w:rsidR="005E3335">
        <w:rPr>
          <w:noProof/>
        </w:rPr>
        <w:t>on</w:t>
      </w:r>
      <w:r>
        <w:rPr>
          <w:noProof/>
        </w:rPr>
        <w:t xml:space="preserve"> such as linear enamel hypoplastic defects in dentition which can be an indication of</w:t>
      </w:r>
      <w:r w:rsidR="00764125">
        <w:rPr>
          <w:noProof/>
        </w:rPr>
        <w:t xml:space="preserve"> periods of</w:t>
      </w:r>
      <w:r w:rsidR="005E3335">
        <w:rPr>
          <w:noProof/>
        </w:rPr>
        <w:t xml:space="preserve"> nutritional stress among other things.</w:t>
      </w:r>
      <w:r>
        <w:rPr>
          <w:noProof/>
        </w:rPr>
        <w:t xml:space="preserve">  The inclusion of only healthy individuals is desireable for the study of ontogeny.  However, when using skeletonised collections</w:t>
      </w:r>
      <w:r w:rsidR="00935A89">
        <w:rPr>
          <w:noProof/>
        </w:rPr>
        <w:t xml:space="preserve"> </w:t>
      </w:r>
      <w:r>
        <w:rPr>
          <w:noProof/>
        </w:rPr>
        <w:t xml:space="preserve">with often limited </w:t>
      </w:r>
      <w:r>
        <w:rPr>
          <w:noProof/>
        </w:rPr>
        <w:lastRenderedPageBreak/>
        <w:t xml:space="preserve">information about the individual during life and cause of death, there is no means to conclusively demonstrate that all individuals were free of pathological conditions.  </w:t>
      </w:r>
      <w:r w:rsidR="00A16A68">
        <w:rPr>
          <w:noProof/>
        </w:rPr>
        <w:t>In addition</w:t>
      </w:r>
      <w:r>
        <w:rPr>
          <w:noProof/>
        </w:rPr>
        <w:t>, many observed disturbances in skeletonised individuals may not represent an insult to normal development or the pattern of development.  In humans there is evidence that nutritional stress may cause chronological delays</w:t>
      </w:r>
      <w:r w:rsidR="00935A89">
        <w:rPr>
          <w:noProof/>
        </w:rPr>
        <w:t xml:space="preserve"> in</w:t>
      </w:r>
      <w:r>
        <w:rPr>
          <w:noProof/>
        </w:rPr>
        <w:t xml:space="preserve"> skeletal maturity (Bogin 1999</w:t>
      </w:r>
      <w:r w:rsidR="00026F6B">
        <w:rPr>
          <w:noProof/>
        </w:rPr>
        <w:t>a</w:t>
      </w:r>
      <w:r>
        <w:rPr>
          <w:noProof/>
        </w:rPr>
        <w:t xml:space="preserve">) but there is no evidence that the pattern of fusion events changes.  It has been noted that dental development is less susceptible to systemic stress than is skeletal development and as a consequence, discrepancies may develop between expected skeletal and dental maturation (Cardoso 2007).  </w:t>
      </w:r>
      <w:r w:rsidR="00240BD4">
        <w:rPr>
          <w:noProof/>
        </w:rPr>
        <w:t>Here</w:t>
      </w:r>
      <w:r>
        <w:rPr>
          <w:noProof/>
        </w:rPr>
        <w:t xml:space="preserve"> the assumption</w:t>
      </w:r>
      <w:r w:rsidR="00240BD4">
        <w:rPr>
          <w:noProof/>
        </w:rPr>
        <w:t xml:space="preserve"> is</w:t>
      </w:r>
      <w:r>
        <w:rPr>
          <w:noProof/>
        </w:rPr>
        <w:t xml:space="preserve"> that chimpanzees and bonobos fundamentally operate on the same principles.  Some evidence does suggest that this is true </w:t>
      </w:r>
      <w:r w:rsidR="00831000">
        <w:rPr>
          <w:noProof/>
        </w:rPr>
        <w:t>from</w:t>
      </w:r>
      <w:r>
        <w:rPr>
          <w:noProof/>
        </w:rPr>
        <w:t xml:space="preserve"> comparisons of wild and captive chimpanzees (Zihlman </w:t>
      </w:r>
      <w:r>
        <w:rPr>
          <w:i/>
          <w:noProof/>
        </w:rPr>
        <w:t>et al</w:t>
      </w:r>
      <w:r w:rsidR="00DA3C7F">
        <w:rPr>
          <w:i/>
          <w:noProof/>
        </w:rPr>
        <w:t>.</w:t>
      </w:r>
      <w:r>
        <w:rPr>
          <w:noProof/>
        </w:rPr>
        <w:t xml:space="preserve"> 2007).</w:t>
      </w:r>
    </w:p>
    <w:p w:rsidR="00361913" w:rsidRDefault="00361913" w:rsidP="00D93DE6">
      <w:pPr>
        <w:rPr>
          <w:noProof/>
        </w:rPr>
      </w:pPr>
      <w:r>
        <w:rPr>
          <w:noProof/>
        </w:rPr>
        <w:t xml:space="preserve">As a matter of establishing criteria in which to accept a sample for data collection, only very overtly </w:t>
      </w:r>
      <w:r w:rsidR="00240BD4">
        <w:rPr>
          <w:noProof/>
        </w:rPr>
        <w:t xml:space="preserve">pathologically affected </w:t>
      </w:r>
      <w:r>
        <w:rPr>
          <w:noProof/>
        </w:rPr>
        <w:t>individuals were discounted.  In other words, individuals excluded were those that appeared to have very obvious and severe systemic changes in bone structure such as substantial cortical remodelling and deformation of bones and teeth</w:t>
      </w:r>
      <w:r w:rsidR="00855F00">
        <w:rPr>
          <w:noProof/>
        </w:rPr>
        <w:t xml:space="preserve"> (Table 3.6</w:t>
      </w:r>
      <w:r w:rsidR="00240BD4">
        <w:rPr>
          <w:noProof/>
        </w:rPr>
        <w:t>)</w:t>
      </w:r>
      <w:r>
        <w:rPr>
          <w:noProof/>
        </w:rPr>
        <w:t>.  Only two individuals from the Museum of Central Africa fell into this category.  Other potentially pathological conditions were subsequently observed during data collection and instead of immediately rejecting that individual, the condition was simply noted by verbal description.  Analysis of variation potentially cause</w:t>
      </w:r>
      <w:r w:rsidR="008B2EA2">
        <w:rPr>
          <w:noProof/>
        </w:rPr>
        <w:t>d</w:t>
      </w:r>
      <w:r>
        <w:rPr>
          <w:noProof/>
        </w:rPr>
        <w:t xml:space="preserve"> by pathological conditions can be found in sections 3.5.1 (</w:t>
      </w:r>
      <w:r w:rsidRPr="00A908E6">
        <w:rPr>
          <w:noProof/>
        </w:rPr>
        <w:t>Determining combined sample values for analysis of epiphyseal fusion</w:t>
      </w:r>
      <w:r w:rsidR="008B2EA2">
        <w:rPr>
          <w:noProof/>
        </w:rPr>
        <w:t>)</w:t>
      </w:r>
      <w:r>
        <w:rPr>
          <w:noProof/>
        </w:rPr>
        <w:t>.  Evidence of fractures was also recorded.  In the entire sample there were 9 individuals with clear evidence for fractures that were either healed or in a state of non-union and 3 which were suspected of having had a healed fracture with extensive remodelling.</w:t>
      </w:r>
    </w:p>
    <w:p w:rsidR="00361913" w:rsidRPr="00D93DE6" w:rsidRDefault="00D557BE" w:rsidP="00D557BE">
      <w:pPr>
        <w:pStyle w:val="Caption"/>
      </w:pPr>
      <w:bookmarkStart w:id="122" w:name="_Toc373180118"/>
      <w:proofErr w:type="gramStart"/>
      <w:r w:rsidRPr="00D557BE">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6</w:t>
      </w:r>
      <w:r w:rsidR="008943E4">
        <w:rPr>
          <w:b/>
        </w:rPr>
        <w:fldChar w:fldCharType="end"/>
      </w:r>
      <w:r w:rsidR="00A42C93">
        <w:rPr>
          <w:b/>
        </w:rPr>
        <w:t xml:space="preserve"> </w:t>
      </w:r>
      <w:r w:rsidR="00361913" w:rsidRPr="00DD1728">
        <w:t xml:space="preserve"> </w:t>
      </w:r>
      <w:r w:rsidR="00240BD4">
        <w:t>The three major categories of pathological conditions that were observed in the study populations.</w:t>
      </w:r>
      <w:bookmarkEnd w:id="122"/>
    </w:p>
    <w:tbl>
      <w:tblPr>
        <w:tblW w:w="5140" w:type="dxa"/>
        <w:jc w:val="center"/>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4180"/>
        <w:gridCol w:w="960"/>
      </w:tblGrid>
      <w:tr w:rsidR="00361913" w:rsidRPr="00A81023" w:rsidTr="00C23192">
        <w:trPr>
          <w:trHeight w:val="300"/>
          <w:jc w:val="center"/>
        </w:trPr>
        <w:tc>
          <w:tcPr>
            <w:tcW w:w="4180" w:type="dxa"/>
            <w:tcBorders>
              <w:bottom w:val="single" w:sz="4" w:space="0" w:color="auto"/>
            </w:tcBorders>
            <w:shd w:val="clear" w:color="auto" w:fill="auto"/>
            <w:noWrap/>
            <w:vAlign w:val="center"/>
            <w:hideMark/>
          </w:tcPr>
          <w:p w:rsidR="00361913" w:rsidRPr="00A81023" w:rsidRDefault="00C23192" w:rsidP="00C23192">
            <w:pPr>
              <w:spacing w:before="0" w:line="240" w:lineRule="auto"/>
              <w:jc w:val="center"/>
              <w:rPr>
                <w:rFonts w:eastAsia="Times New Roman"/>
                <w:b/>
                <w:bCs/>
                <w:color w:val="000000"/>
                <w:lang w:val="en-GB" w:eastAsia="en-GB"/>
              </w:rPr>
            </w:pPr>
            <w:r>
              <w:rPr>
                <w:rFonts w:eastAsia="Times New Roman"/>
                <w:b/>
                <w:bCs/>
                <w:color w:val="000000"/>
                <w:lang w:val="en-GB" w:eastAsia="en-GB"/>
              </w:rPr>
              <w:t>c</w:t>
            </w:r>
            <w:r w:rsidR="00361913" w:rsidRPr="00A81023">
              <w:rPr>
                <w:rFonts w:eastAsia="Times New Roman"/>
                <w:b/>
                <w:bCs/>
                <w:color w:val="000000"/>
                <w:lang w:val="en-GB" w:eastAsia="en-GB"/>
              </w:rPr>
              <w:t>ondition</w:t>
            </w:r>
          </w:p>
        </w:tc>
        <w:tc>
          <w:tcPr>
            <w:tcW w:w="960" w:type="dxa"/>
            <w:tcBorders>
              <w:bottom w:val="single" w:sz="4" w:space="0" w:color="auto"/>
            </w:tcBorders>
            <w:shd w:val="clear" w:color="auto" w:fill="auto"/>
            <w:noWrap/>
            <w:vAlign w:val="center"/>
            <w:hideMark/>
          </w:tcPr>
          <w:p w:rsidR="00361913" w:rsidRPr="00C23192" w:rsidRDefault="0096511A" w:rsidP="00C23192">
            <w:pPr>
              <w:spacing w:before="0" w:line="240" w:lineRule="auto"/>
              <w:jc w:val="center"/>
              <w:rPr>
                <w:rFonts w:eastAsia="Times New Roman"/>
                <w:b/>
                <w:bCs/>
                <w:i/>
                <w:color w:val="000000"/>
                <w:lang w:val="en-GB" w:eastAsia="en-GB"/>
              </w:rPr>
            </w:pPr>
            <w:r w:rsidRPr="00C23192">
              <w:rPr>
                <w:rFonts w:eastAsia="Times New Roman"/>
                <w:b/>
                <w:bCs/>
                <w:i/>
                <w:color w:val="000000"/>
                <w:lang w:val="en-GB" w:eastAsia="en-GB"/>
              </w:rPr>
              <w:t>N</w:t>
            </w:r>
          </w:p>
        </w:tc>
      </w:tr>
      <w:tr w:rsidR="00361913" w:rsidRPr="00A81023" w:rsidTr="00C23192">
        <w:trPr>
          <w:trHeight w:val="300"/>
          <w:jc w:val="center"/>
        </w:trPr>
        <w:tc>
          <w:tcPr>
            <w:tcW w:w="4180" w:type="dxa"/>
            <w:tcBorders>
              <w:top w:val="single" w:sz="4" w:space="0" w:color="auto"/>
              <w:bottom w:val="nil"/>
            </w:tcBorders>
            <w:shd w:val="clear" w:color="auto" w:fill="auto"/>
            <w:noWrap/>
            <w:vAlign w:val="center"/>
            <w:hideMark/>
          </w:tcPr>
          <w:p w:rsidR="00361913" w:rsidRPr="00A81023" w:rsidRDefault="00361913" w:rsidP="00C23192">
            <w:pPr>
              <w:spacing w:before="0" w:line="240" w:lineRule="auto"/>
              <w:jc w:val="left"/>
              <w:rPr>
                <w:rFonts w:eastAsia="Times New Roman"/>
                <w:color w:val="000000"/>
                <w:lang w:val="en-GB" w:eastAsia="en-GB"/>
              </w:rPr>
            </w:pPr>
            <w:r w:rsidRPr="00A81023">
              <w:rPr>
                <w:rFonts w:eastAsia="Times New Roman"/>
                <w:color w:val="000000"/>
                <w:lang w:val="en-GB" w:eastAsia="en-GB"/>
              </w:rPr>
              <w:t>suspected infection</w:t>
            </w:r>
          </w:p>
        </w:tc>
        <w:tc>
          <w:tcPr>
            <w:tcW w:w="960" w:type="dxa"/>
            <w:tcBorders>
              <w:top w:val="single" w:sz="4" w:space="0" w:color="auto"/>
              <w:bottom w:val="nil"/>
            </w:tcBorders>
            <w:shd w:val="clear" w:color="auto" w:fill="auto"/>
            <w:noWrap/>
            <w:vAlign w:val="center"/>
            <w:hideMark/>
          </w:tcPr>
          <w:p w:rsidR="00361913" w:rsidRPr="00A81023" w:rsidRDefault="00361913" w:rsidP="00C23192">
            <w:pPr>
              <w:spacing w:before="0" w:line="240" w:lineRule="auto"/>
              <w:jc w:val="center"/>
              <w:rPr>
                <w:rFonts w:eastAsia="Times New Roman"/>
                <w:color w:val="000000"/>
                <w:lang w:val="en-GB" w:eastAsia="en-GB"/>
              </w:rPr>
            </w:pPr>
            <w:r w:rsidRPr="00A81023">
              <w:rPr>
                <w:rFonts w:eastAsia="Times New Roman"/>
                <w:color w:val="000000"/>
                <w:lang w:val="en-GB" w:eastAsia="en-GB"/>
              </w:rPr>
              <w:t>18</w:t>
            </w:r>
          </w:p>
        </w:tc>
      </w:tr>
      <w:tr w:rsidR="00361913" w:rsidRPr="00A81023" w:rsidTr="00C23192">
        <w:trPr>
          <w:trHeight w:val="300"/>
          <w:jc w:val="center"/>
        </w:trPr>
        <w:tc>
          <w:tcPr>
            <w:tcW w:w="4180" w:type="dxa"/>
            <w:tcBorders>
              <w:top w:val="nil"/>
              <w:bottom w:val="nil"/>
            </w:tcBorders>
            <w:shd w:val="clear" w:color="auto" w:fill="auto"/>
            <w:noWrap/>
            <w:vAlign w:val="center"/>
            <w:hideMark/>
          </w:tcPr>
          <w:p w:rsidR="00361913" w:rsidRPr="00A81023" w:rsidRDefault="00361913" w:rsidP="00C23192">
            <w:pPr>
              <w:spacing w:before="0" w:line="240" w:lineRule="auto"/>
              <w:jc w:val="left"/>
              <w:rPr>
                <w:rFonts w:eastAsia="Times New Roman"/>
                <w:color w:val="000000"/>
                <w:lang w:val="en-GB" w:eastAsia="en-GB"/>
              </w:rPr>
            </w:pPr>
            <w:r w:rsidRPr="00A81023">
              <w:rPr>
                <w:rFonts w:eastAsia="Times New Roman"/>
                <w:color w:val="000000"/>
                <w:lang w:val="en-GB" w:eastAsia="en-GB"/>
              </w:rPr>
              <w:t>linear enamel hypoplasia</w:t>
            </w:r>
          </w:p>
        </w:tc>
        <w:tc>
          <w:tcPr>
            <w:tcW w:w="960" w:type="dxa"/>
            <w:tcBorders>
              <w:top w:val="nil"/>
              <w:bottom w:val="nil"/>
            </w:tcBorders>
            <w:shd w:val="clear" w:color="auto" w:fill="auto"/>
            <w:noWrap/>
            <w:vAlign w:val="center"/>
            <w:hideMark/>
          </w:tcPr>
          <w:p w:rsidR="00361913" w:rsidRPr="00A81023" w:rsidRDefault="00361913" w:rsidP="00C23192">
            <w:pPr>
              <w:spacing w:before="0" w:line="240" w:lineRule="auto"/>
              <w:jc w:val="center"/>
              <w:rPr>
                <w:rFonts w:eastAsia="Times New Roman"/>
                <w:color w:val="000000"/>
                <w:lang w:val="en-GB" w:eastAsia="en-GB"/>
              </w:rPr>
            </w:pPr>
            <w:r w:rsidRPr="00A81023">
              <w:rPr>
                <w:rFonts w:eastAsia="Times New Roman"/>
                <w:color w:val="000000"/>
                <w:lang w:val="en-GB" w:eastAsia="en-GB"/>
              </w:rPr>
              <w:t>9</w:t>
            </w:r>
          </w:p>
        </w:tc>
      </w:tr>
      <w:tr w:rsidR="00361913" w:rsidRPr="00A81023" w:rsidTr="00C23192">
        <w:trPr>
          <w:trHeight w:val="300"/>
          <w:jc w:val="center"/>
        </w:trPr>
        <w:tc>
          <w:tcPr>
            <w:tcW w:w="4180" w:type="dxa"/>
            <w:tcBorders>
              <w:top w:val="nil"/>
              <w:bottom w:val="single" w:sz="4" w:space="0" w:color="auto"/>
            </w:tcBorders>
            <w:shd w:val="clear" w:color="auto" w:fill="auto"/>
            <w:noWrap/>
            <w:vAlign w:val="center"/>
            <w:hideMark/>
          </w:tcPr>
          <w:p w:rsidR="00361913" w:rsidRPr="00A81023" w:rsidRDefault="00361913" w:rsidP="00C23192">
            <w:pPr>
              <w:spacing w:before="0" w:line="240" w:lineRule="auto"/>
              <w:jc w:val="left"/>
              <w:rPr>
                <w:rFonts w:eastAsia="Times New Roman"/>
                <w:color w:val="000000"/>
                <w:lang w:val="en-GB" w:eastAsia="en-GB"/>
              </w:rPr>
            </w:pPr>
            <w:r w:rsidRPr="00A81023">
              <w:rPr>
                <w:rFonts w:eastAsia="Times New Roman"/>
                <w:color w:val="000000"/>
                <w:lang w:val="en-GB" w:eastAsia="en-GB"/>
              </w:rPr>
              <w:t>other unidentified disturbance</w:t>
            </w:r>
          </w:p>
        </w:tc>
        <w:tc>
          <w:tcPr>
            <w:tcW w:w="960" w:type="dxa"/>
            <w:tcBorders>
              <w:top w:val="nil"/>
              <w:bottom w:val="single" w:sz="4" w:space="0" w:color="auto"/>
            </w:tcBorders>
            <w:shd w:val="clear" w:color="auto" w:fill="auto"/>
            <w:noWrap/>
            <w:vAlign w:val="center"/>
            <w:hideMark/>
          </w:tcPr>
          <w:p w:rsidR="00361913" w:rsidRPr="00A81023" w:rsidRDefault="00361913" w:rsidP="00C23192">
            <w:pPr>
              <w:spacing w:before="0" w:line="240" w:lineRule="auto"/>
              <w:jc w:val="center"/>
              <w:rPr>
                <w:rFonts w:eastAsia="Times New Roman"/>
                <w:color w:val="000000"/>
                <w:lang w:val="en-GB" w:eastAsia="en-GB"/>
              </w:rPr>
            </w:pPr>
            <w:r w:rsidRPr="00A81023">
              <w:rPr>
                <w:rFonts w:eastAsia="Times New Roman"/>
                <w:color w:val="000000"/>
                <w:lang w:val="en-GB" w:eastAsia="en-GB"/>
              </w:rPr>
              <w:t>24</w:t>
            </w:r>
          </w:p>
        </w:tc>
      </w:tr>
      <w:tr w:rsidR="00361913" w:rsidRPr="00A81023" w:rsidTr="00C23192">
        <w:trPr>
          <w:trHeight w:val="300"/>
          <w:jc w:val="center"/>
        </w:trPr>
        <w:tc>
          <w:tcPr>
            <w:tcW w:w="4180" w:type="dxa"/>
            <w:tcBorders>
              <w:top w:val="single" w:sz="4" w:space="0" w:color="auto"/>
            </w:tcBorders>
            <w:shd w:val="clear" w:color="auto" w:fill="auto"/>
            <w:noWrap/>
            <w:vAlign w:val="center"/>
            <w:hideMark/>
          </w:tcPr>
          <w:p w:rsidR="00361913" w:rsidRPr="00A81023" w:rsidRDefault="00361913" w:rsidP="00C23192">
            <w:pPr>
              <w:spacing w:before="0" w:line="240" w:lineRule="auto"/>
              <w:jc w:val="left"/>
              <w:rPr>
                <w:rFonts w:eastAsia="Times New Roman"/>
                <w:color w:val="000000"/>
                <w:lang w:val="en-GB" w:eastAsia="en-GB"/>
              </w:rPr>
            </w:pPr>
            <w:r w:rsidRPr="00A81023">
              <w:rPr>
                <w:rFonts w:eastAsia="Times New Roman"/>
                <w:color w:val="000000"/>
                <w:lang w:val="en-GB" w:eastAsia="en-GB"/>
              </w:rPr>
              <w:t>total observed pathological individuals</w:t>
            </w:r>
          </w:p>
        </w:tc>
        <w:tc>
          <w:tcPr>
            <w:tcW w:w="960" w:type="dxa"/>
            <w:tcBorders>
              <w:top w:val="single" w:sz="4" w:space="0" w:color="auto"/>
            </w:tcBorders>
            <w:shd w:val="clear" w:color="auto" w:fill="auto"/>
            <w:noWrap/>
            <w:vAlign w:val="center"/>
            <w:hideMark/>
          </w:tcPr>
          <w:p w:rsidR="00361913" w:rsidRPr="00A81023" w:rsidRDefault="00361913" w:rsidP="00C23192">
            <w:pPr>
              <w:spacing w:before="0" w:line="240" w:lineRule="auto"/>
              <w:jc w:val="center"/>
              <w:rPr>
                <w:rFonts w:eastAsia="Times New Roman"/>
                <w:color w:val="000000"/>
                <w:lang w:val="en-GB" w:eastAsia="en-GB"/>
              </w:rPr>
            </w:pPr>
            <w:r w:rsidRPr="00A81023">
              <w:rPr>
                <w:rFonts w:eastAsia="Times New Roman"/>
                <w:color w:val="000000"/>
                <w:lang w:val="en-GB" w:eastAsia="en-GB"/>
              </w:rPr>
              <w:t>51</w:t>
            </w:r>
          </w:p>
        </w:tc>
      </w:tr>
    </w:tbl>
    <w:p w:rsidR="0083336B" w:rsidRDefault="0083336B">
      <w:pPr>
        <w:spacing w:before="0" w:after="200" w:line="276" w:lineRule="auto"/>
        <w:jc w:val="left"/>
        <w:rPr>
          <w:rFonts w:asciiTheme="majorBidi" w:eastAsia="Times New Roman" w:hAnsiTheme="majorBidi" w:cstheme="majorBidi"/>
          <w:b/>
          <w:bCs/>
          <w:i/>
          <w:noProof/>
          <w:snapToGrid w:val="0"/>
          <w:color w:val="000000" w:themeColor="text1"/>
          <w:lang w:val="nl-NL"/>
        </w:rPr>
      </w:pPr>
      <w:r>
        <w:br w:type="page"/>
      </w:r>
    </w:p>
    <w:p w:rsidR="00361913" w:rsidRPr="00D93DE6" w:rsidRDefault="00361913" w:rsidP="00D263E8">
      <w:pPr>
        <w:pStyle w:val="Heading3"/>
      </w:pPr>
      <w:bookmarkStart w:id="123" w:name="_Toc373477757"/>
      <w:bookmarkStart w:id="124" w:name="_Toc373480755"/>
      <w:r>
        <w:lastRenderedPageBreak/>
        <w:t>Inclusion of species and sub-species for analysis</w:t>
      </w:r>
      <w:bookmarkEnd w:id="123"/>
      <w:bookmarkEnd w:id="124"/>
    </w:p>
    <w:p w:rsidR="009A1E7E" w:rsidRDefault="00361913" w:rsidP="00D93DE6">
      <w:pPr>
        <w:rPr>
          <w:noProof/>
        </w:rPr>
      </w:pPr>
      <w:r>
        <w:rPr>
          <w:noProof/>
        </w:rPr>
        <w:t xml:space="preserve">The numbers of each sub-species </w:t>
      </w:r>
      <w:r w:rsidR="0090593E">
        <w:rPr>
          <w:noProof/>
        </w:rPr>
        <w:t>(T</w:t>
      </w:r>
      <w:r>
        <w:rPr>
          <w:noProof/>
        </w:rPr>
        <w:t xml:space="preserve">able </w:t>
      </w:r>
      <w:r w:rsidRPr="00DD1728">
        <w:rPr>
          <w:noProof/>
        </w:rPr>
        <w:t>3.</w:t>
      </w:r>
      <w:r w:rsidR="00E70709">
        <w:rPr>
          <w:noProof/>
        </w:rPr>
        <w:t>3</w:t>
      </w:r>
      <w:r w:rsidR="0090593E">
        <w:rPr>
          <w:noProof/>
        </w:rPr>
        <w:t>;</w:t>
      </w:r>
      <w:r>
        <w:rPr>
          <w:noProof/>
        </w:rPr>
        <w:t xml:space="preserve"> see section 3.1.3) show that the </w:t>
      </w:r>
      <w:r w:rsidR="0090593E">
        <w:rPr>
          <w:noProof/>
        </w:rPr>
        <w:t>frequency</w:t>
      </w:r>
      <w:r>
        <w:rPr>
          <w:noProof/>
        </w:rPr>
        <w:t xml:space="preserve"> </w:t>
      </w:r>
      <w:r w:rsidR="0090593E">
        <w:rPr>
          <w:noProof/>
        </w:rPr>
        <w:t>o</w:t>
      </w:r>
      <w:r>
        <w:rPr>
          <w:noProof/>
        </w:rPr>
        <w:t xml:space="preserve">f each sub-species </w:t>
      </w:r>
      <w:r w:rsidR="00240837">
        <w:rPr>
          <w:noProof/>
        </w:rPr>
        <w:t xml:space="preserve">divided by </w:t>
      </w:r>
      <w:r>
        <w:rPr>
          <w:noProof/>
        </w:rPr>
        <w:t xml:space="preserve">sex were typically in the range of 15 to 30 individuals.  When considering that the number of individuals exhibiting unfused, mid-fusion, and complete fusion categories would be an even smaller sub-set of these groups, the </w:t>
      </w:r>
      <w:r w:rsidR="005B62FE">
        <w:rPr>
          <w:noProof/>
        </w:rPr>
        <w:t>available data would provide insufficient sample size</w:t>
      </w:r>
      <w:r>
        <w:rPr>
          <w:noProof/>
        </w:rPr>
        <w:t xml:space="preserve">.  </w:t>
      </w:r>
      <w:r w:rsidR="00E70709">
        <w:rPr>
          <w:noProof/>
        </w:rPr>
        <w:t xml:space="preserve">For </w:t>
      </w:r>
      <w:r>
        <w:rPr>
          <w:i/>
          <w:noProof/>
        </w:rPr>
        <w:t>Pan paniscus</w:t>
      </w:r>
      <w:r w:rsidR="006D45D8">
        <w:rPr>
          <w:i/>
          <w:noProof/>
        </w:rPr>
        <w:t xml:space="preserve"> </w:t>
      </w:r>
      <w:r w:rsidR="005A718B">
        <w:rPr>
          <w:noProof/>
        </w:rPr>
        <w:t>there were only</w:t>
      </w:r>
      <w:r>
        <w:rPr>
          <w:noProof/>
        </w:rPr>
        <w:t xml:space="preserve"> 37 individuals </w:t>
      </w:r>
      <w:r w:rsidR="005A718B">
        <w:rPr>
          <w:noProof/>
        </w:rPr>
        <w:t xml:space="preserve">in the entire </w:t>
      </w:r>
      <w:r w:rsidR="0090593E">
        <w:rPr>
          <w:noProof/>
        </w:rPr>
        <w:t>sample</w:t>
      </w:r>
      <w:r>
        <w:rPr>
          <w:noProof/>
        </w:rPr>
        <w:t xml:space="preserve">.  </w:t>
      </w:r>
      <w:r w:rsidR="00AA1080">
        <w:rPr>
          <w:noProof/>
        </w:rPr>
        <w:t>In</w:t>
      </w:r>
      <w:r>
        <w:rPr>
          <w:noProof/>
        </w:rPr>
        <w:t xml:space="preserve"> the </w:t>
      </w:r>
      <w:r>
        <w:rPr>
          <w:i/>
          <w:noProof/>
        </w:rPr>
        <w:t xml:space="preserve">Pan troglodytes </w:t>
      </w:r>
      <w:r>
        <w:rPr>
          <w:noProof/>
        </w:rPr>
        <w:t xml:space="preserve">sample </w:t>
      </w:r>
      <w:r w:rsidR="00100C93">
        <w:rPr>
          <w:noProof/>
        </w:rPr>
        <w:t xml:space="preserve">it was possible to group </w:t>
      </w:r>
      <w:r w:rsidR="00AA1080">
        <w:rPr>
          <w:noProof/>
        </w:rPr>
        <w:t xml:space="preserve">both at the </w:t>
      </w:r>
      <w:r>
        <w:rPr>
          <w:noProof/>
        </w:rPr>
        <w:t xml:space="preserve">species and sub-species level.  </w:t>
      </w:r>
      <w:r w:rsidR="00E70709">
        <w:rPr>
          <w:noProof/>
        </w:rPr>
        <w:t>I</w:t>
      </w:r>
      <w:r>
        <w:rPr>
          <w:noProof/>
        </w:rPr>
        <w:t xml:space="preserve">n humans </w:t>
      </w:r>
      <w:r w:rsidR="00100C93">
        <w:rPr>
          <w:noProof/>
        </w:rPr>
        <w:t>as well as</w:t>
      </w:r>
      <w:r>
        <w:rPr>
          <w:noProof/>
        </w:rPr>
        <w:t xml:space="preserve"> other animals, variation in timing and pattern of growth is </w:t>
      </w:r>
      <w:r w:rsidR="00161E2B">
        <w:rPr>
          <w:noProof/>
        </w:rPr>
        <w:t xml:space="preserve">commonly observed </w:t>
      </w:r>
      <w:r>
        <w:rPr>
          <w:noProof/>
        </w:rPr>
        <w:t xml:space="preserve">and as such large sample sizes are desired to encompass </w:t>
      </w:r>
      <w:r w:rsidR="00157309">
        <w:rPr>
          <w:noProof/>
        </w:rPr>
        <w:t xml:space="preserve">as much of </w:t>
      </w:r>
      <w:r>
        <w:rPr>
          <w:noProof/>
        </w:rPr>
        <w:t>this variation</w:t>
      </w:r>
      <w:r w:rsidR="00157309">
        <w:rPr>
          <w:noProof/>
        </w:rPr>
        <w:t xml:space="preserve"> as possible</w:t>
      </w:r>
      <w:r>
        <w:rPr>
          <w:noProof/>
        </w:rPr>
        <w:t>.  This, coupled with the fact that sub</w:t>
      </w:r>
      <w:r w:rsidR="00E02DD9">
        <w:rPr>
          <w:noProof/>
        </w:rPr>
        <w:t>-</w:t>
      </w:r>
      <w:r>
        <w:rPr>
          <w:noProof/>
        </w:rPr>
        <w:t xml:space="preserve">species comparisons would make the analysis impractically large for a single study, </w:t>
      </w:r>
      <w:r w:rsidR="00E02DD9">
        <w:rPr>
          <w:noProof/>
        </w:rPr>
        <w:t xml:space="preserve">meant that </w:t>
      </w:r>
      <w:r>
        <w:rPr>
          <w:noProof/>
        </w:rPr>
        <w:t>it was decided from this point forward to only look at species-level comparisons.  Information on sub-species and provenience will be retained for future analysis.</w:t>
      </w:r>
    </w:p>
    <w:p w:rsidR="00361913" w:rsidRPr="00D93DE6" w:rsidRDefault="00361913" w:rsidP="00D263E8">
      <w:pPr>
        <w:pStyle w:val="Heading2"/>
      </w:pPr>
      <w:bookmarkStart w:id="125" w:name="_Toc373477758"/>
      <w:bookmarkStart w:id="126" w:name="_Toc373480756"/>
      <w:r>
        <w:t>Methodology: Data collection</w:t>
      </w:r>
      <w:bookmarkEnd w:id="125"/>
      <w:bookmarkEnd w:id="126"/>
    </w:p>
    <w:p w:rsidR="00361913" w:rsidRDefault="00361913" w:rsidP="00D263E8">
      <w:pPr>
        <w:pStyle w:val="Heading3"/>
      </w:pPr>
      <w:bookmarkStart w:id="127" w:name="_Toc373477759"/>
      <w:bookmarkStart w:id="128" w:name="_Toc373480757"/>
      <w:r>
        <w:t xml:space="preserve">Overview of </w:t>
      </w:r>
      <w:r w:rsidR="00811123">
        <w:t>d</w:t>
      </w:r>
      <w:r>
        <w:t xml:space="preserve">ata </w:t>
      </w:r>
      <w:r w:rsidR="00811123">
        <w:t>c</w:t>
      </w:r>
      <w:r>
        <w:t>ategories</w:t>
      </w:r>
      <w:bookmarkEnd w:id="127"/>
      <w:bookmarkEnd w:id="128"/>
    </w:p>
    <w:p w:rsidR="00361913" w:rsidRDefault="00361913" w:rsidP="00D93DE6">
      <w:pPr>
        <w:rPr>
          <w:noProof/>
        </w:rPr>
      </w:pPr>
      <w:r>
        <w:rPr>
          <w:noProof/>
        </w:rPr>
        <w:t>The study of skeletal growth and development is a significant area of research that encompass</w:t>
      </w:r>
      <w:r w:rsidR="001F2CA7">
        <w:rPr>
          <w:noProof/>
        </w:rPr>
        <w:t>es</w:t>
      </w:r>
      <w:r>
        <w:rPr>
          <w:noProof/>
        </w:rPr>
        <w:t xml:space="preserve"> many different types of information ranging from morphometrics to specific cellular processes.  This particular study is concerned with tying together </w:t>
      </w:r>
      <w:r w:rsidR="00214EAB">
        <w:rPr>
          <w:noProof/>
        </w:rPr>
        <w:t>certain</w:t>
      </w:r>
      <w:r w:rsidR="0011725B">
        <w:rPr>
          <w:noProof/>
        </w:rPr>
        <w:t xml:space="preserve"> </w:t>
      </w:r>
      <w:r>
        <w:rPr>
          <w:noProof/>
        </w:rPr>
        <w:t>key variables of skeletal development</w:t>
      </w:r>
      <w:r w:rsidR="0011725B">
        <w:rPr>
          <w:noProof/>
        </w:rPr>
        <w:t xml:space="preserve"> in</w:t>
      </w:r>
      <w:r>
        <w:rPr>
          <w:noProof/>
        </w:rPr>
        <w:t xml:space="preserve"> </w:t>
      </w:r>
      <w:r>
        <w:rPr>
          <w:i/>
          <w:noProof/>
        </w:rPr>
        <w:t>Pan</w:t>
      </w:r>
      <w:r>
        <w:rPr>
          <w:noProof/>
        </w:rPr>
        <w:t xml:space="preserve"> and </w:t>
      </w:r>
      <w:r>
        <w:rPr>
          <w:i/>
          <w:noProof/>
        </w:rPr>
        <w:t>Homo</w:t>
      </w:r>
      <w:r>
        <w:rPr>
          <w:noProof/>
        </w:rPr>
        <w:t xml:space="preserve">.  Selecting an appropriate and practical number of variables of study is necessary.  There are three main </w:t>
      </w:r>
      <w:r w:rsidR="0043474E">
        <w:rPr>
          <w:noProof/>
        </w:rPr>
        <w:t xml:space="preserve">types of information </w:t>
      </w:r>
      <w:r>
        <w:rPr>
          <w:noProof/>
        </w:rPr>
        <w:t xml:space="preserve">that </w:t>
      </w:r>
      <w:r w:rsidR="0043474E">
        <w:rPr>
          <w:noProof/>
        </w:rPr>
        <w:t xml:space="preserve">are </w:t>
      </w:r>
      <w:r>
        <w:rPr>
          <w:noProof/>
        </w:rPr>
        <w:t>considered here</w:t>
      </w:r>
      <w:r w:rsidR="009C42FA">
        <w:rPr>
          <w:noProof/>
        </w:rPr>
        <w:t>:</w:t>
      </w:r>
      <w:r>
        <w:rPr>
          <w:noProof/>
        </w:rPr>
        <w:t xml:space="preserve"> epiphyseal fusion, dental development, and long-bone length.  The analysis of these variables in conjunction with each other will provide </w:t>
      </w:r>
      <w:r w:rsidR="003E0BF8">
        <w:rPr>
          <w:noProof/>
        </w:rPr>
        <w:t>an important contribution to present</w:t>
      </w:r>
      <w:r>
        <w:rPr>
          <w:noProof/>
        </w:rPr>
        <w:t xml:space="preserve"> literature.</w:t>
      </w:r>
    </w:p>
    <w:p w:rsidR="00361913" w:rsidRPr="00D93DE6" w:rsidRDefault="00361913" w:rsidP="00D93DE6">
      <w:pPr>
        <w:rPr>
          <w:noProof/>
          <w:color w:val="000000" w:themeColor="text1"/>
        </w:rPr>
      </w:pPr>
      <w:r>
        <w:rPr>
          <w:noProof/>
        </w:rPr>
        <w:t>These data were collected and compiled into a single database.  Demographic data collection and developmental age range parameters are described in sections 3.2.2 and 3.2.3.  Th</w:t>
      </w:r>
      <w:r w:rsidRPr="00034283">
        <w:rPr>
          <w:noProof/>
          <w:color w:val="000000" w:themeColor="text1"/>
        </w:rPr>
        <w:t>e manner in which the data w</w:t>
      </w:r>
      <w:r w:rsidR="00DF44A3">
        <w:rPr>
          <w:noProof/>
          <w:color w:val="000000" w:themeColor="text1"/>
        </w:rPr>
        <w:t>ere</w:t>
      </w:r>
      <w:r w:rsidRPr="00034283">
        <w:rPr>
          <w:noProof/>
          <w:color w:val="000000" w:themeColor="text1"/>
        </w:rPr>
        <w:t xml:space="preserve"> collected for each major data type </w:t>
      </w:r>
      <w:r>
        <w:rPr>
          <w:noProof/>
          <w:color w:val="000000" w:themeColor="text1"/>
        </w:rPr>
        <w:t xml:space="preserve">is </w:t>
      </w:r>
      <w:r w:rsidRPr="00034283">
        <w:rPr>
          <w:noProof/>
          <w:color w:val="000000" w:themeColor="text1"/>
        </w:rPr>
        <w:t xml:space="preserve">outlined </w:t>
      </w:r>
      <w:r>
        <w:rPr>
          <w:noProof/>
          <w:color w:val="000000" w:themeColor="text1"/>
        </w:rPr>
        <w:t>for dental recording (section 3.2.4</w:t>
      </w:r>
      <w:r w:rsidRPr="00034283">
        <w:rPr>
          <w:noProof/>
          <w:color w:val="000000" w:themeColor="text1"/>
        </w:rPr>
        <w:t>),</w:t>
      </w:r>
      <w:r>
        <w:rPr>
          <w:noProof/>
          <w:color w:val="000000" w:themeColor="text1"/>
        </w:rPr>
        <w:t xml:space="preserve"> epiphyseal fusion (section 3.2.5),</w:t>
      </w:r>
      <w:r w:rsidRPr="00034283">
        <w:rPr>
          <w:noProof/>
          <w:color w:val="000000" w:themeColor="text1"/>
        </w:rPr>
        <w:t xml:space="preserve"> and long-bone</w:t>
      </w:r>
      <w:r>
        <w:rPr>
          <w:noProof/>
          <w:color w:val="000000" w:themeColor="text1"/>
        </w:rPr>
        <w:t xml:space="preserve"> </w:t>
      </w:r>
      <w:r w:rsidR="0060548D">
        <w:rPr>
          <w:noProof/>
          <w:color w:val="000000" w:themeColor="text1"/>
        </w:rPr>
        <w:t>length</w:t>
      </w:r>
      <w:r w:rsidRPr="00034283">
        <w:rPr>
          <w:noProof/>
          <w:color w:val="000000" w:themeColor="text1"/>
        </w:rPr>
        <w:t xml:space="preserve"> measurements (</w:t>
      </w:r>
      <w:r>
        <w:rPr>
          <w:noProof/>
          <w:color w:val="000000" w:themeColor="text1"/>
        </w:rPr>
        <w:t xml:space="preserve">section </w:t>
      </w:r>
      <w:r w:rsidRPr="00034283">
        <w:rPr>
          <w:noProof/>
          <w:color w:val="000000" w:themeColor="text1"/>
        </w:rPr>
        <w:t>3.2</w:t>
      </w:r>
      <w:r>
        <w:rPr>
          <w:noProof/>
          <w:color w:val="000000" w:themeColor="text1"/>
        </w:rPr>
        <w:t>.6</w:t>
      </w:r>
      <w:r w:rsidRPr="00034283">
        <w:rPr>
          <w:noProof/>
          <w:color w:val="000000" w:themeColor="text1"/>
        </w:rPr>
        <w:t>).</w:t>
      </w:r>
    </w:p>
    <w:p w:rsidR="00361913" w:rsidRDefault="00811123" w:rsidP="00D263E8">
      <w:pPr>
        <w:pStyle w:val="Heading3"/>
      </w:pPr>
      <w:bookmarkStart w:id="129" w:name="_Toc373477760"/>
      <w:bookmarkStart w:id="130" w:name="_Toc373480758"/>
      <w:r>
        <w:t>Demographic d</w:t>
      </w:r>
      <w:r w:rsidR="00361913">
        <w:t>ata</w:t>
      </w:r>
      <w:bookmarkEnd w:id="129"/>
      <w:bookmarkEnd w:id="130"/>
    </w:p>
    <w:p w:rsidR="0083336B" w:rsidRDefault="00361913" w:rsidP="00D93DE6">
      <w:pPr>
        <w:rPr>
          <w:noProof/>
        </w:rPr>
      </w:pPr>
      <w:r>
        <w:rPr>
          <w:noProof/>
        </w:rPr>
        <w:t xml:space="preserve">As indicated in section 3.1, as much data as possible </w:t>
      </w:r>
      <w:r w:rsidR="003E0BF8">
        <w:rPr>
          <w:noProof/>
        </w:rPr>
        <w:t xml:space="preserve">were </w:t>
      </w:r>
      <w:r>
        <w:rPr>
          <w:noProof/>
        </w:rPr>
        <w:t>recorded for each specimen regarding provenance, sex, and species/sub-species affiliation.  The original museum specimen numbers have been retained and any and all additional information was collected including such things as known mass (weight) and height of the individual at the time of death.</w:t>
      </w:r>
    </w:p>
    <w:p w:rsidR="0083336B" w:rsidRDefault="0083336B">
      <w:pPr>
        <w:spacing w:before="0" w:after="200" w:line="276" w:lineRule="auto"/>
        <w:jc w:val="left"/>
        <w:rPr>
          <w:noProof/>
        </w:rPr>
      </w:pPr>
      <w:r>
        <w:rPr>
          <w:noProof/>
        </w:rPr>
        <w:br w:type="page"/>
      </w:r>
    </w:p>
    <w:p w:rsidR="00361913" w:rsidRDefault="00361913" w:rsidP="00D263E8">
      <w:pPr>
        <w:pStyle w:val="Heading3"/>
      </w:pPr>
      <w:bookmarkStart w:id="131" w:name="_Toc373477761"/>
      <w:bookmarkStart w:id="132" w:name="_Toc373480759"/>
      <w:r>
        <w:lastRenderedPageBreak/>
        <w:t>Developmental age range</w:t>
      </w:r>
      <w:bookmarkEnd w:id="131"/>
      <w:bookmarkEnd w:id="132"/>
    </w:p>
    <w:p w:rsidR="00361913" w:rsidRPr="00355023" w:rsidRDefault="00361913" w:rsidP="00D93DE6">
      <w:pPr>
        <w:rPr>
          <w:noProof/>
          <w:color w:val="000000" w:themeColor="text1"/>
        </w:rPr>
      </w:pPr>
      <w:r w:rsidRPr="00684F85">
        <w:rPr>
          <w:noProof/>
        </w:rPr>
        <w:t xml:space="preserve">The specimens used for analysis included all age groups from the </w:t>
      </w:r>
      <w:r w:rsidR="001F2CA7">
        <w:rPr>
          <w:noProof/>
        </w:rPr>
        <w:t>youngest individual available (</w:t>
      </w:r>
      <w:r w:rsidR="001E40BA">
        <w:rPr>
          <w:noProof/>
        </w:rPr>
        <w:t>neonates</w:t>
      </w:r>
      <w:r w:rsidRPr="00684F85">
        <w:rPr>
          <w:noProof/>
        </w:rPr>
        <w:t>) to the point where there is full epiphyseal fusion of all bones wi</w:t>
      </w:r>
      <w:r>
        <w:rPr>
          <w:noProof/>
        </w:rPr>
        <w:t>th no residual fusion scarring</w:t>
      </w:r>
      <w:r w:rsidR="00122808">
        <w:rPr>
          <w:noProof/>
        </w:rPr>
        <w:t xml:space="preserve"> for all but the last remaining epiphysis</w:t>
      </w:r>
      <w:r w:rsidR="00963A73">
        <w:rPr>
          <w:noProof/>
        </w:rPr>
        <w:t xml:space="preserve"> or epiphyses if there was more than one</w:t>
      </w:r>
      <w:r>
        <w:rPr>
          <w:noProof/>
        </w:rPr>
        <w:t>.</w:t>
      </w:r>
      <w:r w:rsidR="00122808">
        <w:rPr>
          <w:noProof/>
        </w:rPr>
        <w:t xml:space="preserve">  </w:t>
      </w:r>
      <w:r w:rsidR="0009343A">
        <w:rPr>
          <w:noProof/>
        </w:rPr>
        <w:t xml:space="preserve">This last remaining epiphysis had to be fused with only a residual scar line.  This allowed for the collection of data purely from sub-adults and not requiring redundant data collection from fully mature </w:t>
      </w:r>
      <w:r w:rsidR="0009343A" w:rsidRPr="00355023">
        <w:rPr>
          <w:noProof/>
          <w:color w:val="000000" w:themeColor="text1"/>
        </w:rPr>
        <w:t xml:space="preserve">adults.  </w:t>
      </w:r>
      <w:r w:rsidR="00122808" w:rsidRPr="00355023">
        <w:rPr>
          <w:noProof/>
          <w:color w:val="000000" w:themeColor="text1"/>
        </w:rPr>
        <w:t>The last remaining epiphyses to fuse were found to be either the iliac crest or the medial clavicle for all species and sub-species used in this study.  This was determined by surveying all older sub-adults and adults in each collection prior to commencing full-scale data collection.</w:t>
      </w:r>
    </w:p>
    <w:p w:rsidR="00361913" w:rsidRPr="00355023" w:rsidRDefault="00361913" w:rsidP="00D263E8">
      <w:pPr>
        <w:pStyle w:val="Heading3"/>
      </w:pPr>
      <w:bookmarkStart w:id="133" w:name="_Toc373477762"/>
      <w:bookmarkStart w:id="134" w:name="_Toc373480760"/>
      <w:r w:rsidRPr="00355023">
        <w:t xml:space="preserve">Dental </w:t>
      </w:r>
      <w:r w:rsidR="00811123">
        <w:t>r</w:t>
      </w:r>
      <w:r w:rsidRPr="00355023">
        <w:t>ecording</w:t>
      </w:r>
      <w:bookmarkEnd w:id="133"/>
      <w:bookmarkEnd w:id="134"/>
    </w:p>
    <w:p w:rsidR="00361913" w:rsidRPr="00C37BCC" w:rsidRDefault="00361913" w:rsidP="00F57F72">
      <w:pPr>
        <w:rPr>
          <w:noProof/>
        </w:rPr>
      </w:pPr>
      <w:r w:rsidRPr="00355023">
        <w:rPr>
          <w:noProof/>
          <w:color w:val="000000" w:themeColor="text1"/>
        </w:rPr>
        <w:t xml:space="preserve">Radiographs were taken for mandibular and maxillary teeth </w:t>
      </w:r>
      <w:r w:rsidRPr="008B0EA4">
        <w:rPr>
          <w:noProof/>
        </w:rPr>
        <w:t xml:space="preserve">using a low-dosage, portable dental X-ray </w:t>
      </w:r>
      <w:r>
        <w:rPr>
          <w:noProof/>
        </w:rPr>
        <w:t>(</w:t>
      </w:r>
      <w:r w:rsidRPr="008B0EA4">
        <w:rPr>
          <w:noProof/>
        </w:rPr>
        <w:t>Aribex NOMAD</w:t>
      </w:r>
      <w:r>
        <w:rPr>
          <w:noProof/>
        </w:rPr>
        <w:t xml:space="preserve"> Pro</w:t>
      </w:r>
      <w:r w:rsidR="00CA0C6D">
        <w:rPr>
          <w:noProof/>
        </w:rPr>
        <w:t>®</w:t>
      </w:r>
      <w:r>
        <w:rPr>
          <w:noProof/>
        </w:rPr>
        <w:t>) provided by the Glover Laboratory at the University of Sheffield</w:t>
      </w:r>
      <w:r w:rsidRPr="008B0EA4">
        <w:rPr>
          <w:noProof/>
        </w:rPr>
        <w:t xml:space="preserve">.  </w:t>
      </w:r>
      <w:r>
        <w:rPr>
          <w:noProof/>
        </w:rPr>
        <w:t xml:space="preserve">The sensor used by this device obtained images </w:t>
      </w:r>
      <w:r w:rsidR="00C247B8" w:rsidRPr="00C247B8">
        <w:rPr>
          <w:noProof/>
        </w:rPr>
        <w:t>36.0</w:t>
      </w:r>
      <w:r w:rsidR="00CA0C6D">
        <w:rPr>
          <w:noProof/>
        </w:rPr>
        <w:t xml:space="preserve"> x</w:t>
      </w:r>
      <w:r w:rsidR="00C247B8" w:rsidRPr="00C247B8">
        <w:rPr>
          <w:noProof/>
        </w:rPr>
        <w:t xml:space="preserve"> 25.6 mm</w:t>
      </w:r>
      <w:r>
        <w:rPr>
          <w:noProof/>
        </w:rPr>
        <w:t>.  This allowed for imaging of typically not more than three teeth per exposure.  A system whe</w:t>
      </w:r>
      <w:r w:rsidR="00360BA1">
        <w:rPr>
          <w:noProof/>
        </w:rPr>
        <w:t>reby the mandible was placed on</w:t>
      </w:r>
      <w:r w:rsidR="004F0F66">
        <w:rPr>
          <w:noProof/>
        </w:rPr>
        <w:t xml:space="preserve"> </w:t>
      </w:r>
      <w:r>
        <w:rPr>
          <w:noProof/>
        </w:rPr>
        <w:t>foam mounting</w:t>
      </w:r>
      <w:r w:rsidR="00360BA1">
        <w:rPr>
          <w:noProof/>
        </w:rPr>
        <w:t>s</w:t>
      </w:r>
      <w:r>
        <w:rPr>
          <w:noProof/>
        </w:rPr>
        <w:t xml:space="preserve"> was devised and the sensor </w:t>
      </w:r>
      <w:r w:rsidR="00EE5E82">
        <w:rPr>
          <w:noProof/>
        </w:rPr>
        <w:t>was</w:t>
      </w:r>
      <w:r>
        <w:rPr>
          <w:noProof/>
        </w:rPr>
        <w:t xml:space="preserve"> put on the lingual side parallel with the plane of the tooth.  </w:t>
      </w:r>
      <w:r w:rsidR="006062E7">
        <w:rPr>
          <w:noProof/>
        </w:rPr>
        <w:t>Demirjian scores were used to assess dental maturity</w:t>
      </w:r>
      <w:r w:rsidR="00FF038A">
        <w:rPr>
          <w:noProof/>
        </w:rPr>
        <w:t>.  T</w:t>
      </w:r>
      <w:r w:rsidR="006062E7">
        <w:rPr>
          <w:noProof/>
        </w:rPr>
        <w:t>his will be described below</w:t>
      </w:r>
      <w:r w:rsidR="00FF038A">
        <w:rPr>
          <w:noProof/>
        </w:rPr>
        <w:t xml:space="preserve"> in section 3.2.4a</w:t>
      </w:r>
      <w:r w:rsidR="006062E7">
        <w:rPr>
          <w:noProof/>
        </w:rPr>
        <w:t xml:space="preserve">.  </w:t>
      </w:r>
      <w:r>
        <w:rPr>
          <w:noProof/>
        </w:rPr>
        <w:t xml:space="preserve">A fundamental requirement </w:t>
      </w:r>
      <w:r w:rsidR="006312E7">
        <w:rPr>
          <w:noProof/>
        </w:rPr>
        <w:t xml:space="preserve">for </w:t>
      </w:r>
      <w:r>
        <w:rPr>
          <w:noProof/>
        </w:rPr>
        <w:t xml:space="preserve">the production of images </w:t>
      </w:r>
      <w:r w:rsidR="006312E7">
        <w:rPr>
          <w:noProof/>
        </w:rPr>
        <w:t xml:space="preserve">used in </w:t>
      </w:r>
      <w:r>
        <w:rPr>
          <w:noProof/>
        </w:rPr>
        <w:t xml:space="preserve">assessment </w:t>
      </w:r>
      <w:r w:rsidR="006312E7">
        <w:rPr>
          <w:noProof/>
        </w:rPr>
        <w:t xml:space="preserve">of </w:t>
      </w:r>
      <w:r>
        <w:rPr>
          <w:noProof/>
        </w:rPr>
        <w:t>Demirjian scores</w:t>
      </w:r>
      <w:r w:rsidR="00BA2EF5">
        <w:rPr>
          <w:noProof/>
        </w:rPr>
        <w:t xml:space="preserve"> </w:t>
      </w:r>
      <w:r>
        <w:rPr>
          <w:noProof/>
        </w:rPr>
        <w:t xml:space="preserve">was to have a view of each tooth with the axis from the apex of the crown to the tip of the root positioned parallel with the sensor.  It was also </w:t>
      </w:r>
      <w:r w:rsidR="00E16334">
        <w:rPr>
          <w:noProof/>
        </w:rPr>
        <w:t>necessary</w:t>
      </w:r>
      <w:r>
        <w:rPr>
          <w:noProof/>
        </w:rPr>
        <w:t xml:space="preserve"> to have each tooth oriented such that the mesio-distal plane was also parallel with the </w:t>
      </w:r>
      <w:r w:rsidR="00E16334">
        <w:rPr>
          <w:noProof/>
        </w:rPr>
        <w:t>sensor.</w:t>
      </w:r>
      <w:r>
        <w:rPr>
          <w:noProof/>
        </w:rPr>
        <w:t xml:space="preserve">  A demonstration of this is shown in </w:t>
      </w:r>
      <w:r w:rsidR="00F57F72">
        <w:rPr>
          <w:noProof/>
        </w:rPr>
        <w:t>F</w:t>
      </w:r>
      <w:r>
        <w:rPr>
          <w:noProof/>
        </w:rPr>
        <w:t xml:space="preserve">igure </w:t>
      </w:r>
      <w:r>
        <w:rPr>
          <w:noProof/>
          <w:color w:val="000000" w:themeColor="text1"/>
        </w:rPr>
        <w:t>3.</w:t>
      </w:r>
      <w:r w:rsidR="00632BEF">
        <w:rPr>
          <w:noProof/>
          <w:color w:val="000000" w:themeColor="text1"/>
        </w:rPr>
        <w:t>2</w:t>
      </w:r>
      <w:r>
        <w:rPr>
          <w:noProof/>
          <w:color w:val="000000" w:themeColor="text1"/>
        </w:rPr>
        <w:t>.</w:t>
      </w:r>
      <w:r w:rsidR="00F57F72">
        <w:rPr>
          <w:noProof/>
          <w:color w:val="000000" w:themeColor="text1"/>
        </w:rPr>
        <w:t xml:space="preserve">  It should be noted that the illustration in Figure 3.2 is only for showing the orientation of the teeth relative to the sensor and does not indicate distance from the sensor.  In all cases the teeth were placed as close as possible to the sensor.</w:t>
      </w:r>
    </w:p>
    <w:p w:rsidR="00361913" w:rsidRDefault="00361913" w:rsidP="00361913">
      <w:pPr>
        <w:tabs>
          <w:tab w:val="left" w:pos="360"/>
        </w:tabs>
        <w:spacing w:line="240" w:lineRule="auto"/>
        <w:jc w:val="center"/>
        <w:rPr>
          <w:noProof/>
        </w:rPr>
      </w:pPr>
      <w:r>
        <w:rPr>
          <w:noProof/>
          <w:lang w:val="en-GB" w:eastAsia="en-GB"/>
        </w:rPr>
        <w:lastRenderedPageBreak/>
        <w:drawing>
          <wp:inline distT="0" distB="0" distL="0" distR="0" wp14:anchorId="75EC003F" wp14:editId="79D25BBB">
            <wp:extent cx="3429000" cy="286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0" cy="2867025"/>
                    </a:xfrm>
                    <a:prstGeom prst="rect">
                      <a:avLst/>
                    </a:prstGeom>
                    <a:noFill/>
                    <a:ln>
                      <a:noFill/>
                    </a:ln>
                  </pic:spPr>
                </pic:pic>
              </a:graphicData>
            </a:graphic>
          </wp:inline>
        </w:drawing>
      </w:r>
    </w:p>
    <w:p w:rsidR="00361913" w:rsidRDefault="00D557BE" w:rsidP="00D557BE">
      <w:pPr>
        <w:pStyle w:val="Caption"/>
      </w:pPr>
      <w:bookmarkStart w:id="135" w:name="_Toc373147449"/>
      <w:proofErr w:type="gramStart"/>
      <w:r w:rsidRPr="00D557BE">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2</w:t>
      </w:r>
      <w:r w:rsidR="008943E4">
        <w:rPr>
          <w:b/>
        </w:rPr>
        <w:fldChar w:fldCharType="end"/>
      </w:r>
      <w:r w:rsidR="00A42C93">
        <w:rPr>
          <w:b/>
        </w:rPr>
        <w:t xml:space="preserve"> </w:t>
      </w:r>
      <w:r w:rsidR="00355023">
        <w:t xml:space="preserve"> Demonstration of tooth orientation as shown from distal and occlusal views.</w:t>
      </w:r>
      <w:bookmarkEnd w:id="135"/>
    </w:p>
    <w:p w:rsidR="00363277" w:rsidRDefault="00361913" w:rsidP="00355023">
      <w:pPr>
        <w:rPr>
          <w:noProof/>
        </w:rPr>
      </w:pPr>
      <w:r>
        <w:rPr>
          <w:noProof/>
        </w:rPr>
        <w:t>The standard mandibular imaging positio</w:t>
      </w:r>
      <w:r w:rsidR="0070553C">
        <w:rPr>
          <w:noProof/>
        </w:rPr>
        <w:t xml:space="preserve">ns used are shown in </w:t>
      </w:r>
      <w:r w:rsidR="0055643D">
        <w:rPr>
          <w:noProof/>
        </w:rPr>
        <w:t>F</w:t>
      </w:r>
      <w:r w:rsidR="0070553C">
        <w:rPr>
          <w:noProof/>
        </w:rPr>
        <w:t>igures 3.</w:t>
      </w:r>
      <w:r w:rsidR="00C34AC0">
        <w:rPr>
          <w:noProof/>
        </w:rPr>
        <w:t>3</w:t>
      </w:r>
      <w:r w:rsidR="0070553C">
        <w:rPr>
          <w:noProof/>
        </w:rPr>
        <w:t xml:space="preserve"> and 3.4</w:t>
      </w:r>
      <w:r>
        <w:rPr>
          <w:noProof/>
        </w:rPr>
        <w:t>.  These images demonstrate the positions of the sensor with all permanent dentition present under ideal conditions.  In practice, there existed some var</w:t>
      </w:r>
      <w:r w:rsidR="00AE3729">
        <w:rPr>
          <w:noProof/>
        </w:rPr>
        <w:t>i</w:t>
      </w:r>
      <w:r>
        <w:rPr>
          <w:noProof/>
        </w:rPr>
        <w:t>ation between adults with respect to the morphology of the mandible with the lingual dimensions of the mandible sometimes making these standard positions impractical.</w:t>
      </w:r>
      <w:r w:rsidR="004C248D">
        <w:rPr>
          <w:noProof/>
        </w:rPr>
        <w:t xml:space="preserve">  </w:t>
      </w:r>
      <w:r w:rsidR="00CA0C6D">
        <w:rPr>
          <w:noProof/>
        </w:rPr>
        <w:t>In progressively younger indiv</w:t>
      </w:r>
      <w:r w:rsidR="004C248D">
        <w:rPr>
          <w:noProof/>
        </w:rPr>
        <w:t>iduals where</w:t>
      </w:r>
      <w:r w:rsidR="00CA0C6D">
        <w:rPr>
          <w:noProof/>
        </w:rPr>
        <w:t xml:space="preserve"> </w:t>
      </w:r>
      <w:r w:rsidR="004C248D">
        <w:rPr>
          <w:noProof/>
        </w:rPr>
        <w:t>interior dimensions of the</w:t>
      </w:r>
      <w:r w:rsidR="00CA0C6D">
        <w:rPr>
          <w:noProof/>
        </w:rPr>
        <w:t xml:space="preserve"> mandible w</w:t>
      </w:r>
      <w:r w:rsidR="004C248D">
        <w:rPr>
          <w:noProof/>
        </w:rPr>
        <w:t>ere</w:t>
      </w:r>
      <w:r w:rsidR="00CA0C6D">
        <w:rPr>
          <w:noProof/>
        </w:rPr>
        <w:t xml:space="preserve"> </w:t>
      </w:r>
      <w:r w:rsidR="004C248D">
        <w:rPr>
          <w:noProof/>
        </w:rPr>
        <w:t xml:space="preserve">smaller and more constricted, the sensor positions shown in </w:t>
      </w:r>
      <w:r w:rsidR="00124822">
        <w:rPr>
          <w:noProof/>
        </w:rPr>
        <w:t>F</w:t>
      </w:r>
      <w:r w:rsidR="004C248D">
        <w:rPr>
          <w:noProof/>
        </w:rPr>
        <w:t>igure 3.3 had to be modified</w:t>
      </w:r>
      <w:r>
        <w:rPr>
          <w:noProof/>
        </w:rPr>
        <w:t xml:space="preserve">.  </w:t>
      </w:r>
      <w:r w:rsidR="007950FD">
        <w:rPr>
          <w:noProof/>
        </w:rPr>
        <w:t>In such cases, t</w:t>
      </w:r>
      <w:r>
        <w:rPr>
          <w:noProof/>
        </w:rPr>
        <w:t>he sensor was placed in a position such that the plane of the sensor was parallel with the mesiodistal plane</w:t>
      </w:r>
      <w:r w:rsidR="00746E1C">
        <w:rPr>
          <w:noProof/>
        </w:rPr>
        <w:t xml:space="preserve"> (</w:t>
      </w:r>
      <w:r w:rsidR="00353EB1">
        <w:rPr>
          <w:noProof/>
        </w:rPr>
        <w:t>F</w:t>
      </w:r>
      <w:r>
        <w:rPr>
          <w:noProof/>
        </w:rPr>
        <w:t>igure</w:t>
      </w:r>
      <w:r w:rsidR="007950FD">
        <w:rPr>
          <w:noProof/>
        </w:rPr>
        <w:t>s</w:t>
      </w:r>
      <w:r>
        <w:rPr>
          <w:noProof/>
        </w:rPr>
        <w:t xml:space="preserve"> 3.4 and </w:t>
      </w:r>
      <w:r w:rsidR="007950FD">
        <w:rPr>
          <w:noProof/>
        </w:rPr>
        <w:t>3.5</w:t>
      </w:r>
      <w:r w:rsidR="00CA0C6D">
        <w:rPr>
          <w:noProof/>
        </w:rPr>
        <w:t>)</w:t>
      </w:r>
      <w:r>
        <w:rPr>
          <w:noProof/>
        </w:rPr>
        <w:t xml:space="preserve">.  This often involved taking additional X-rays in order to properly record all </w:t>
      </w:r>
      <w:r w:rsidR="00363277">
        <w:rPr>
          <w:noProof/>
        </w:rPr>
        <w:t>teeth.  The distance between the teeth and the sensor was kept as close as possible</w:t>
      </w:r>
      <w:r w:rsidR="006C1B85" w:rsidRPr="006C1B85">
        <w:t xml:space="preserve"> </w:t>
      </w:r>
      <w:r w:rsidR="006C1B85" w:rsidRPr="006C1B85">
        <w:rPr>
          <w:noProof/>
        </w:rPr>
        <w:t>in order to minimi</w:t>
      </w:r>
      <w:r w:rsidR="006C1B85">
        <w:rPr>
          <w:noProof/>
        </w:rPr>
        <w:t>se distortion of the xray image</w:t>
      </w:r>
      <w:r w:rsidR="00363277">
        <w:rPr>
          <w:noProof/>
        </w:rPr>
        <w:t xml:space="preserve">.  </w:t>
      </w:r>
      <w:r w:rsidR="00C34AC0">
        <w:rPr>
          <w:noProof/>
        </w:rPr>
        <w:t>The assessment of dental maturity by Demirjian scores does not require direct measurements</w:t>
      </w:r>
      <w:r w:rsidR="00746E1C">
        <w:rPr>
          <w:noProof/>
        </w:rPr>
        <w:t xml:space="preserve"> of teeth but it does require teeth to be parellel with the sensor or film as shown above in </w:t>
      </w:r>
      <w:r w:rsidR="00D93884">
        <w:rPr>
          <w:noProof/>
        </w:rPr>
        <w:t>F</w:t>
      </w:r>
      <w:r w:rsidR="00746E1C">
        <w:rPr>
          <w:noProof/>
        </w:rPr>
        <w:t xml:space="preserve">igure 3.2.  Increased distances raise the likelihood of distortions due to </w:t>
      </w:r>
      <w:r w:rsidR="008B15E2">
        <w:rPr>
          <w:noProof/>
        </w:rPr>
        <w:t xml:space="preserve">changes in </w:t>
      </w:r>
      <w:r w:rsidR="00746E1C">
        <w:rPr>
          <w:noProof/>
        </w:rPr>
        <w:t xml:space="preserve">angle of the tooth relative to the plane of the sensor being less obvious to the naked eye. </w:t>
      </w:r>
    </w:p>
    <w:p w:rsidR="00361913" w:rsidRDefault="00361913" w:rsidP="00361913">
      <w:pPr>
        <w:tabs>
          <w:tab w:val="left" w:pos="360"/>
        </w:tabs>
        <w:spacing w:line="240" w:lineRule="auto"/>
        <w:jc w:val="center"/>
        <w:rPr>
          <w:noProof/>
        </w:rPr>
      </w:pPr>
      <w:r>
        <w:rPr>
          <w:noProof/>
          <w:lang w:val="en-GB" w:eastAsia="en-GB"/>
        </w:rPr>
        <w:lastRenderedPageBreak/>
        <w:drawing>
          <wp:inline distT="0" distB="0" distL="0" distR="0" wp14:anchorId="161615E3" wp14:editId="6852702B">
            <wp:extent cx="4076696" cy="308825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6696" cy="3088256"/>
                    </a:xfrm>
                    <a:prstGeom prst="rect">
                      <a:avLst/>
                    </a:prstGeom>
                    <a:noFill/>
                    <a:ln>
                      <a:noFill/>
                    </a:ln>
                  </pic:spPr>
                </pic:pic>
              </a:graphicData>
            </a:graphic>
          </wp:inline>
        </w:drawing>
      </w:r>
    </w:p>
    <w:p w:rsidR="00361913" w:rsidRDefault="00D557BE" w:rsidP="00D557BE">
      <w:pPr>
        <w:pStyle w:val="Caption"/>
      </w:pPr>
      <w:bookmarkStart w:id="136" w:name="_Toc373147450"/>
      <w:proofErr w:type="gramStart"/>
      <w:r w:rsidRPr="00D557BE">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3</w:t>
      </w:r>
      <w:r w:rsidR="008943E4">
        <w:rPr>
          <w:b/>
        </w:rPr>
        <w:fldChar w:fldCharType="end"/>
      </w:r>
      <w:r w:rsidR="00355023">
        <w:t xml:space="preserve"> Occlusal view of typical positions for mandibular X-ray imaging.</w:t>
      </w:r>
      <w:bookmarkEnd w:id="136"/>
    </w:p>
    <w:p w:rsidR="00361913" w:rsidRDefault="00361913" w:rsidP="00361913">
      <w:pPr>
        <w:tabs>
          <w:tab w:val="left" w:pos="360"/>
        </w:tabs>
        <w:spacing w:line="240" w:lineRule="auto"/>
        <w:jc w:val="center"/>
        <w:rPr>
          <w:noProof/>
        </w:rPr>
      </w:pPr>
      <w:r>
        <w:rPr>
          <w:noProof/>
          <w:lang w:val="en-GB" w:eastAsia="en-GB"/>
        </w:rPr>
        <w:drawing>
          <wp:inline distT="0" distB="0" distL="0" distR="0" wp14:anchorId="3DA5FF22" wp14:editId="24398934">
            <wp:extent cx="3476625" cy="258303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1645" cy="2586767"/>
                    </a:xfrm>
                    <a:prstGeom prst="rect">
                      <a:avLst/>
                    </a:prstGeom>
                    <a:noFill/>
                    <a:ln>
                      <a:noFill/>
                    </a:ln>
                  </pic:spPr>
                </pic:pic>
              </a:graphicData>
            </a:graphic>
          </wp:inline>
        </w:drawing>
      </w:r>
    </w:p>
    <w:p w:rsidR="00135E89" w:rsidRDefault="00D557BE" w:rsidP="00D557BE">
      <w:pPr>
        <w:pStyle w:val="Caption"/>
      </w:pPr>
      <w:bookmarkStart w:id="137" w:name="_Toc373147451"/>
      <w:proofErr w:type="gramStart"/>
      <w:r w:rsidRPr="00D557BE">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4</w:t>
      </w:r>
      <w:r w:rsidR="008943E4">
        <w:rPr>
          <w:b/>
        </w:rPr>
        <w:fldChar w:fldCharType="end"/>
      </w:r>
      <w:r w:rsidR="00A42C93">
        <w:t xml:space="preserve"> </w:t>
      </w:r>
      <w:r w:rsidR="00135E89">
        <w:t>Cross-sectional view of the mounting system for X-ray exposure of mandibular teeth.</w:t>
      </w:r>
      <w:bookmarkEnd w:id="137"/>
    </w:p>
    <w:p w:rsidR="00361913" w:rsidRDefault="00361913" w:rsidP="00361913">
      <w:pPr>
        <w:tabs>
          <w:tab w:val="left" w:pos="360"/>
        </w:tabs>
        <w:spacing w:line="240" w:lineRule="auto"/>
        <w:jc w:val="center"/>
        <w:rPr>
          <w:noProof/>
        </w:rPr>
      </w:pPr>
      <w:r>
        <w:rPr>
          <w:noProof/>
          <w:lang w:val="en-GB" w:eastAsia="en-GB"/>
        </w:rPr>
        <w:lastRenderedPageBreak/>
        <w:drawing>
          <wp:inline distT="0" distB="0" distL="0" distR="0" wp14:anchorId="4E515F2A" wp14:editId="22BCAED8">
            <wp:extent cx="2793795" cy="20955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06 13.37.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1964" cy="2109128"/>
                    </a:xfrm>
                    <a:prstGeom prst="rect">
                      <a:avLst/>
                    </a:prstGeom>
                  </pic:spPr>
                </pic:pic>
              </a:graphicData>
            </a:graphic>
          </wp:inline>
        </w:drawing>
      </w:r>
    </w:p>
    <w:p w:rsidR="00135E89" w:rsidRDefault="00D557BE" w:rsidP="00D557BE">
      <w:pPr>
        <w:pStyle w:val="Caption"/>
      </w:pPr>
      <w:bookmarkStart w:id="138" w:name="_Toc373147452"/>
      <w:proofErr w:type="gramStart"/>
      <w:r w:rsidRPr="00D557BE">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5</w:t>
      </w:r>
      <w:r w:rsidR="008943E4">
        <w:rPr>
          <w:b/>
        </w:rPr>
        <w:fldChar w:fldCharType="end"/>
      </w:r>
      <w:r w:rsidR="00A42C93">
        <w:rPr>
          <w:b/>
        </w:rPr>
        <w:t xml:space="preserve"> </w:t>
      </w:r>
      <w:r w:rsidR="00135E89">
        <w:t xml:space="preserve"> Demonstration of the foam mounting system with a mandible in place (photo is author’s own)</w:t>
      </w:r>
      <w:bookmarkEnd w:id="138"/>
    </w:p>
    <w:p w:rsidR="00FF038A" w:rsidRPr="00CA0C96" w:rsidRDefault="00FF038A" w:rsidP="00135E89">
      <w:pPr>
        <w:rPr>
          <w:b/>
          <w:i/>
          <w:noProof/>
        </w:rPr>
      </w:pPr>
      <w:r w:rsidRPr="00CA0C96">
        <w:rPr>
          <w:b/>
          <w:i/>
          <w:noProof/>
        </w:rPr>
        <w:t>3.2.4a: Description</w:t>
      </w:r>
      <w:r w:rsidR="003B3374" w:rsidRPr="00CA0C96">
        <w:rPr>
          <w:b/>
          <w:i/>
          <w:noProof/>
        </w:rPr>
        <w:t xml:space="preserve"> and justification</w:t>
      </w:r>
      <w:r w:rsidRPr="00CA0C96">
        <w:rPr>
          <w:b/>
          <w:i/>
          <w:noProof/>
        </w:rPr>
        <w:t xml:space="preserve"> of the </w:t>
      </w:r>
      <w:r w:rsidR="003B3374" w:rsidRPr="00CA0C96">
        <w:rPr>
          <w:b/>
          <w:i/>
          <w:noProof/>
        </w:rPr>
        <w:t xml:space="preserve">use of the </w:t>
      </w:r>
      <w:r w:rsidRPr="00CA0C96">
        <w:rPr>
          <w:b/>
          <w:i/>
          <w:noProof/>
        </w:rPr>
        <w:t>Demirjian system</w:t>
      </w:r>
    </w:p>
    <w:p w:rsidR="00361913" w:rsidRDefault="00FC7FDF" w:rsidP="009D0C66">
      <w:pPr>
        <w:rPr>
          <w:noProof/>
        </w:rPr>
      </w:pPr>
      <w:r>
        <w:rPr>
          <w:noProof/>
        </w:rPr>
        <w:t xml:space="preserve">To score the </w:t>
      </w:r>
      <w:r w:rsidR="00384E4D">
        <w:rPr>
          <w:noProof/>
        </w:rPr>
        <w:t>X</w:t>
      </w:r>
      <w:r>
        <w:rPr>
          <w:noProof/>
        </w:rPr>
        <w:t>-ray images t</w:t>
      </w:r>
      <w:r w:rsidR="00361913">
        <w:rPr>
          <w:noProof/>
        </w:rPr>
        <w:t>he Demirjian method</w:t>
      </w:r>
      <w:r w:rsidR="00C932C1">
        <w:rPr>
          <w:noProof/>
        </w:rPr>
        <w:t xml:space="preserve"> was used</w:t>
      </w:r>
      <w:r w:rsidR="00361913">
        <w:rPr>
          <w:noProof/>
        </w:rPr>
        <w:t xml:space="preserve"> (Demirjian </w:t>
      </w:r>
      <w:r w:rsidR="00361913">
        <w:rPr>
          <w:i/>
          <w:noProof/>
        </w:rPr>
        <w:t xml:space="preserve">et al. </w:t>
      </w:r>
      <w:r w:rsidR="00361913">
        <w:rPr>
          <w:noProof/>
        </w:rPr>
        <w:t xml:space="preserve">1973) </w:t>
      </w:r>
      <w:r w:rsidR="00C932C1">
        <w:rPr>
          <w:noProof/>
        </w:rPr>
        <w:t xml:space="preserve">which </w:t>
      </w:r>
      <w:r w:rsidR="00FE1FCD">
        <w:rPr>
          <w:noProof/>
        </w:rPr>
        <w:t xml:space="preserve">is </w:t>
      </w:r>
      <w:r w:rsidR="003D0BEB">
        <w:rPr>
          <w:noProof/>
        </w:rPr>
        <w:t>a</w:t>
      </w:r>
      <w:r w:rsidR="00361913">
        <w:rPr>
          <w:noProof/>
        </w:rPr>
        <w:t xml:space="preserve"> standard method for assessment of dental maturity in humans.  </w:t>
      </w:r>
      <w:r w:rsidR="009540BF">
        <w:rPr>
          <w:noProof/>
        </w:rPr>
        <w:t>Th</w:t>
      </w:r>
      <w:r w:rsidR="00DF7178">
        <w:rPr>
          <w:noProof/>
        </w:rPr>
        <w:t>e method</w:t>
      </w:r>
      <w:r w:rsidR="009540BF">
        <w:rPr>
          <w:noProof/>
        </w:rPr>
        <w:t xml:space="preserve"> was applied to 8 teeth.  </w:t>
      </w:r>
      <w:r w:rsidR="00361913">
        <w:rPr>
          <w:noProof/>
        </w:rPr>
        <w:t xml:space="preserve">Prior studies of chimpanzee dental development such as </w:t>
      </w:r>
      <w:r w:rsidR="00361913" w:rsidRPr="008B0EA4">
        <w:rPr>
          <w:noProof/>
        </w:rPr>
        <w:t>Kuykendall</w:t>
      </w:r>
      <w:r w:rsidR="009540BF">
        <w:rPr>
          <w:noProof/>
        </w:rPr>
        <w:t xml:space="preserve"> (1996), Kuykendall </w:t>
      </w:r>
      <w:r w:rsidR="009540BF">
        <w:rPr>
          <w:i/>
          <w:noProof/>
        </w:rPr>
        <w:t>et al.</w:t>
      </w:r>
      <w:r w:rsidR="00361913" w:rsidRPr="008B0EA4">
        <w:rPr>
          <w:noProof/>
        </w:rPr>
        <w:t xml:space="preserve"> (</w:t>
      </w:r>
      <w:r w:rsidR="00361913">
        <w:rPr>
          <w:noProof/>
        </w:rPr>
        <w:t>1992</w:t>
      </w:r>
      <w:r w:rsidR="009540BF">
        <w:rPr>
          <w:noProof/>
        </w:rPr>
        <w:t>),</w:t>
      </w:r>
      <w:r w:rsidR="00361913" w:rsidRPr="008B0EA4">
        <w:rPr>
          <w:noProof/>
        </w:rPr>
        <w:t xml:space="preserve"> and Kuykendall and Conroy (1996)</w:t>
      </w:r>
      <w:r w:rsidR="00361913">
        <w:rPr>
          <w:noProof/>
        </w:rPr>
        <w:t xml:space="preserve"> also used this method of dental scoring to assess maturity using known-age individuals.  </w:t>
      </w:r>
      <w:r w:rsidR="00B42152">
        <w:rPr>
          <w:noProof/>
        </w:rPr>
        <w:t xml:space="preserve">Kuykendall (1996) </w:t>
      </w:r>
      <w:r w:rsidR="009540BF">
        <w:rPr>
          <w:noProof/>
        </w:rPr>
        <w:t xml:space="preserve">provided regression equations </w:t>
      </w:r>
      <w:r w:rsidR="00227AB1">
        <w:rPr>
          <w:noProof/>
        </w:rPr>
        <w:t>estimating</w:t>
      </w:r>
      <w:r w:rsidR="009540BF">
        <w:rPr>
          <w:noProof/>
        </w:rPr>
        <w:t xml:space="preserve"> </w:t>
      </w:r>
      <w:r w:rsidR="00227AB1">
        <w:rPr>
          <w:noProof/>
        </w:rPr>
        <w:t xml:space="preserve">chronological </w:t>
      </w:r>
      <w:r w:rsidR="009540BF">
        <w:rPr>
          <w:noProof/>
        </w:rPr>
        <w:t xml:space="preserve">age of attainment </w:t>
      </w:r>
      <w:r w:rsidR="00227AB1">
        <w:rPr>
          <w:noProof/>
        </w:rPr>
        <w:t xml:space="preserve">from </w:t>
      </w:r>
      <w:r w:rsidR="009540BF">
        <w:rPr>
          <w:noProof/>
        </w:rPr>
        <w:t>Demirjian score for</w:t>
      </w:r>
      <w:r w:rsidR="00227AB1">
        <w:rPr>
          <w:noProof/>
        </w:rPr>
        <w:t xml:space="preserve"> both</w:t>
      </w:r>
      <w:r w:rsidR="009540BF">
        <w:rPr>
          <w:noProof/>
        </w:rPr>
        <w:t xml:space="preserve"> 7 and 8 teeth</w:t>
      </w:r>
      <w:r w:rsidR="00227AB1">
        <w:rPr>
          <w:noProof/>
        </w:rPr>
        <w:t xml:space="preserve"> (third molar included or excluded)</w:t>
      </w:r>
      <w:r w:rsidR="009540BF">
        <w:rPr>
          <w:noProof/>
        </w:rPr>
        <w:t xml:space="preserve">.  </w:t>
      </w:r>
      <w:r w:rsidR="00F116F4">
        <w:rPr>
          <w:noProof/>
        </w:rPr>
        <w:t>T</w:t>
      </w:r>
      <w:r w:rsidR="003B3374">
        <w:rPr>
          <w:noProof/>
        </w:rPr>
        <w:t xml:space="preserve">his is the most refined means for estimating age in skeletal collections </w:t>
      </w:r>
      <w:r w:rsidR="00F116F4">
        <w:rPr>
          <w:noProof/>
        </w:rPr>
        <w:t xml:space="preserve">of chimpanzees </w:t>
      </w:r>
      <w:r w:rsidR="003B3374">
        <w:rPr>
          <w:noProof/>
        </w:rPr>
        <w:t xml:space="preserve">available without </w:t>
      </w:r>
      <w:r w:rsidR="00B65076">
        <w:rPr>
          <w:noProof/>
        </w:rPr>
        <w:t xml:space="preserve">known </w:t>
      </w:r>
      <w:r w:rsidR="003B3374">
        <w:rPr>
          <w:noProof/>
        </w:rPr>
        <w:t>ages being provided</w:t>
      </w:r>
      <w:r w:rsidR="00F116F4">
        <w:rPr>
          <w:noProof/>
        </w:rPr>
        <w:t>.  The application of the method to bonobos requires some caution in the sense that Kuykendall’</w:t>
      </w:r>
      <w:r w:rsidR="00087FA2">
        <w:rPr>
          <w:noProof/>
        </w:rPr>
        <w:t>s work</w:t>
      </w:r>
      <w:r w:rsidR="00F116F4">
        <w:rPr>
          <w:noProof/>
        </w:rPr>
        <w:t xml:space="preserve"> did not apply the method to this species.  </w:t>
      </w:r>
      <w:r w:rsidR="00056EE2">
        <w:rPr>
          <w:noProof/>
        </w:rPr>
        <w:t>It could be argued that the application of the method i</w:t>
      </w:r>
      <w:r w:rsidR="00474755">
        <w:rPr>
          <w:noProof/>
        </w:rPr>
        <w:t>s permissible</w:t>
      </w:r>
      <w:r w:rsidR="0085594E">
        <w:rPr>
          <w:noProof/>
        </w:rPr>
        <w:t xml:space="preserve"> provided that it is understood </w:t>
      </w:r>
      <w:r w:rsidR="00766170">
        <w:rPr>
          <w:noProof/>
        </w:rPr>
        <w:t xml:space="preserve">that this application is made </w:t>
      </w:r>
      <w:r w:rsidR="00574C58">
        <w:rPr>
          <w:noProof/>
        </w:rPr>
        <w:t xml:space="preserve">on </w:t>
      </w:r>
      <w:r w:rsidR="0085594E">
        <w:rPr>
          <w:noProof/>
        </w:rPr>
        <w:t xml:space="preserve">the basis </w:t>
      </w:r>
      <w:r w:rsidR="00766170">
        <w:rPr>
          <w:noProof/>
        </w:rPr>
        <w:t>of information</w:t>
      </w:r>
      <w:r w:rsidR="0085594E">
        <w:rPr>
          <w:noProof/>
        </w:rPr>
        <w:t xml:space="preserve"> derived from other </w:t>
      </w:r>
      <w:r w:rsidR="00766170">
        <w:rPr>
          <w:noProof/>
        </w:rPr>
        <w:t>studies</w:t>
      </w:r>
      <w:r w:rsidR="00056EE2">
        <w:rPr>
          <w:noProof/>
        </w:rPr>
        <w:t>.</w:t>
      </w:r>
      <w:r w:rsidR="0085594E">
        <w:rPr>
          <w:noProof/>
        </w:rPr>
        <w:t xml:space="preserve">  This information is as </w:t>
      </w:r>
      <w:r w:rsidR="003D6495">
        <w:rPr>
          <w:noProof/>
        </w:rPr>
        <w:t>follows</w:t>
      </w:r>
      <w:r w:rsidR="00C25EF3">
        <w:rPr>
          <w:noProof/>
        </w:rPr>
        <w:t>:</w:t>
      </w:r>
      <w:r w:rsidR="00056EE2">
        <w:rPr>
          <w:noProof/>
        </w:rPr>
        <w:t xml:space="preserve"> </w:t>
      </w:r>
      <w:r w:rsidR="00474755">
        <w:rPr>
          <w:noProof/>
        </w:rPr>
        <w:t xml:space="preserve"> </w:t>
      </w:r>
      <w:r w:rsidR="00F116F4">
        <w:rPr>
          <w:noProof/>
        </w:rPr>
        <w:t xml:space="preserve">Boughner </w:t>
      </w:r>
      <w:r w:rsidR="00F116F4">
        <w:rPr>
          <w:i/>
          <w:noProof/>
        </w:rPr>
        <w:t>et al</w:t>
      </w:r>
      <w:r w:rsidR="00F116F4">
        <w:rPr>
          <w:noProof/>
        </w:rPr>
        <w:t>. (2012) have indicated that patterning of bonobo mineralization likely does not differ from chimpanzees</w:t>
      </w:r>
      <w:r w:rsidR="00F41219">
        <w:rPr>
          <w:noProof/>
        </w:rPr>
        <w:t>.  Bonobo emergence timings also do not</w:t>
      </w:r>
      <w:r w:rsidR="00056EE2">
        <w:rPr>
          <w:noProof/>
        </w:rPr>
        <w:t xml:space="preserve"> notably </w:t>
      </w:r>
      <w:r w:rsidR="00F41219">
        <w:rPr>
          <w:noProof/>
        </w:rPr>
        <w:t>differ from chimpanzees as far as current research indicates (Bolter and Zihlman 2011)</w:t>
      </w:r>
      <w:r w:rsidR="00361913">
        <w:rPr>
          <w:noProof/>
        </w:rPr>
        <w:t xml:space="preserve">.  </w:t>
      </w:r>
      <w:r w:rsidR="00087FA2">
        <w:rPr>
          <w:noProof/>
        </w:rPr>
        <w:t xml:space="preserve">Assuming that Bolter and Zihlman’s (2011) comparatively small sample size predicted reliable ranges </w:t>
      </w:r>
      <w:r w:rsidR="003326BF">
        <w:rPr>
          <w:noProof/>
        </w:rPr>
        <w:t xml:space="preserve">for emergence, it would seem likely that bonobos mineralization timings converge upon very similar values.  </w:t>
      </w:r>
      <w:r w:rsidR="005E539D">
        <w:rPr>
          <w:noProof/>
        </w:rPr>
        <w:t>Figure 3.6</w:t>
      </w:r>
      <w:r w:rsidR="00361913">
        <w:rPr>
          <w:noProof/>
        </w:rPr>
        <w:t xml:space="preserve"> demonstrates the Dermirjian developmental stages and </w:t>
      </w:r>
      <w:r w:rsidR="00A17646">
        <w:rPr>
          <w:noProof/>
        </w:rPr>
        <w:t>T</w:t>
      </w:r>
      <w:r w:rsidR="00361913">
        <w:rPr>
          <w:noProof/>
        </w:rPr>
        <w:t>able 3.</w:t>
      </w:r>
      <w:r w:rsidR="00516AD9">
        <w:rPr>
          <w:noProof/>
        </w:rPr>
        <w:t>7</w:t>
      </w:r>
      <w:r w:rsidR="00361913">
        <w:rPr>
          <w:noProof/>
        </w:rPr>
        <w:t xml:space="preserve"> explains the criteria for each stage.</w:t>
      </w:r>
    </w:p>
    <w:p w:rsidR="005D217C" w:rsidRDefault="00A35CA0">
      <w:pPr>
        <w:pStyle w:val="Caption"/>
        <w:rPr>
          <w:b/>
        </w:rPr>
      </w:pPr>
      <w:r w:rsidRPr="00CA5FBB">
        <w:rPr>
          <w:b/>
          <w:noProof/>
          <w:lang w:val="en-GB" w:eastAsia="en-GB"/>
        </w:rPr>
        <w:lastRenderedPageBreak/>
        <w:drawing>
          <wp:inline distT="0" distB="0" distL="0" distR="0" wp14:anchorId="3B8C4D1D" wp14:editId="107737AA">
            <wp:extent cx="5610225" cy="6638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25" cy="6638925"/>
                    </a:xfrm>
                    <a:prstGeom prst="rect">
                      <a:avLst/>
                    </a:prstGeom>
                    <a:noFill/>
                    <a:ln>
                      <a:noFill/>
                    </a:ln>
                  </pic:spPr>
                </pic:pic>
              </a:graphicData>
            </a:graphic>
          </wp:inline>
        </w:drawing>
      </w:r>
    </w:p>
    <w:p w:rsidR="00390891" w:rsidRPr="00CA5FBB" w:rsidRDefault="00C9288A">
      <w:pPr>
        <w:pStyle w:val="Caption"/>
      </w:pPr>
      <w:bookmarkStart w:id="139" w:name="_Toc373147453"/>
      <w:proofErr w:type="gramStart"/>
      <w:r w:rsidRPr="00C9288A">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6</w:t>
      </w:r>
      <w:r w:rsidR="008943E4">
        <w:rPr>
          <w:b/>
        </w:rPr>
        <w:fldChar w:fldCharType="end"/>
      </w:r>
      <w:r>
        <w:t xml:space="preserve"> </w:t>
      </w:r>
      <w:r w:rsidR="00A42C93">
        <w:t xml:space="preserve"> </w:t>
      </w:r>
      <w:r w:rsidR="009D0C66">
        <w:t>Demirjian dental scoring stages redrawn from Demirjian (1973).</w:t>
      </w:r>
      <w:bookmarkEnd w:id="139"/>
    </w:p>
    <w:p w:rsidR="0083336B" w:rsidRDefault="0083336B">
      <w:pPr>
        <w:spacing w:before="0" w:after="200" w:line="276" w:lineRule="auto"/>
        <w:jc w:val="left"/>
        <w:rPr>
          <w:b/>
          <w:bCs/>
          <w:szCs w:val="18"/>
        </w:rPr>
      </w:pPr>
      <w:r>
        <w:rPr>
          <w:b/>
        </w:rPr>
        <w:br w:type="page"/>
      </w:r>
    </w:p>
    <w:p w:rsidR="00361913" w:rsidRDefault="00C9288A" w:rsidP="00C9288A">
      <w:pPr>
        <w:pStyle w:val="Caption"/>
      </w:pPr>
      <w:bookmarkStart w:id="140" w:name="_Toc373180119"/>
      <w:proofErr w:type="gramStart"/>
      <w:r w:rsidRPr="00C9288A">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7</w:t>
      </w:r>
      <w:r w:rsidR="008943E4">
        <w:rPr>
          <w:b/>
        </w:rPr>
        <w:fldChar w:fldCharType="end"/>
      </w:r>
      <w:r w:rsidR="00A47CD2">
        <w:t xml:space="preserve"> </w:t>
      </w:r>
      <w:r w:rsidR="00A42C93">
        <w:t xml:space="preserve"> </w:t>
      </w:r>
      <w:r w:rsidR="00361913">
        <w:t xml:space="preserve">Definition of Demirjian scoring stages (Reproduced from </w:t>
      </w:r>
      <w:r w:rsidR="006F3663">
        <w:t xml:space="preserve">Kuykendall 1996, </w:t>
      </w:r>
      <w:r w:rsidR="00361913">
        <w:t xml:space="preserve">Kuykendall </w:t>
      </w:r>
      <w:r w:rsidR="006F3663">
        <w:rPr>
          <w:i/>
        </w:rPr>
        <w:t xml:space="preserve">et </w:t>
      </w:r>
      <w:r w:rsidR="006F3663" w:rsidRPr="006F3663">
        <w:rPr>
          <w:i/>
        </w:rPr>
        <w:t>al</w:t>
      </w:r>
      <w:r w:rsidR="006F3663">
        <w:t xml:space="preserve">. </w:t>
      </w:r>
      <w:r w:rsidR="00361913" w:rsidRPr="006F3663">
        <w:t>1992</w:t>
      </w:r>
      <w:r w:rsidR="00361913">
        <w:t>, Kuykendall and Conroy 1996)</w:t>
      </w:r>
      <w:r w:rsidR="00A42C93">
        <w:t>.</w:t>
      </w:r>
      <w:bookmarkEnd w:id="140"/>
    </w:p>
    <w:tbl>
      <w:tblPr>
        <w:tblW w:w="9471" w:type="dxa"/>
        <w:jc w:val="center"/>
        <w:tblInd w:w="-318" w:type="dxa"/>
        <w:tblLook w:val="04A0" w:firstRow="1" w:lastRow="0" w:firstColumn="1" w:lastColumn="0" w:noHBand="0" w:noVBand="1"/>
      </w:tblPr>
      <w:tblGrid>
        <w:gridCol w:w="1116"/>
        <w:gridCol w:w="8355"/>
      </w:tblGrid>
      <w:tr w:rsidR="00361913" w:rsidRPr="00777636" w:rsidTr="00736801">
        <w:trPr>
          <w:trHeight w:val="300"/>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sidRPr="00777636">
              <w:rPr>
                <w:rFonts w:eastAsia="Times New Roman"/>
                <w:color w:val="000000"/>
                <w:lang w:val="en-GB" w:eastAsia="en-GB"/>
              </w:rPr>
              <w:t>Stage 1</w:t>
            </w:r>
          </w:p>
        </w:tc>
        <w:tc>
          <w:tcPr>
            <w:tcW w:w="8355" w:type="dxa"/>
            <w:tcBorders>
              <w:top w:val="single" w:sz="4" w:space="0" w:color="auto"/>
              <w:left w:val="nil"/>
              <w:bottom w:val="single" w:sz="4" w:space="0" w:color="auto"/>
              <w:right w:val="single" w:sz="4" w:space="0" w:color="auto"/>
            </w:tcBorders>
            <w:shd w:val="clear" w:color="auto" w:fill="auto"/>
            <w:noWrap/>
            <w:vAlign w:val="center"/>
            <w:hideMark/>
          </w:tcPr>
          <w:p w:rsidR="00361913" w:rsidRPr="00777636" w:rsidRDefault="00361913" w:rsidP="00C10FED">
            <w:pPr>
              <w:spacing w:before="0" w:line="240" w:lineRule="auto"/>
              <w:rPr>
                <w:rFonts w:eastAsia="Times New Roman"/>
                <w:color w:val="000000"/>
                <w:lang w:val="en-GB" w:eastAsia="en-GB"/>
              </w:rPr>
            </w:pPr>
            <w:r w:rsidRPr="00777636">
              <w:rPr>
                <w:rFonts w:eastAsia="Times New Roman"/>
                <w:color w:val="000000"/>
                <w:lang w:val="en-GB" w:eastAsia="en-GB"/>
              </w:rPr>
              <w:t xml:space="preserve">In </w:t>
            </w:r>
            <w:proofErr w:type="gramStart"/>
            <w:r w:rsidRPr="00777636">
              <w:rPr>
                <w:rFonts w:eastAsia="Times New Roman"/>
                <w:color w:val="000000"/>
                <w:lang w:val="en-GB" w:eastAsia="en-GB"/>
              </w:rPr>
              <w:t>both uniradicular</w:t>
            </w:r>
            <w:proofErr w:type="gramEnd"/>
            <w:r w:rsidRPr="00777636">
              <w:rPr>
                <w:rFonts w:eastAsia="Times New Roman"/>
                <w:color w:val="000000"/>
                <w:lang w:val="en-GB" w:eastAsia="en-GB"/>
              </w:rPr>
              <w:t xml:space="preserve"> and multiradicular teeth, the initial calcification is visible in the superior region of the tooth crypt as one or a series of inverted cones. There is no fusion of these calcified points.</w:t>
            </w:r>
          </w:p>
        </w:tc>
      </w:tr>
      <w:tr w:rsidR="00361913" w:rsidRPr="00777636" w:rsidTr="00736801">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sidRPr="00777636">
              <w:rPr>
                <w:rFonts w:eastAsia="Times New Roman"/>
                <w:color w:val="000000"/>
                <w:lang w:val="en-GB" w:eastAsia="en-GB"/>
              </w:rPr>
              <w:t>Stage 2</w:t>
            </w:r>
          </w:p>
        </w:tc>
        <w:tc>
          <w:tcPr>
            <w:tcW w:w="8355" w:type="dxa"/>
            <w:tcBorders>
              <w:top w:val="nil"/>
              <w:left w:val="nil"/>
              <w:bottom w:val="single" w:sz="4" w:space="0" w:color="auto"/>
              <w:right w:val="single" w:sz="4" w:space="0" w:color="auto"/>
            </w:tcBorders>
            <w:shd w:val="clear" w:color="auto" w:fill="auto"/>
            <w:noWrap/>
            <w:vAlign w:val="center"/>
            <w:hideMark/>
          </w:tcPr>
          <w:p w:rsidR="00361913" w:rsidRPr="00777636" w:rsidRDefault="00361913" w:rsidP="00C10FED">
            <w:pPr>
              <w:spacing w:before="0" w:line="240" w:lineRule="auto"/>
              <w:rPr>
                <w:rFonts w:eastAsia="Times New Roman"/>
                <w:color w:val="000000"/>
                <w:lang w:val="en-GB" w:eastAsia="en-GB"/>
              </w:rPr>
            </w:pPr>
            <w:proofErr w:type="gramStart"/>
            <w:r w:rsidRPr="00777636">
              <w:rPr>
                <w:rFonts w:eastAsia="Times New Roman"/>
                <w:color w:val="000000"/>
                <w:lang w:val="en-GB" w:eastAsia="en-GB"/>
              </w:rPr>
              <w:t>Fusion of the calcified points form</w:t>
            </w:r>
            <w:proofErr w:type="gramEnd"/>
            <w:r w:rsidRPr="00777636">
              <w:rPr>
                <w:rFonts w:eastAsia="Times New Roman"/>
                <w:color w:val="000000"/>
                <w:lang w:val="en-GB" w:eastAsia="en-GB"/>
              </w:rPr>
              <w:t xml:space="preserve"> one or several cusps which unite to give a regularly outlined occlusal surface.</w:t>
            </w:r>
          </w:p>
        </w:tc>
      </w:tr>
      <w:tr w:rsidR="0096511A" w:rsidRPr="00777636" w:rsidTr="00AA0A44">
        <w:trPr>
          <w:trHeight w:val="300"/>
          <w:jc w:val="center"/>
        </w:trPr>
        <w:tc>
          <w:tcPr>
            <w:tcW w:w="1116" w:type="dxa"/>
            <w:vMerge w:val="restart"/>
            <w:tcBorders>
              <w:top w:val="nil"/>
              <w:left w:val="single" w:sz="4" w:space="0" w:color="auto"/>
              <w:right w:val="single" w:sz="4" w:space="0" w:color="auto"/>
            </w:tcBorders>
            <w:shd w:val="clear" w:color="auto" w:fill="auto"/>
            <w:noWrap/>
            <w:vAlign w:val="center"/>
            <w:hideMark/>
          </w:tcPr>
          <w:p w:rsidR="00A35CA0" w:rsidRDefault="0096511A" w:rsidP="00CA5FBB">
            <w:pPr>
              <w:spacing w:before="0" w:line="240" w:lineRule="auto"/>
              <w:jc w:val="center"/>
              <w:rPr>
                <w:rFonts w:eastAsia="Times New Roman"/>
                <w:color w:val="000000"/>
                <w:lang w:val="en-GB" w:eastAsia="en-GB"/>
              </w:rPr>
            </w:pPr>
            <w:r w:rsidRPr="00777636">
              <w:rPr>
                <w:rFonts w:eastAsia="Times New Roman"/>
                <w:color w:val="000000"/>
                <w:lang w:val="en-GB" w:eastAsia="en-GB"/>
              </w:rPr>
              <w:t>Stage 3</w:t>
            </w: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a) Enamel formation is complete at the occlusal surface. Its extension and convergence towards the cervical region is visible.</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bottom"/>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b) Beginning of a dentinal deposit is present below the enamel crown</w:t>
            </w:r>
          </w:p>
        </w:tc>
      </w:tr>
      <w:tr w:rsidR="0096511A" w:rsidRPr="00777636" w:rsidTr="00AA0A44">
        <w:trPr>
          <w:trHeight w:val="300"/>
          <w:jc w:val="center"/>
        </w:trPr>
        <w:tc>
          <w:tcPr>
            <w:tcW w:w="1116" w:type="dxa"/>
            <w:vMerge/>
            <w:tcBorders>
              <w:left w:val="single" w:sz="4" w:space="0" w:color="auto"/>
              <w:bottom w:val="single" w:sz="4" w:space="0" w:color="auto"/>
              <w:right w:val="single" w:sz="4" w:space="0" w:color="auto"/>
            </w:tcBorders>
            <w:shd w:val="clear" w:color="auto" w:fill="auto"/>
            <w:noWrap/>
            <w:vAlign w:val="bottom"/>
            <w:hideMark/>
          </w:tcPr>
          <w:p w:rsidR="00A35CA0" w:rsidRDefault="00A35CA0" w:rsidP="00CA5FBB">
            <w:pPr>
              <w:spacing w:before="0" w:line="240" w:lineRule="auto"/>
              <w:jc w:val="center"/>
              <w:rPr>
                <w:rFonts w:eastAsia="Times New Roman"/>
                <w:color w:val="000000"/>
                <w:lang w:val="en-GB" w:eastAsia="en-GB"/>
              </w:rPr>
            </w:pPr>
          </w:p>
        </w:tc>
        <w:tc>
          <w:tcPr>
            <w:tcW w:w="8355" w:type="dxa"/>
            <w:tcBorders>
              <w:top w:val="nil"/>
              <w:left w:val="nil"/>
              <w:bottom w:val="single" w:sz="4" w:space="0" w:color="auto"/>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proofErr w:type="gramStart"/>
            <w:r w:rsidRPr="00777636">
              <w:rPr>
                <w:rFonts w:eastAsia="Times New Roman"/>
                <w:color w:val="000000"/>
                <w:lang w:val="en-GB" w:eastAsia="en-GB"/>
              </w:rPr>
              <w:t>c)The</w:t>
            </w:r>
            <w:proofErr w:type="gramEnd"/>
            <w:r w:rsidRPr="00777636">
              <w:rPr>
                <w:rFonts w:eastAsia="Times New Roman"/>
                <w:color w:val="000000"/>
                <w:lang w:val="en-GB" w:eastAsia="en-GB"/>
              </w:rPr>
              <w:t xml:space="preserve"> outline of the pulp chamber has a curved shape at the occlusal border.</w:t>
            </w:r>
          </w:p>
        </w:tc>
      </w:tr>
      <w:tr w:rsidR="0096511A" w:rsidRPr="00777636" w:rsidTr="00AA0A44">
        <w:trPr>
          <w:trHeight w:val="300"/>
          <w:jc w:val="center"/>
        </w:trPr>
        <w:tc>
          <w:tcPr>
            <w:tcW w:w="1116" w:type="dxa"/>
            <w:vMerge w:val="restart"/>
            <w:tcBorders>
              <w:top w:val="nil"/>
              <w:left w:val="single" w:sz="4" w:space="0" w:color="auto"/>
              <w:right w:val="single" w:sz="4" w:space="0" w:color="auto"/>
            </w:tcBorders>
            <w:shd w:val="clear" w:color="auto" w:fill="auto"/>
            <w:noWrap/>
            <w:vAlign w:val="center"/>
            <w:hideMark/>
          </w:tcPr>
          <w:p w:rsidR="00A35CA0" w:rsidRDefault="0096511A" w:rsidP="00CA5FBB">
            <w:pPr>
              <w:spacing w:before="0" w:line="240" w:lineRule="auto"/>
              <w:jc w:val="center"/>
              <w:rPr>
                <w:rFonts w:eastAsia="Times New Roman"/>
                <w:color w:val="000000"/>
                <w:lang w:val="en-GB" w:eastAsia="en-GB"/>
              </w:rPr>
            </w:pPr>
            <w:r w:rsidRPr="00777636">
              <w:rPr>
                <w:rFonts w:eastAsia="Times New Roman"/>
                <w:color w:val="000000"/>
                <w:lang w:val="en-GB" w:eastAsia="en-GB"/>
              </w:rPr>
              <w:t>Stage 4</w:t>
            </w: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a) Crown formation is complete to the cementoenamel junction.</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bottom"/>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b) The superior border of the pulp chamber in uniradicular teeth has a definite curved form, being concav</w:t>
            </w:r>
            <w:r>
              <w:rPr>
                <w:rFonts w:eastAsia="Times New Roman"/>
                <w:color w:val="000000"/>
                <w:lang w:val="en-GB" w:eastAsia="en-GB"/>
              </w:rPr>
              <w:t>e toward the cervical region. I</w:t>
            </w:r>
            <w:r w:rsidRPr="00777636">
              <w:rPr>
                <w:rFonts w:eastAsia="Times New Roman"/>
                <w:color w:val="000000"/>
                <w:lang w:val="en-GB" w:eastAsia="en-GB"/>
              </w:rPr>
              <w:t>f the pulp horns are present, they give an outline like an umbrella top. In molars, the pulp chamber has a trapezoidal form.</w:t>
            </w:r>
          </w:p>
        </w:tc>
      </w:tr>
      <w:tr w:rsidR="0096511A" w:rsidRPr="00777636" w:rsidTr="00AA0A44">
        <w:trPr>
          <w:trHeight w:val="300"/>
          <w:jc w:val="center"/>
        </w:trPr>
        <w:tc>
          <w:tcPr>
            <w:tcW w:w="1116" w:type="dxa"/>
            <w:vMerge/>
            <w:tcBorders>
              <w:left w:val="single" w:sz="4" w:space="0" w:color="auto"/>
              <w:bottom w:val="single" w:sz="4" w:space="0" w:color="auto"/>
              <w:right w:val="single" w:sz="4" w:space="0" w:color="auto"/>
            </w:tcBorders>
            <w:shd w:val="clear" w:color="auto" w:fill="auto"/>
            <w:noWrap/>
            <w:vAlign w:val="bottom"/>
            <w:hideMark/>
          </w:tcPr>
          <w:p w:rsidR="00A35CA0" w:rsidRDefault="00A35CA0" w:rsidP="00CA5FBB">
            <w:pPr>
              <w:spacing w:before="0" w:line="240" w:lineRule="auto"/>
              <w:jc w:val="center"/>
              <w:rPr>
                <w:rFonts w:eastAsia="Times New Roman"/>
                <w:color w:val="000000"/>
                <w:lang w:val="en-GB" w:eastAsia="en-GB"/>
              </w:rPr>
            </w:pPr>
          </w:p>
        </w:tc>
        <w:tc>
          <w:tcPr>
            <w:tcW w:w="8355" w:type="dxa"/>
            <w:tcBorders>
              <w:top w:val="nil"/>
              <w:left w:val="nil"/>
              <w:bottom w:val="single" w:sz="4" w:space="0" w:color="auto"/>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c) Beginning of root formation is observable in the form of a spicule</w:t>
            </w:r>
          </w:p>
        </w:tc>
      </w:tr>
      <w:tr w:rsidR="0096511A" w:rsidRPr="00777636" w:rsidTr="00AA0A44">
        <w:trPr>
          <w:trHeight w:val="300"/>
          <w:jc w:val="center"/>
        </w:trPr>
        <w:tc>
          <w:tcPr>
            <w:tcW w:w="1116" w:type="dxa"/>
            <w:vMerge w:val="restart"/>
            <w:tcBorders>
              <w:top w:val="nil"/>
              <w:left w:val="single" w:sz="4" w:space="0" w:color="auto"/>
              <w:right w:val="single" w:sz="4" w:space="0" w:color="auto"/>
            </w:tcBorders>
            <w:shd w:val="clear" w:color="auto" w:fill="auto"/>
            <w:noWrap/>
            <w:vAlign w:val="center"/>
            <w:hideMark/>
          </w:tcPr>
          <w:p w:rsidR="00A35CA0" w:rsidRDefault="0096511A" w:rsidP="00CA5FBB">
            <w:pPr>
              <w:spacing w:before="0" w:line="240" w:lineRule="auto"/>
              <w:jc w:val="center"/>
              <w:rPr>
                <w:rFonts w:eastAsia="Times New Roman"/>
                <w:color w:val="000000"/>
                <w:lang w:val="en-GB" w:eastAsia="en-GB"/>
              </w:rPr>
            </w:pPr>
            <w:r w:rsidRPr="00777636">
              <w:rPr>
                <w:rFonts w:eastAsia="Times New Roman"/>
                <w:color w:val="000000"/>
                <w:lang w:val="en-GB" w:eastAsia="en-GB"/>
              </w:rPr>
              <w:t>Stage 5</w:t>
            </w: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i/>
                <w:iCs/>
                <w:color w:val="000000"/>
                <w:lang w:val="en-GB" w:eastAsia="en-GB"/>
              </w:rPr>
            </w:pPr>
            <w:r w:rsidRPr="00777636">
              <w:rPr>
                <w:rFonts w:eastAsia="Times New Roman"/>
                <w:i/>
                <w:iCs/>
                <w:color w:val="000000"/>
                <w:lang w:val="en-GB" w:eastAsia="en-GB"/>
              </w:rPr>
              <w:t>Uniradicular teeth:</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center"/>
            <w:hideMark/>
          </w:tcPr>
          <w:p w:rsidR="00A35CA0" w:rsidRDefault="00A35CA0" w:rsidP="00CA5FBB">
            <w:pPr>
              <w:spacing w:line="240" w:lineRule="auto"/>
              <w:jc w:val="center"/>
              <w:rPr>
                <w:rFonts w:eastAsia="Times New Roman"/>
                <w:i/>
                <w:iCs/>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a) The walls of the pulp chamber form straight lines, but may be interrupted bu</w:t>
            </w:r>
            <w:r>
              <w:rPr>
                <w:rFonts w:eastAsia="Times New Roman"/>
                <w:color w:val="000000"/>
                <w:lang w:val="en-GB" w:eastAsia="en-GB"/>
              </w:rPr>
              <w:t>t</w:t>
            </w:r>
            <w:r w:rsidRPr="00777636">
              <w:rPr>
                <w:rFonts w:eastAsia="Times New Roman"/>
                <w:color w:val="000000"/>
                <w:lang w:val="en-GB" w:eastAsia="en-GB"/>
              </w:rPr>
              <w:t xml:space="preserve"> the presence of pulp horns</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bottom"/>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b) Root length is less than crown height.</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bottom"/>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i/>
                <w:iCs/>
                <w:color w:val="000000"/>
                <w:lang w:val="en-GB" w:eastAsia="en-GB"/>
              </w:rPr>
            </w:pPr>
            <w:r w:rsidRPr="00777636">
              <w:rPr>
                <w:rFonts w:eastAsia="Times New Roman"/>
                <w:i/>
                <w:iCs/>
                <w:color w:val="000000"/>
                <w:lang w:val="en-GB" w:eastAsia="en-GB"/>
              </w:rPr>
              <w:t>Premolars and Molars:</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bottom"/>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a) Initial formation of the radicular bifurcation is visible as either a calcified point, or a semilunar mass.</w:t>
            </w:r>
          </w:p>
        </w:tc>
      </w:tr>
      <w:tr w:rsidR="0096511A" w:rsidRPr="00777636" w:rsidTr="00AA0A44">
        <w:trPr>
          <w:trHeight w:val="300"/>
          <w:jc w:val="center"/>
        </w:trPr>
        <w:tc>
          <w:tcPr>
            <w:tcW w:w="1116" w:type="dxa"/>
            <w:vMerge/>
            <w:tcBorders>
              <w:left w:val="single" w:sz="4" w:space="0" w:color="auto"/>
              <w:bottom w:val="single" w:sz="4" w:space="0" w:color="auto"/>
              <w:right w:val="single" w:sz="4" w:space="0" w:color="auto"/>
            </w:tcBorders>
            <w:shd w:val="clear" w:color="auto" w:fill="auto"/>
            <w:noWrap/>
            <w:vAlign w:val="bottom"/>
            <w:hideMark/>
          </w:tcPr>
          <w:p w:rsidR="00A35CA0" w:rsidRDefault="00A35CA0" w:rsidP="00CA5FBB">
            <w:pPr>
              <w:spacing w:before="0" w:line="240" w:lineRule="auto"/>
              <w:jc w:val="center"/>
              <w:rPr>
                <w:rFonts w:eastAsia="Times New Roman"/>
                <w:color w:val="000000"/>
                <w:lang w:val="en-GB" w:eastAsia="en-GB"/>
              </w:rPr>
            </w:pPr>
          </w:p>
        </w:tc>
        <w:tc>
          <w:tcPr>
            <w:tcW w:w="8355" w:type="dxa"/>
            <w:tcBorders>
              <w:top w:val="nil"/>
              <w:left w:val="nil"/>
              <w:bottom w:val="single" w:sz="4" w:space="0" w:color="auto"/>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b) Root length is still less than crown height</w:t>
            </w:r>
          </w:p>
        </w:tc>
      </w:tr>
      <w:tr w:rsidR="0096511A" w:rsidRPr="00777636" w:rsidTr="00AA0A44">
        <w:trPr>
          <w:trHeight w:val="300"/>
          <w:jc w:val="center"/>
        </w:trPr>
        <w:tc>
          <w:tcPr>
            <w:tcW w:w="1116" w:type="dxa"/>
            <w:vMerge w:val="restart"/>
            <w:tcBorders>
              <w:top w:val="nil"/>
              <w:left w:val="single" w:sz="4" w:space="0" w:color="auto"/>
              <w:right w:val="single" w:sz="4" w:space="0" w:color="auto"/>
            </w:tcBorders>
            <w:shd w:val="clear" w:color="auto" w:fill="auto"/>
            <w:noWrap/>
            <w:vAlign w:val="center"/>
            <w:hideMark/>
          </w:tcPr>
          <w:p w:rsidR="00A35CA0" w:rsidRDefault="0096511A" w:rsidP="00CA5FBB">
            <w:pPr>
              <w:spacing w:before="0" w:line="240" w:lineRule="auto"/>
              <w:jc w:val="center"/>
              <w:rPr>
                <w:rFonts w:eastAsia="Times New Roman"/>
                <w:color w:val="000000"/>
                <w:lang w:val="en-GB" w:eastAsia="en-GB"/>
              </w:rPr>
            </w:pPr>
            <w:r w:rsidRPr="00777636">
              <w:rPr>
                <w:rFonts w:eastAsia="Times New Roman"/>
                <w:color w:val="000000"/>
                <w:lang w:val="en-GB" w:eastAsia="en-GB"/>
              </w:rPr>
              <w:t>Stage 6</w:t>
            </w: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i/>
                <w:iCs/>
                <w:color w:val="000000"/>
                <w:lang w:val="en-GB" w:eastAsia="en-GB"/>
              </w:rPr>
            </w:pPr>
            <w:r w:rsidRPr="00777636">
              <w:rPr>
                <w:rFonts w:eastAsia="Times New Roman"/>
                <w:i/>
                <w:iCs/>
                <w:color w:val="000000"/>
                <w:lang w:val="en-GB" w:eastAsia="en-GB"/>
              </w:rPr>
              <w:t>Uniradicular teeth:</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bottom"/>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a) The walls of the pulp chamber approximate an isosceles triangle. The apex ends in a funnel shape</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bottom"/>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b) Root length is equal to or greater than the crown height.</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center"/>
            <w:hideMark/>
          </w:tcPr>
          <w:p w:rsidR="00A35CA0" w:rsidRDefault="00A35CA0" w:rsidP="00CA5FBB">
            <w:pPr>
              <w:spacing w:line="240" w:lineRule="auto"/>
              <w:jc w:val="center"/>
              <w:rPr>
                <w:rFonts w:eastAsia="Times New Roman"/>
                <w:i/>
                <w:iCs/>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i/>
                <w:iCs/>
                <w:color w:val="000000"/>
                <w:lang w:val="en-GB" w:eastAsia="en-GB"/>
              </w:rPr>
            </w:pPr>
            <w:r w:rsidRPr="00777636">
              <w:rPr>
                <w:rFonts w:eastAsia="Times New Roman"/>
                <w:i/>
                <w:iCs/>
                <w:color w:val="000000"/>
                <w:lang w:val="en-GB" w:eastAsia="en-GB"/>
              </w:rPr>
              <w:t>Molars:</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bottom"/>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a) The calcified region of the bifurcation has developed further down from its semilunar stage to give more definition to the roots, which have funnel-shaped endings.</w:t>
            </w:r>
          </w:p>
        </w:tc>
      </w:tr>
      <w:tr w:rsidR="0096511A" w:rsidRPr="00777636" w:rsidTr="00AA0A44">
        <w:trPr>
          <w:trHeight w:val="300"/>
          <w:jc w:val="center"/>
        </w:trPr>
        <w:tc>
          <w:tcPr>
            <w:tcW w:w="1116" w:type="dxa"/>
            <w:vMerge/>
            <w:tcBorders>
              <w:left w:val="single" w:sz="4" w:space="0" w:color="auto"/>
              <w:bottom w:val="single" w:sz="4" w:space="0" w:color="auto"/>
              <w:right w:val="single" w:sz="4" w:space="0" w:color="auto"/>
            </w:tcBorders>
            <w:shd w:val="clear" w:color="auto" w:fill="auto"/>
            <w:noWrap/>
            <w:vAlign w:val="bottom"/>
            <w:hideMark/>
          </w:tcPr>
          <w:p w:rsidR="00A35CA0" w:rsidRDefault="00A35CA0" w:rsidP="00CA5FBB">
            <w:pPr>
              <w:spacing w:before="0" w:line="240" w:lineRule="auto"/>
              <w:jc w:val="center"/>
              <w:rPr>
                <w:rFonts w:eastAsia="Times New Roman"/>
                <w:color w:val="000000"/>
                <w:lang w:val="en-GB" w:eastAsia="en-GB"/>
              </w:rPr>
            </w:pPr>
          </w:p>
        </w:tc>
        <w:tc>
          <w:tcPr>
            <w:tcW w:w="8355" w:type="dxa"/>
            <w:tcBorders>
              <w:top w:val="nil"/>
              <w:left w:val="nil"/>
              <w:bottom w:val="single" w:sz="4" w:space="0" w:color="auto"/>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b) The root length is equal to or greater than the crown height.</w:t>
            </w:r>
          </w:p>
        </w:tc>
      </w:tr>
      <w:tr w:rsidR="0096511A" w:rsidRPr="00777636" w:rsidTr="00AA0A44">
        <w:trPr>
          <w:trHeight w:val="300"/>
          <w:jc w:val="center"/>
        </w:trPr>
        <w:tc>
          <w:tcPr>
            <w:tcW w:w="1116" w:type="dxa"/>
            <w:vMerge w:val="restart"/>
            <w:tcBorders>
              <w:top w:val="nil"/>
              <w:left w:val="single" w:sz="4" w:space="0" w:color="auto"/>
              <w:right w:val="single" w:sz="4" w:space="0" w:color="auto"/>
            </w:tcBorders>
            <w:shd w:val="clear" w:color="auto" w:fill="auto"/>
            <w:noWrap/>
            <w:vAlign w:val="center"/>
            <w:hideMark/>
          </w:tcPr>
          <w:p w:rsidR="00A35CA0" w:rsidRDefault="0096511A" w:rsidP="00CA5FBB">
            <w:pPr>
              <w:spacing w:before="0" w:line="240" w:lineRule="auto"/>
              <w:jc w:val="center"/>
              <w:rPr>
                <w:rFonts w:eastAsia="Times New Roman"/>
                <w:color w:val="000000"/>
                <w:lang w:val="en-GB" w:eastAsia="en-GB"/>
              </w:rPr>
            </w:pPr>
            <w:r w:rsidRPr="00777636">
              <w:rPr>
                <w:rFonts w:eastAsia="Times New Roman"/>
                <w:color w:val="000000"/>
                <w:lang w:val="en-GB" w:eastAsia="en-GB"/>
              </w:rPr>
              <w:t>Stage 7</w:t>
            </w: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a) The walls of the root canals are parallel (distal root in molars).</w:t>
            </w:r>
          </w:p>
        </w:tc>
      </w:tr>
      <w:tr w:rsidR="0096511A" w:rsidRPr="00777636" w:rsidTr="00AA0A44">
        <w:trPr>
          <w:trHeight w:val="300"/>
          <w:jc w:val="center"/>
        </w:trPr>
        <w:tc>
          <w:tcPr>
            <w:tcW w:w="1116" w:type="dxa"/>
            <w:vMerge/>
            <w:tcBorders>
              <w:left w:val="single" w:sz="4" w:space="0" w:color="auto"/>
              <w:right w:val="single" w:sz="4" w:space="0" w:color="auto"/>
            </w:tcBorders>
            <w:shd w:val="clear" w:color="auto" w:fill="auto"/>
            <w:noWrap/>
            <w:vAlign w:val="center"/>
            <w:hideMark/>
          </w:tcPr>
          <w:p w:rsidR="00A35CA0" w:rsidRDefault="00A35CA0" w:rsidP="00CA5FBB">
            <w:pPr>
              <w:spacing w:line="240" w:lineRule="auto"/>
              <w:jc w:val="center"/>
              <w:rPr>
                <w:rFonts w:eastAsia="Times New Roman"/>
                <w:color w:val="000000"/>
                <w:lang w:val="en-GB" w:eastAsia="en-GB"/>
              </w:rPr>
            </w:pP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b) The apical ends of the root canal are open, but NOT funnel-shaped. The periodontal membrane bulges around the root apices.</w:t>
            </w:r>
          </w:p>
        </w:tc>
      </w:tr>
      <w:tr w:rsidR="0096511A" w:rsidRPr="00777636" w:rsidTr="00AA0A44">
        <w:trPr>
          <w:trHeight w:val="300"/>
          <w:jc w:val="center"/>
        </w:trPr>
        <w:tc>
          <w:tcPr>
            <w:tcW w:w="1116" w:type="dxa"/>
            <w:vMerge/>
            <w:tcBorders>
              <w:left w:val="single" w:sz="4" w:space="0" w:color="auto"/>
              <w:bottom w:val="single" w:sz="4" w:space="0" w:color="auto"/>
              <w:right w:val="single" w:sz="4" w:space="0" w:color="auto"/>
            </w:tcBorders>
            <w:shd w:val="clear" w:color="auto" w:fill="auto"/>
            <w:noWrap/>
            <w:vAlign w:val="bottom"/>
            <w:hideMark/>
          </w:tcPr>
          <w:p w:rsidR="00A35CA0" w:rsidRDefault="00A35CA0" w:rsidP="00CA5FBB">
            <w:pPr>
              <w:spacing w:before="0" w:line="240" w:lineRule="auto"/>
              <w:jc w:val="center"/>
              <w:rPr>
                <w:rFonts w:eastAsia="Times New Roman"/>
                <w:color w:val="000000"/>
                <w:lang w:val="en-GB" w:eastAsia="en-GB"/>
              </w:rPr>
            </w:pPr>
          </w:p>
        </w:tc>
        <w:tc>
          <w:tcPr>
            <w:tcW w:w="8355" w:type="dxa"/>
            <w:tcBorders>
              <w:top w:val="nil"/>
              <w:left w:val="nil"/>
              <w:bottom w:val="single" w:sz="4" w:space="0" w:color="auto"/>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i/>
                <w:iCs/>
                <w:color w:val="000000"/>
                <w:lang w:val="en-GB" w:eastAsia="en-GB"/>
              </w:rPr>
            </w:pPr>
            <w:r w:rsidRPr="00777636">
              <w:rPr>
                <w:rFonts w:eastAsia="Times New Roman"/>
                <w:i/>
                <w:iCs/>
                <w:color w:val="000000"/>
                <w:lang w:val="en-GB" w:eastAsia="en-GB"/>
              </w:rPr>
              <w:t xml:space="preserve">c ) </w:t>
            </w:r>
            <w:r w:rsidRPr="00777636">
              <w:rPr>
                <w:rFonts w:eastAsia="Times New Roman"/>
                <w:color w:val="000000"/>
                <w:lang w:val="en-GB" w:eastAsia="en-GB"/>
              </w:rPr>
              <w:t>Proximal and distal roots of multiradicular teeth are parallel--root elongation is complete</w:t>
            </w:r>
          </w:p>
        </w:tc>
      </w:tr>
      <w:tr w:rsidR="0096511A" w:rsidRPr="00777636" w:rsidTr="00AA0A44">
        <w:trPr>
          <w:trHeight w:val="300"/>
          <w:jc w:val="center"/>
        </w:trPr>
        <w:tc>
          <w:tcPr>
            <w:tcW w:w="1116" w:type="dxa"/>
            <w:vMerge w:val="restart"/>
            <w:tcBorders>
              <w:top w:val="nil"/>
              <w:left w:val="single" w:sz="4" w:space="0" w:color="auto"/>
              <w:right w:val="single" w:sz="4" w:space="0" w:color="auto"/>
            </w:tcBorders>
            <w:shd w:val="clear" w:color="auto" w:fill="auto"/>
            <w:noWrap/>
            <w:vAlign w:val="center"/>
            <w:hideMark/>
          </w:tcPr>
          <w:p w:rsidR="00A35CA0" w:rsidRDefault="0096511A" w:rsidP="00CA5FBB">
            <w:pPr>
              <w:spacing w:before="0" w:line="240" w:lineRule="auto"/>
              <w:jc w:val="center"/>
              <w:rPr>
                <w:rFonts w:eastAsia="Times New Roman"/>
                <w:color w:val="000000"/>
                <w:lang w:val="en-GB" w:eastAsia="en-GB"/>
              </w:rPr>
            </w:pPr>
            <w:r w:rsidRPr="00777636">
              <w:rPr>
                <w:rFonts w:eastAsia="Times New Roman"/>
                <w:color w:val="000000"/>
                <w:lang w:val="en-GB" w:eastAsia="en-GB"/>
              </w:rPr>
              <w:t>Stage 8</w:t>
            </w:r>
          </w:p>
        </w:tc>
        <w:tc>
          <w:tcPr>
            <w:tcW w:w="8355" w:type="dxa"/>
            <w:tcBorders>
              <w:top w:val="nil"/>
              <w:left w:val="nil"/>
              <w:bottom w:val="nil"/>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a) The apical end of the root canal is completely closed (distal root in molars).</w:t>
            </w:r>
          </w:p>
        </w:tc>
      </w:tr>
      <w:tr w:rsidR="0096511A" w:rsidRPr="00777636" w:rsidTr="00AA0A44">
        <w:trPr>
          <w:trHeight w:val="300"/>
          <w:jc w:val="center"/>
        </w:trPr>
        <w:tc>
          <w:tcPr>
            <w:tcW w:w="1116" w:type="dxa"/>
            <w:vMerge/>
            <w:tcBorders>
              <w:left w:val="single" w:sz="4" w:space="0" w:color="auto"/>
              <w:bottom w:val="single" w:sz="4" w:space="0" w:color="auto"/>
              <w:right w:val="single" w:sz="4" w:space="0" w:color="auto"/>
            </w:tcBorders>
            <w:shd w:val="clear" w:color="auto" w:fill="auto"/>
            <w:noWrap/>
            <w:vAlign w:val="bottom"/>
            <w:hideMark/>
          </w:tcPr>
          <w:p w:rsidR="0096511A" w:rsidRPr="00777636" w:rsidRDefault="0096511A" w:rsidP="00C10FED">
            <w:pPr>
              <w:spacing w:before="0" w:line="240" w:lineRule="auto"/>
              <w:rPr>
                <w:rFonts w:eastAsia="Times New Roman"/>
                <w:color w:val="000000"/>
                <w:lang w:val="en-GB" w:eastAsia="en-GB"/>
              </w:rPr>
            </w:pPr>
          </w:p>
        </w:tc>
        <w:tc>
          <w:tcPr>
            <w:tcW w:w="8355" w:type="dxa"/>
            <w:tcBorders>
              <w:top w:val="nil"/>
              <w:left w:val="nil"/>
              <w:bottom w:val="single" w:sz="4" w:space="0" w:color="auto"/>
              <w:right w:val="single" w:sz="4" w:space="0" w:color="auto"/>
            </w:tcBorders>
            <w:shd w:val="clear" w:color="auto" w:fill="auto"/>
            <w:noWrap/>
            <w:vAlign w:val="center"/>
            <w:hideMark/>
          </w:tcPr>
          <w:p w:rsidR="0096511A" w:rsidRPr="00777636" w:rsidRDefault="0096511A" w:rsidP="00C10FED">
            <w:pPr>
              <w:spacing w:before="0" w:line="240" w:lineRule="auto"/>
              <w:rPr>
                <w:rFonts w:eastAsia="Times New Roman"/>
                <w:color w:val="000000"/>
                <w:lang w:val="en-GB" w:eastAsia="en-GB"/>
              </w:rPr>
            </w:pPr>
            <w:r w:rsidRPr="00777636">
              <w:rPr>
                <w:rFonts w:eastAsia="Times New Roman"/>
                <w:color w:val="000000"/>
                <w:lang w:val="en-GB" w:eastAsia="en-GB"/>
              </w:rPr>
              <w:t>b) The periodontal membrane has a uniform width around the roots and apices</w:t>
            </w:r>
          </w:p>
        </w:tc>
      </w:tr>
    </w:tbl>
    <w:p w:rsidR="00663D04" w:rsidRDefault="00663D04">
      <w:pPr>
        <w:spacing w:before="0" w:after="200" w:line="276" w:lineRule="auto"/>
        <w:jc w:val="left"/>
        <w:rPr>
          <w:rFonts w:asciiTheme="majorBidi" w:eastAsia="Times New Roman" w:hAnsiTheme="majorBidi" w:cstheme="majorBidi"/>
          <w:b/>
          <w:bCs/>
          <w:i/>
          <w:noProof/>
          <w:snapToGrid w:val="0"/>
          <w:color w:val="000000" w:themeColor="text1"/>
          <w:lang w:val="nl-NL"/>
        </w:rPr>
      </w:pPr>
      <w:r>
        <w:br w:type="page"/>
      </w:r>
    </w:p>
    <w:p w:rsidR="00361913" w:rsidRPr="008B0EA4" w:rsidRDefault="00361913" w:rsidP="00D263E8">
      <w:pPr>
        <w:pStyle w:val="Heading3"/>
      </w:pPr>
      <w:bookmarkStart w:id="141" w:name="_Toc373477763"/>
      <w:bookmarkStart w:id="142" w:name="_Toc373480761"/>
      <w:r>
        <w:lastRenderedPageBreak/>
        <w:t>Epiphyseal Fusion Recording</w:t>
      </w:r>
      <w:bookmarkEnd w:id="141"/>
      <w:bookmarkEnd w:id="142"/>
    </w:p>
    <w:p w:rsidR="00A57AEA" w:rsidRDefault="00361913" w:rsidP="00A51FED">
      <w:pPr>
        <w:spacing w:before="200"/>
        <w:rPr>
          <w:noProof/>
        </w:rPr>
      </w:pPr>
      <w:r w:rsidRPr="008B0EA4">
        <w:rPr>
          <w:noProof/>
        </w:rPr>
        <w:t xml:space="preserve">Epiphyseal fusion </w:t>
      </w:r>
      <w:r>
        <w:rPr>
          <w:noProof/>
        </w:rPr>
        <w:t>centres observed in this study were chosen</w:t>
      </w:r>
      <w:r w:rsidRPr="008B0EA4">
        <w:rPr>
          <w:noProof/>
        </w:rPr>
        <w:t xml:space="preserve"> with the specific </w:t>
      </w:r>
      <w:r>
        <w:rPr>
          <w:noProof/>
        </w:rPr>
        <w:t>objective</w:t>
      </w:r>
      <w:r w:rsidRPr="008B0EA4">
        <w:rPr>
          <w:noProof/>
        </w:rPr>
        <w:t xml:space="preserve"> of including sites that have been </w:t>
      </w:r>
      <w:r>
        <w:rPr>
          <w:noProof/>
        </w:rPr>
        <w:t>r</w:t>
      </w:r>
      <w:r w:rsidRPr="008B0EA4">
        <w:rPr>
          <w:noProof/>
        </w:rPr>
        <w:t>ecorded</w:t>
      </w:r>
      <w:r>
        <w:rPr>
          <w:noProof/>
        </w:rPr>
        <w:t xml:space="preserve"> in prior study</w:t>
      </w:r>
      <w:r w:rsidRPr="008B0EA4">
        <w:rPr>
          <w:noProof/>
        </w:rPr>
        <w:t xml:space="preserve"> as well as adding further elements that have yet</w:t>
      </w:r>
      <w:r>
        <w:rPr>
          <w:noProof/>
        </w:rPr>
        <w:t xml:space="preserve"> to be observed</w:t>
      </w:r>
      <w:r w:rsidRPr="008B0EA4">
        <w:rPr>
          <w:noProof/>
        </w:rPr>
        <w:t xml:space="preserve"> in the literature.  </w:t>
      </w:r>
      <w:r>
        <w:rPr>
          <w:noProof/>
        </w:rPr>
        <w:t>Tables 3.</w:t>
      </w:r>
      <w:r w:rsidR="00DC70BA">
        <w:rPr>
          <w:noProof/>
        </w:rPr>
        <w:t>8</w:t>
      </w:r>
      <w:r>
        <w:rPr>
          <w:noProof/>
        </w:rPr>
        <w:t xml:space="preserve"> and 3.</w:t>
      </w:r>
      <w:r w:rsidR="00DC70BA">
        <w:rPr>
          <w:noProof/>
        </w:rPr>
        <w:t>9</w:t>
      </w:r>
      <w:r>
        <w:rPr>
          <w:noProof/>
        </w:rPr>
        <w:t xml:space="preserve"> outline the fusion centres observed in this study.</w:t>
      </w:r>
    </w:p>
    <w:p w:rsidR="00361913" w:rsidRDefault="00A47CD2" w:rsidP="00A47CD2">
      <w:pPr>
        <w:pStyle w:val="Caption"/>
      </w:pPr>
      <w:bookmarkStart w:id="143" w:name="_Toc373180120"/>
      <w:proofErr w:type="gramStart"/>
      <w:r w:rsidRPr="00A47CD2">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8</w:t>
      </w:r>
      <w:r w:rsidR="008943E4">
        <w:rPr>
          <w:b/>
        </w:rPr>
        <w:fldChar w:fldCharType="end"/>
      </w:r>
      <w:r w:rsidR="00A42C93">
        <w:t xml:space="preserve"> </w:t>
      </w:r>
      <w:r w:rsidR="00361913">
        <w:t>Upper body epiphyseal fusion sites recorded</w:t>
      </w:r>
      <w:r w:rsidR="00D77FA5">
        <w:t>.</w:t>
      </w:r>
      <w:bookmarkEnd w:id="143"/>
    </w:p>
    <w:tbl>
      <w:tblPr>
        <w:tblW w:w="7855" w:type="dxa"/>
        <w:jc w:val="center"/>
        <w:tblBorders>
          <w:top w:val="single" w:sz="4" w:space="0" w:color="auto"/>
          <w:bottom w:val="single" w:sz="4" w:space="0" w:color="auto"/>
        </w:tblBorders>
        <w:tblLook w:val="0600" w:firstRow="0" w:lastRow="0" w:firstColumn="0" w:lastColumn="0" w:noHBand="1" w:noVBand="1"/>
      </w:tblPr>
      <w:tblGrid>
        <w:gridCol w:w="1800"/>
        <w:gridCol w:w="6055"/>
      </w:tblGrid>
      <w:tr w:rsidR="00361913" w:rsidRPr="00AA6042" w:rsidTr="00073D20">
        <w:trPr>
          <w:cantSplit/>
          <w:trHeight w:hRule="exact" w:val="295"/>
          <w:jc w:val="center"/>
        </w:trPr>
        <w:tc>
          <w:tcPr>
            <w:tcW w:w="1800" w:type="dxa"/>
            <w:tcBorders>
              <w:top w:val="single" w:sz="4" w:space="0" w:color="auto"/>
              <w:bottom w:val="single" w:sz="4" w:space="0" w:color="auto"/>
            </w:tcBorders>
            <w:shd w:val="clear" w:color="000000" w:fill="FFFFFF"/>
            <w:vAlign w:val="center"/>
            <w:hideMark/>
          </w:tcPr>
          <w:p w:rsidR="00361913" w:rsidRPr="00AA6042" w:rsidRDefault="00073D20" w:rsidP="00C10FED">
            <w:pPr>
              <w:spacing w:before="0" w:line="240" w:lineRule="auto"/>
              <w:jc w:val="center"/>
              <w:rPr>
                <w:rFonts w:eastAsia="Times New Roman"/>
                <w:b/>
                <w:bCs/>
                <w:color w:val="000000"/>
                <w:lang w:val="en-GB" w:eastAsia="en-GB"/>
              </w:rPr>
            </w:pPr>
            <w:r>
              <w:rPr>
                <w:rFonts w:eastAsia="Times New Roman"/>
                <w:b/>
                <w:bCs/>
                <w:noProof/>
                <w:color w:val="000000"/>
                <w:lang w:val="en-GB" w:eastAsia="en-GB"/>
              </w:rPr>
              <w:t>b</w:t>
            </w:r>
            <w:r w:rsidR="00361913" w:rsidRPr="00AA6042">
              <w:rPr>
                <w:rFonts w:eastAsia="Times New Roman"/>
                <w:b/>
                <w:bCs/>
                <w:noProof/>
                <w:color w:val="000000"/>
                <w:lang w:val="en-GB" w:eastAsia="en-GB"/>
              </w:rPr>
              <w:t>one</w:t>
            </w:r>
          </w:p>
        </w:tc>
        <w:tc>
          <w:tcPr>
            <w:tcW w:w="6055" w:type="dxa"/>
            <w:tcBorders>
              <w:top w:val="single" w:sz="4" w:space="0" w:color="auto"/>
              <w:bottom w:val="single" w:sz="4" w:space="0" w:color="auto"/>
            </w:tcBorders>
            <w:shd w:val="clear" w:color="000000" w:fill="FFFFFF"/>
            <w:vAlign w:val="center"/>
            <w:hideMark/>
          </w:tcPr>
          <w:p w:rsidR="00361913" w:rsidRPr="00AA6042" w:rsidRDefault="00073D20" w:rsidP="00C10FED">
            <w:pPr>
              <w:spacing w:before="0" w:line="240" w:lineRule="auto"/>
              <w:jc w:val="center"/>
              <w:rPr>
                <w:rFonts w:eastAsia="Times New Roman"/>
                <w:b/>
                <w:bCs/>
                <w:color w:val="000000"/>
                <w:lang w:val="en-GB" w:eastAsia="en-GB"/>
              </w:rPr>
            </w:pPr>
            <w:r>
              <w:rPr>
                <w:rFonts w:eastAsia="Times New Roman"/>
                <w:b/>
                <w:bCs/>
                <w:noProof/>
                <w:color w:val="000000"/>
                <w:lang w:val="en-GB" w:eastAsia="en-GB"/>
              </w:rPr>
              <w:t>e</w:t>
            </w:r>
            <w:r w:rsidR="00361913" w:rsidRPr="00AA6042">
              <w:rPr>
                <w:rFonts w:eastAsia="Times New Roman"/>
                <w:b/>
                <w:bCs/>
                <w:noProof/>
                <w:color w:val="000000"/>
                <w:lang w:val="en-GB" w:eastAsia="en-GB"/>
              </w:rPr>
              <w:t>piphysis</w:t>
            </w:r>
          </w:p>
        </w:tc>
      </w:tr>
      <w:tr w:rsidR="006F72BA" w:rsidRPr="00AA6042" w:rsidTr="00073D20">
        <w:trPr>
          <w:cantSplit/>
          <w:trHeight w:hRule="exact" w:val="295"/>
          <w:jc w:val="center"/>
        </w:trPr>
        <w:tc>
          <w:tcPr>
            <w:tcW w:w="1800" w:type="dxa"/>
            <w:vMerge w:val="restart"/>
            <w:tcBorders>
              <w:top w:val="single" w:sz="4" w:space="0" w:color="auto"/>
            </w:tcBorders>
            <w:shd w:val="clear" w:color="000000" w:fill="FFFFFF"/>
            <w:vAlign w:val="center"/>
            <w:hideMark/>
          </w:tcPr>
          <w:p w:rsidR="00A35CA0" w:rsidRDefault="006F72BA" w:rsidP="00CA5FBB">
            <w:pPr>
              <w:spacing w:before="0" w:line="240" w:lineRule="auto"/>
              <w:jc w:val="center"/>
              <w:rPr>
                <w:rFonts w:eastAsia="Times New Roman"/>
                <w:color w:val="000000"/>
                <w:lang w:val="en-GB" w:eastAsia="en-GB"/>
              </w:rPr>
            </w:pPr>
            <w:r>
              <w:rPr>
                <w:rFonts w:eastAsia="Times New Roman"/>
                <w:color w:val="000000"/>
                <w:lang w:val="en-GB" w:eastAsia="en-GB"/>
              </w:rPr>
              <w:t>h</w:t>
            </w:r>
            <w:r w:rsidRPr="00AA6042">
              <w:rPr>
                <w:rFonts w:eastAsia="Times New Roman"/>
                <w:color w:val="000000"/>
                <w:lang w:val="en-GB" w:eastAsia="en-GB"/>
              </w:rPr>
              <w:t>umerus</w:t>
            </w:r>
          </w:p>
        </w:tc>
        <w:tc>
          <w:tcPr>
            <w:tcW w:w="6055" w:type="dxa"/>
            <w:tcBorders>
              <w:top w:val="single" w:sz="4" w:space="0" w:color="auto"/>
            </w:tcBorders>
            <w:shd w:val="clear" w:color="000000" w:fill="FFFFFF"/>
            <w:vAlign w:val="center"/>
            <w:hideMark/>
          </w:tcPr>
          <w:p w:rsidR="006F72BA" w:rsidRPr="00AA6042" w:rsidRDefault="006F72BA" w:rsidP="00F11CC0">
            <w:pPr>
              <w:spacing w:before="0" w:line="240" w:lineRule="auto"/>
              <w:jc w:val="center"/>
              <w:rPr>
                <w:rFonts w:eastAsia="Times New Roman"/>
                <w:color w:val="000000"/>
                <w:lang w:val="en-GB" w:eastAsia="en-GB"/>
              </w:rPr>
            </w:pPr>
            <w:r>
              <w:rPr>
                <w:rFonts w:eastAsia="Times New Roman"/>
                <w:color w:val="000000"/>
                <w:lang w:val="en-GB" w:eastAsia="en-GB"/>
              </w:rPr>
              <w:t>p</w:t>
            </w:r>
            <w:r w:rsidRPr="00AA6042">
              <w:rPr>
                <w:rFonts w:eastAsia="Times New Roman"/>
                <w:color w:val="000000"/>
                <w:lang w:val="en-GB" w:eastAsia="en-GB"/>
              </w:rPr>
              <w:t>roximal epiphysis fusion</w:t>
            </w:r>
          </w:p>
        </w:tc>
      </w:tr>
      <w:tr w:rsidR="006F72BA" w:rsidRPr="00AA6042" w:rsidTr="00073D20">
        <w:trPr>
          <w:cantSplit/>
          <w:trHeight w:hRule="exact" w:val="295"/>
          <w:jc w:val="center"/>
        </w:trPr>
        <w:tc>
          <w:tcPr>
            <w:tcW w:w="1800" w:type="dxa"/>
            <w:vMerge/>
            <w:shd w:val="clear" w:color="000000" w:fill="FFFFFF"/>
            <w:vAlign w:val="center"/>
            <w:hideMark/>
          </w:tcPr>
          <w:p w:rsidR="00A35CA0" w:rsidRDefault="00A35CA0" w:rsidP="00CA5FBB">
            <w:pPr>
              <w:spacing w:line="240" w:lineRule="auto"/>
              <w:jc w:val="center"/>
              <w:rPr>
                <w:rFonts w:eastAsia="Times New Roman"/>
                <w:color w:val="000000"/>
                <w:lang w:val="en-GB" w:eastAsia="en-GB"/>
              </w:rPr>
            </w:pPr>
          </w:p>
        </w:tc>
        <w:tc>
          <w:tcPr>
            <w:tcW w:w="6055" w:type="dxa"/>
            <w:shd w:val="clear" w:color="000000" w:fill="FFFFFF"/>
            <w:vAlign w:val="center"/>
            <w:hideMark/>
          </w:tcPr>
          <w:p w:rsidR="006F72BA" w:rsidRPr="00AA6042" w:rsidRDefault="006F72BA" w:rsidP="00F11CC0">
            <w:pPr>
              <w:spacing w:before="0" w:line="240" w:lineRule="auto"/>
              <w:jc w:val="center"/>
              <w:rPr>
                <w:rFonts w:eastAsia="Times New Roman"/>
                <w:color w:val="000000"/>
                <w:lang w:val="en-GB" w:eastAsia="en-GB"/>
              </w:rPr>
            </w:pPr>
            <w:r>
              <w:rPr>
                <w:rFonts w:eastAsia="Times New Roman"/>
                <w:color w:val="000000"/>
                <w:lang w:val="en-GB" w:eastAsia="en-GB"/>
              </w:rPr>
              <w:t>d</w:t>
            </w:r>
            <w:r w:rsidRPr="00AA6042">
              <w:rPr>
                <w:rFonts w:eastAsia="Times New Roman"/>
                <w:color w:val="000000"/>
                <w:lang w:val="en-GB" w:eastAsia="en-GB"/>
              </w:rPr>
              <w:t>istal capiptulum/trochlea/lateral epicondyle fusion</w:t>
            </w:r>
          </w:p>
        </w:tc>
      </w:tr>
      <w:tr w:rsidR="006F72BA" w:rsidRPr="00AA6042" w:rsidTr="00073D20">
        <w:trPr>
          <w:cantSplit/>
          <w:trHeight w:hRule="exact" w:val="295"/>
          <w:jc w:val="center"/>
        </w:trPr>
        <w:tc>
          <w:tcPr>
            <w:tcW w:w="1800" w:type="dxa"/>
            <w:vMerge/>
            <w:tcBorders>
              <w:bottom w:val="single" w:sz="4" w:space="0" w:color="auto"/>
            </w:tcBorders>
            <w:shd w:val="clear" w:color="000000" w:fill="FFFFFF"/>
            <w:vAlign w:val="center"/>
            <w:hideMark/>
          </w:tcPr>
          <w:p w:rsidR="00A35CA0" w:rsidRDefault="00A35CA0" w:rsidP="00CA5FBB">
            <w:pPr>
              <w:spacing w:before="0" w:line="240" w:lineRule="auto"/>
              <w:jc w:val="center"/>
              <w:rPr>
                <w:rFonts w:eastAsia="Times New Roman"/>
                <w:color w:val="000000"/>
                <w:lang w:val="en-GB" w:eastAsia="en-GB"/>
              </w:rPr>
            </w:pPr>
          </w:p>
        </w:tc>
        <w:tc>
          <w:tcPr>
            <w:tcW w:w="6055" w:type="dxa"/>
            <w:tcBorders>
              <w:bottom w:val="single" w:sz="4" w:space="0" w:color="auto"/>
            </w:tcBorders>
            <w:shd w:val="clear" w:color="000000" w:fill="FFFFFF"/>
            <w:vAlign w:val="center"/>
            <w:hideMark/>
          </w:tcPr>
          <w:p w:rsidR="006F72BA" w:rsidRPr="00AA6042" w:rsidRDefault="006F72BA" w:rsidP="00F11CC0">
            <w:pPr>
              <w:spacing w:before="0" w:line="240" w:lineRule="auto"/>
              <w:jc w:val="center"/>
              <w:rPr>
                <w:rFonts w:eastAsia="Times New Roman"/>
                <w:color w:val="000000"/>
                <w:lang w:val="en-GB" w:eastAsia="en-GB"/>
              </w:rPr>
            </w:pPr>
            <w:r>
              <w:rPr>
                <w:rFonts w:eastAsia="Times New Roman"/>
                <w:color w:val="000000"/>
                <w:lang w:val="en-GB" w:eastAsia="en-GB"/>
              </w:rPr>
              <w:t>d</w:t>
            </w:r>
            <w:r w:rsidRPr="00AA6042">
              <w:rPr>
                <w:rFonts w:eastAsia="Times New Roman"/>
                <w:color w:val="000000"/>
                <w:lang w:val="en-GB" w:eastAsia="en-GB"/>
              </w:rPr>
              <w:t>istal medial epipcondyle fusion</w:t>
            </w:r>
          </w:p>
        </w:tc>
      </w:tr>
      <w:tr w:rsidR="00A57AEA" w:rsidRPr="00AA6042" w:rsidTr="00073D20">
        <w:trPr>
          <w:cantSplit/>
          <w:trHeight w:hRule="exact" w:val="295"/>
          <w:jc w:val="center"/>
        </w:trPr>
        <w:tc>
          <w:tcPr>
            <w:tcW w:w="1800" w:type="dxa"/>
            <w:vMerge w:val="restart"/>
            <w:tcBorders>
              <w:top w:val="single" w:sz="4" w:space="0" w:color="auto"/>
            </w:tcBorders>
            <w:shd w:val="clear" w:color="000000" w:fill="FFFFFF"/>
            <w:vAlign w:val="center"/>
            <w:hideMark/>
          </w:tcPr>
          <w:p w:rsidR="00A35CA0" w:rsidRDefault="00A57AEA" w:rsidP="00CA5FBB">
            <w:pPr>
              <w:spacing w:before="0" w:line="240" w:lineRule="auto"/>
              <w:jc w:val="center"/>
              <w:rPr>
                <w:rFonts w:eastAsia="Times New Roman"/>
                <w:color w:val="000000"/>
                <w:lang w:val="en-GB" w:eastAsia="en-GB"/>
              </w:rPr>
            </w:pPr>
            <w:r>
              <w:rPr>
                <w:rFonts w:eastAsia="Times New Roman"/>
                <w:color w:val="000000"/>
                <w:lang w:val="en-GB" w:eastAsia="en-GB"/>
              </w:rPr>
              <w:t>r</w:t>
            </w:r>
            <w:r w:rsidRPr="00AA6042">
              <w:rPr>
                <w:rFonts w:eastAsia="Times New Roman"/>
                <w:color w:val="000000"/>
                <w:lang w:val="en-GB" w:eastAsia="en-GB"/>
              </w:rPr>
              <w:t>adius</w:t>
            </w:r>
          </w:p>
        </w:tc>
        <w:tc>
          <w:tcPr>
            <w:tcW w:w="6055" w:type="dxa"/>
            <w:tcBorders>
              <w:top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p</w:t>
            </w:r>
            <w:r w:rsidRPr="00AA6042">
              <w:rPr>
                <w:rFonts w:eastAsia="Times New Roman"/>
                <w:color w:val="000000"/>
                <w:lang w:val="en-GB" w:eastAsia="en-GB"/>
              </w:rPr>
              <w:t>roximal epiphysis fusion</w:t>
            </w:r>
          </w:p>
        </w:tc>
      </w:tr>
      <w:tr w:rsidR="00A57AEA" w:rsidRPr="00AA6042" w:rsidTr="00073D20">
        <w:trPr>
          <w:cantSplit/>
          <w:trHeight w:hRule="exact" w:val="295"/>
          <w:jc w:val="center"/>
        </w:trPr>
        <w:tc>
          <w:tcPr>
            <w:tcW w:w="1800" w:type="dxa"/>
            <w:vMerge/>
            <w:tcBorders>
              <w:bottom w:val="single" w:sz="4" w:space="0" w:color="auto"/>
            </w:tcBorders>
            <w:shd w:val="clear" w:color="000000" w:fill="FFFFFF"/>
            <w:vAlign w:val="center"/>
            <w:hideMark/>
          </w:tcPr>
          <w:p w:rsidR="00A35CA0" w:rsidRDefault="00A35CA0" w:rsidP="00CA5FBB">
            <w:pPr>
              <w:spacing w:before="0" w:line="240" w:lineRule="auto"/>
              <w:jc w:val="center"/>
              <w:rPr>
                <w:rFonts w:eastAsia="Times New Roman"/>
                <w:color w:val="000000"/>
                <w:lang w:val="en-GB" w:eastAsia="en-GB"/>
              </w:rPr>
            </w:pPr>
          </w:p>
        </w:tc>
        <w:tc>
          <w:tcPr>
            <w:tcW w:w="6055" w:type="dxa"/>
            <w:tcBorders>
              <w:bottom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d</w:t>
            </w:r>
            <w:r w:rsidRPr="00AA6042">
              <w:rPr>
                <w:rFonts w:eastAsia="Times New Roman"/>
                <w:color w:val="000000"/>
                <w:lang w:val="en-GB" w:eastAsia="en-GB"/>
              </w:rPr>
              <w:t>istal epiphyses fusion</w:t>
            </w:r>
          </w:p>
        </w:tc>
      </w:tr>
      <w:tr w:rsidR="00A57AEA" w:rsidRPr="00AA6042" w:rsidTr="00073D20">
        <w:trPr>
          <w:cantSplit/>
          <w:trHeight w:hRule="exact" w:val="295"/>
          <w:jc w:val="center"/>
        </w:trPr>
        <w:tc>
          <w:tcPr>
            <w:tcW w:w="1800" w:type="dxa"/>
            <w:vMerge w:val="restart"/>
            <w:tcBorders>
              <w:top w:val="single" w:sz="4" w:space="0" w:color="auto"/>
            </w:tcBorders>
            <w:shd w:val="clear" w:color="000000" w:fill="FFFFFF"/>
            <w:vAlign w:val="center"/>
            <w:hideMark/>
          </w:tcPr>
          <w:p w:rsidR="00A35CA0" w:rsidRDefault="00A57AEA" w:rsidP="00CA5FBB">
            <w:pPr>
              <w:spacing w:before="0" w:line="240" w:lineRule="auto"/>
              <w:jc w:val="center"/>
              <w:rPr>
                <w:rFonts w:eastAsia="Times New Roman"/>
                <w:color w:val="000000"/>
                <w:lang w:val="en-GB" w:eastAsia="en-GB"/>
              </w:rPr>
            </w:pPr>
            <w:r>
              <w:rPr>
                <w:rFonts w:eastAsia="Times New Roman"/>
                <w:color w:val="000000"/>
                <w:lang w:val="en-GB" w:eastAsia="en-GB"/>
              </w:rPr>
              <w:t>u</w:t>
            </w:r>
            <w:r w:rsidRPr="00AA6042">
              <w:rPr>
                <w:rFonts w:eastAsia="Times New Roman"/>
                <w:color w:val="000000"/>
                <w:lang w:val="en-GB" w:eastAsia="en-GB"/>
              </w:rPr>
              <w:t>lna</w:t>
            </w:r>
          </w:p>
        </w:tc>
        <w:tc>
          <w:tcPr>
            <w:tcW w:w="6055" w:type="dxa"/>
            <w:tcBorders>
              <w:top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p</w:t>
            </w:r>
            <w:r w:rsidRPr="00AA6042">
              <w:rPr>
                <w:rFonts w:eastAsia="Times New Roman"/>
                <w:color w:val="000000"/>
                <w:lang w:val="en-GB" w:eastAsia="en-GB"/>
              </w:rPr>
              <w:t>roximal epiphysis fusion</w:t>
            </w:r>
          </w:p>
        </w:tc>
      </w:tr>
      <w:tr w:rsidR="00A57AEA" w:rsidRPr="00AA6042" w:rsidTr="00073D20">
        <w:trPr>
          <w:cantSplit/>
          <w:trHeight w:hRule="exact" w:val="295"/>
          <w:jc w:val="center"/>
        </w:trPr>
        <w:tc>
          <w:tcPr>
            <w:tcW w:w="1800" w:type="dxa"/>
            <w:vMerge/>
            <w:tcBorders>
              <w:bottom w:val="single" w:sz="4" w:space="0" w:color="auto"/>
            </w:tcBorders>
            <w:shd w:val="clear" w:color="000000" w:fill="FFFFFF"/>
            <w:vAlign w:val="center"/>
            <w:hideMark/>
          </w:tcPr>
          <w:p w:rsidR="00A35CA0" w:rsidRDefault="00A35CA0" w:rsidP="00CA5FBB">
            <w:pPr>
              <w:spacing w:before="0" w:line="240" w:lineRule="auto"/>
              <w:jc w:val="center"/>
              <w:rPr>
                <w:rFonts w:eastAsia="Times New Roman"/>
                <w:color w:val="000000"/>
                <w:lang w:val="en-GB" w:eastAsia="en-GB"/>
              </w:rPr>
            </w:pPr>
          </w:p>
        </w:tc>
        <w:tc>
          <w:tcPr>
            <w:tcW w:w="6055" w:type="dxa"/>
            <w:tcBorders>
              <w:bottom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d</w:t>
            </w:r>
            <w:r w:rsidRPr="00AA6042">
              <w:rPr>
                <w:rFonts w:eastAsia="Times New Roman"/>
                <w:color w:val="000000"/>
                <w:lang w:val="en-GB" w:eastAsia="en-GB"/>
              </w:rPr>
              <w:t>istal epiphyses fusion</w:t>
            </w:r>
          </w:p>
        </w:tc>
      </w:tr>
      <w:tr w:rsidR="00A57AEA" w:rsidRPr="00AA6042" w:rsidTr="00073D20">
        <w:trPr>
          <w:cantSplit/>
          <w:trHeight w:hRule="exact" w:val="295"/>
          <w:jc w:val="center"/>
        </w:trPr>
        <w:tc>
          <w:tcPr>
            <w:tcW w:w="1800" w:type="dxa"/>
            <w:vMerge w:val="restart"/>
            <w:tcBorders>
              <w:top w:val="single" w:sz="4" w:space="0" w:color="auto"/>
            </w:tcBorders>
            <w:shd w:val="clear" w:color="000000" w:fill="FFFFFF"/>
            <w:vAlign w:val="center"/>
            <w:hideMark/>
          </w:tcPr>
          <w:p w:rsidR="00A35CA0" w:rsidRDefault="00A57AEA" w:rsidP="00CA5FBB">
            <w:pPr>
              <w:spacing w:before="0" w:line="240" w:lineRule="auto"/>
              <w:jc w:val="center"/>
              <w:rPr>
                <w:rFonts w:eastAsia="Times New Roman"/>
                <w:color w:val="000000"/>
                <w:lang w:val="en-GB" w:eastAsia="en-GB"/>
              </w:rPr>
            </w:pPr>
            <w:r>
              <w:rPr>
                <w:rFonts w:eastAsia="Times New Roman"/>
                <w:color w:val="000000"/>
                <w:lang w:val="en-GB" w:eastAsia="en-GB"/>
              </w:rPr>
              <w:t>h</w:t>
            </w:r>
            <w:r w:rsidRPr="00AA6042">
              <w:rPr>
                <w:rFonts w:eastAsia="Times New Roman"/>
                <w:color w:val="000000"/>
                <w:lang w:val="en-GB" w:eastAsia="en-GB"/>
              </w:rPr>
              <w:t>and</w:t>
            </w:r>
          </w:p>
        </w:tc>
        <w:tc>
          <w:tcPr>
            <w:tcW w:w="6055" w:type="dxa"/>
            <w:tcBorders>
              <w:top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d</w:t>
            </w:r>
            <w:r w:rsidRPr="00AA6042">
              <w:rPr>
                <w:rFonts w:eastAsia="Times New Roman"/>
                <w:color w:val="000000"/>
                <w:lang w:val="en-GB" w:eastAsia="en-GB"/>
              </w:rPr>
              <w:t>istal phalangeal epiphyses fusion</w:t>
            </w:r>
          </w:p>
        </w:tc>
      </w:tr>
      <w:tr w:rsidR="00A57AEA" w:rsidRPr="00AA6042" w:rsidTr="00073D20">
        <w:trPr>
          <w:cantSplit/>
          <w:trHeight w:hRule="exact" w:val="295"/>
          <w:jc w:val="center"/>
        </w:trPr>
        <w:tc>
          <w:tcPr>
            <w:tcW w:w="1800" w:type="dxa"/>
            <w:vMerge/>
            <w:shd w:val="clear" w:color="000000" w:fill="FFFFFF"/>
            <w:vAlign w:val="center"/>
            <w:hideMark/>
          </w:tcPr>
          <w:p w:rsidR="00A35CA0" w:rsidRDefault="00A35CA0" w:rsidP="00CA5FBB">
            <w:pPr>
              <w:spacing w:line="240" w:lineRule="auto"/>
              <w:jc w:val="center"/>
              <w:rPr>
                <w:rFonts w:eastAsia="Times New Roman"/>
                <w:color w:val="000000"/>
                <w:lang w:val="en-GB" w:eastAsia="en-GB"/>
              </w:rPr>
            </w:pPr>
          </w:p>
        </w:tc>
        <w:tc>
          <w:tcPr>
            <w:tcW w:w="6055" w:type="dxa"/>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sidRPr="00AA6042">
              <w:rPr>
                <w:rFonts w:eastAsia="Times New Roman"/>
                <w:color w:val="000000"/>
                <w:lang w:val="en-GB" w:eastAsia="en-GB"/>
              </w:rPr>
              <w:t>base of metacarpal 1 fusion</w:t>
            </w:r>
          </w:p>
        </w:tc>
      </w:tr>
      <w:tr w:rsidR="00A57AEA" w:rsidRPr="00AA6042" w:rsidTr="00073D20">
        <w:trPr>
          <w:cantSplit/>
          <w:trHeight w:hRule="exact" w:val="295"/>
          <w:jc w:val="center"/>
        </w:trPr>
        <w:tc>
          <w:tcPr>
            <w:tcW w:w="1800" w:type="dxa"/>
            <w:vMerge/>
            <w:shd w:val="clear" w:color="000000" w:fill="FFFFFF"/>
            <w:vAlign w:val="center"/>
            <w:hideMark/>
          </w:tcPr>
          <w:p w:rsidR="00A35CA0" w:rsidRDefault="00A35CA0" w:rsidP="00CA5FBB">
            <w:pPr>
              <w:spacing w:line="240" w:lineRule="auto"/>
              <w:jc w:val="center"/>
              <w:rPr>
                <w:rFonts w:eastAsia="Times New Roman"/>
                <w:color w:val="000000"/>
                <w:lang w:val="en-GB" w:eastAsia="en-GB"/>
              </w:rPr>
            </w:pPr>
          </w:p>
        </w:tc>
        <w:tc>
          <w:tcPr>
            <w:tcW w:w="6055" w:type="dxa"/>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p</w:t>
            </w:r>
            <w:r w:rsidRPr="00AA6042">
              <w:rPr>
                <w:rFonts w:eastAsia="Times New Roman"/>
                <w:color w:val="000000"/>
                <w:lang w:val="en-GB" w:eastAsia="en-GB"/>
              </w:rPr>
              <w:t>roximal and middle phalangeal epiphysis fusion</w:t>
            </w:r>
          </w:p>
        </w:tc>
      </w:tr>
      <w:tr w:rsidR="00A57AEA" w:rsidRPr="00AA6042" w:rsidTr="00073D20">
        <w:trPr>
          <w:cantSplit/>
          <w:trHeight w:hRule="exact" w:val="295"/>
          <w:jc w:val="center"/>
        </w:trPr>
        <w:tc>
          <w:tcPr>
            <w:tcW w:w="1800" w:type="dxa"/>
            <w:vMerge/>
            <w:tcBorders>
              <w:bottom w:val="single" w:sz="4" w:space="0" w:color="auto"/>
            </w:tcBorders>
            <w:shd w:val="clear" w:color="000000" w:fill="FFFFFF"/>
            <w:vAlign w:val="center"/>
            <w:hideMark/>
          </w:tcPr>
          <w:p w:rsidR="00A35CA0" w:rsidRDefault="00A35CA0" w:rsidP="00CA5FBB">
            <w:pPr>
              <w:spacing w:before="0" w:line="240" w:lineRule="auto"/>
              <w:jc w:val="center"/>
              <w:rPr>
                <w:rFonts w:eastAsia="Times New Roman"/>
                <w:color w:val="000000"/>
                <w:lang w:val="en-GB" w:eastAsia="en-GB"/>
              </w:rPr>
            </w:pPr>
          </w:p>
        </w:tc>
        <w:tc>
          <w:tcPr>
            <w:tcW w:w="6055" w:type="dxa"/>
            <w:tcBorders>
              <w:bottom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sidRPr="00AA6042">
              <w:rPr>
                <w:rFonts w:eastAsia="Times New Roman"/>
                <w:color w:val="000000"/>
                <w:lang w:val="en-GB" w:eastAsia="en-GB"/>
              </w:rPr>
              <w:t>heads of metacarpals 2-5 fusion</w:t>
            </w:r>
          </w:p>
        </w:tc>
      </w:tr>
      <w:tr w:rsidR="00A57AEA" w:rsidRPr="00AA6042" w:rsidTr="00073D20">
        <w:trPr>
          <w:cantSplit/>
          <w:trHeight w:hRule="exact" w:val="295"/>
          <w:jc w:val="center"/>
        </w:trPr>
        <w:tc>
          <w:tcPr>
            <w:tcW w:w="1800" w:type="dxa"/>
            <w:vMerge w:val="restart"/>
            <w:tcBorders>
              <w:top w:val="single" w:sz="4" w:space="0" w:color="auto"/>
            </w:tcBorders>
            <w:shd w:val="clear" w:color="000000" w:fill="FFFFFF"/>
            <w:vAlign w:val="center"/>
            <w:hideMark/>
          </w:tcPr>
          <w:p w:rsidR="00A35CA0" w:rsidRDefault="00A57AEA" w:rsidP="00CA5FBB">
            <w:pPr>
              <w:spacing w:before="0" w:line="240" w:lineRule="auto"/>
              <w:jc w:val="center"/>
              <w:rPr>
                <w:rFonts w:eastAsia="Times New Roman"/>
                <w:color w:val="000000"/>
                <w:lang w:val="en-GB" w:eastAsia="en-GB"/>
              </w:rPr>
            </w:pPr>
            <w:r>
              <w:rPr>
                <w:rFonts w:eastAsia="Times New Roman"/>
                <w:color w:val="000000"/>
                <w:lang w:val="en-GB" w:eastAsia="en-GB"/>
              </w:rPr>
              <w:t>c</w:t>
            </w:r>
            <w:r w:rsidRPr="00AA6042">
              <w:rPr>
                <w:rFonts w:eastAsia="Times New Roman"/>
                <w:color w:val="000000"/>
                <w:lang w:val="en-GB" w:eastAsia="en-GB"/>
              </w:rPr>
              <w:t>lavicle</w:t>
            </w:r>
          </w:p>
        </w:tc>
        <w:tc>
          <w:tcPr>
            <w:tcW w:w="6055" w:type="dxa"/>
            <w:tcBorders>
              <w:top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m</w:t>
            </w:r>
            <w:r w:rsidRPr="00AA6042">
              <w:rPr>
                <w:rFonts w:eastAsia="Times New Roman"/>
                <w:color w:val="000000"/>
                <w:lang w:val="en-GB" w:eastAsia="en-GB"/>
              </w:rPr>
              <w:t>edial epiphysis fusion</w:t>
            </w:r>
          </w:p>
        </w:tc>
      </w:tr>
      <w:tr w:rsidR="00A57AEA" w:rsidRPr="00AA6042" w:rsidTr="00073D20">
        <w:trPr>
          <w:cantSplit/>
          <w:trHeight w:hRule="exact" w:val="295"/>
          <w:jc w:val="center"/>
        </w:trPr>
        <w:tc>
          <w:tcPr>
            <w:tcW w:w="1800" w:type="dxa"/>
            <w:vMerge/>
            <w:tcBorders>
              <w:bottom w:val="single" w:sz="4" w:space="0" w:color="auto"/>
            </w:tcBorders>
            <w:shd w:val="clear" w:color="000000" w:fill="FFFFFF"/>
            <w:vAlign w:val="center"/>
            <w:hideMark/>
          </w:tcPr>
          <w:p w:rsidR="00A35CA0" w:rsidRDefault="00A35CA0" w:rsidP="00CA5FBB">
            <w:pPr>
              <w:spacing w:before="0" w:line="240" w:lineRule="auto"/>
              <w:jc w:val="center"/>
              <w:rPr>
                <w:rFonts w:eastAsia="Times New Roman"/>
                <w:color w:val="000000"/>
                <w:lang w:val="en-GB" w:eastAsia="en-GB"/>
              </w:rPr>
            </w:pPr>
          </w:p>
        </w:tc>
        <w:tc>
          <w:tcPr>
            <w:tcW w:w="6055" w:type="dxa"/>
            <w:tcBorders>
              <w:bottom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l</w:t>
            </w:r>
            <w:r w:rsidRPr="00AA6042">
              <w:rPr>
                <w:rFonts w:eastAsia="Times New Roman"/>
                <w:color w:val="000000"/>
                <w:lang w:val="en-GB" w:eastAsia="en-GB"/>
              </w:rPr>
              <w:t>ateral epiphysis fusion</w:t>
            </w:r>
          </w:p>
        </w:tc>
      </w:tr>
      <w:tr w:rsidR="00A57AEA" w:rsidRPr="00AA6042" w:rsidTr="00073D20">
        <w:trPr>
          <w:cantSplit/>
          <w:trHeight w:hRule="exact" w:val="295"/>
          <w:jc w:val="center"/>
        </w:trPr>
        <w:tc>
          <w:tcPr>
            <w:tcW w:w="1800" w:type="dxa"/>
            <w:vMerge w:val="restart"/>
            <w:tcBorders>
              <w:top w:val="single" w:sz="4" w:space="0" w:color="auto"/>
            </w:tcBorders>
            <w:shd w:val="clear" w:color="000000" w:fill="FFFFFF"/>
            <w:vAlign w:val="center"/>
            <w:hideMark/>
          </w:tcPr>
          <w:p w:rsidR="00A35CA0" w:rsidRDefault="00A57AEA" w:rsidP="00CA5FBB">
            <w:pPr>
              <w:spacing w:before="0" w:line="240" w:lineRule="auto"/>
              <w:jc w:val="center"/>
              <w:rPr>
                <w:rFonts w:eastAsia="Times New Roman"/>
                <w:color w:val="000000"/>
                <w:lang w:val="en-GB" w:eastAsia="en-GB"/>
              </w:rPr>
            </w:pPr>
            <w:r>
              <w:rPr>
                <w:rFonts w:eastAsia="Times New Roman"/>
                <w:color w:val="000000"/>
                <w:lang w:val="en-GB" w:eastAsia="en-GB"/>
              </w:rPr>
              <w:t>s</w:t>
            </w:r>
            <w:r w:rsidRPr="00AA6042">
              <w:rPr>
                <w:rFonts w:eastAsia="Times New Roman"/>
                <w:color w:val="000000"/>
                <w:lang w:val="en-GB" w:eastAsia="en-GB"/>
              </w:rPr>
              <w:t>capula</w:t>
            </w:r>
          </w:p>
        </w:tc>
        <w:tc>
          <w:tcPr>
            <w:tcW w:w="6055" w:type="dxa"/>
            <w:tcBorders>
              <w:top w:val="single" w:sz="4" w:space="0" w:color="auto"/>
            </w:tcBorders>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c</w:t>
            </w:r>
            <w:r w:rsidRPr="00AA6042">
              <w:rPr>
                <w:rFonts w:eastAsia="Times New Roman"/>
                <w:color w:val="000000"/>
                <w:lang w:val="en-GB" w:eastAsia="en-GB"/>
              </w:rPr>
              <w:t>oracoid process fusion</w:t>
            </w:r>
          </w:p>
        </w:tc>
      </w:tr>
      <w:tr w:rsidR="00A57AEA" w:rsidRPr="00AA6042" w:rsidTr="00073D20">
        <w:trPr>
          <w:cantSplit/>
          <w:trHeight w:hRule="exact" w:val="295"/>
          <w:jc w:val="center"/>
        </w:trPr>
        <w:tc>
          <w:tcPr>
            <w:tcW w:w="1800" w:type="dxa"/>
            <w:vMerge/>
            <w:shd w:val="clear" w:color="000000" w:fill="FFFFFF"/>
            <w:vAlign w:val="center"/>
            <w:hideMark/>
          </w:tcPr>
          <w:p w:rsidR="00A57AEA" w:rsidRPr="00AA6042" w:rsidRDefault="00A57AEA" w:rsidP="00C10FED">
            <w:pPr>
              <w:spacing w:line="240" w:lineRule="auto"/>
              <w:rPr>
                <w:rFonts w:eastAsia="Times New Roman"/>
                <w:color w:val="000000"/>
                <w:lang w:val="en-GB" w:eastAsia="en-GB"/>
              </w:rPr>
            </w:pPr>
          </w:p>
        </w:tc>
        <w:tc>
          <w:tcPr>
            <w:tcW w:w="6055" w:type="dxa"/>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sub-coracoid cent</w:t>
            </w:r>
            <w:r w:rsidRPr="00AA6042">
              <w:rPr>
                <w:rFonts w:eastAsia="Times New Roman"/>
                <w:color w:val="000000"/>
                <w:lang w:val="en-GB" w:eastAsia="en-GB"/>
              </w:rPr>
              <w:t>r</w:t>
            </w:r>
            <w:r>
              <w:rPr>
                <w:rFonts w:eastAsia="Times New Roman"/>
                <w:color w:val="000000"/>
                <w:lang w:val="en-GB" w:eastAsia="en-GB"/>
              </w:rPr>
              <w:t>e</w:t>
            </w:r>
            <w:r w:rsidRPr="00AA6042">
              <w:rPr>
                <w:rFonts w:eastAsia="Times New Roman"/>
                <w:color w:val="000000"/>
                <w:lang w:val="en-GB" w:eastAsia="en-GB"/>
              </w:rPr>
              <w:t xml:space="preserve"> and glenoid epiphysis fusion</w:t>
            </w:r>
          </w:p>
        </w:tc>
      </w:tr>
      <w:tr w:rsidR="00A57AEA" w:rsidRPr="00AA6042" w:rsidTr="00073D20">
        <w:trPr>
          <w:cantSplit/>
          <w:trHeight w:hRule="exact" w:val="295"/>
          <w:jc w:val="center"/>
        </w:trPr>
        <w:tc>
          <w:tcPr>
            <w:tcW w:w="1800" w:type="dxa"/>
            <w:vMerge/>
            <w:shd w:val="clear" w:color="000000" w:fill="FFFFFF"/>
            <w:vAlign w:val="center"/>
            <w:hideMark/>
          </w:tcPr>
          <w:p w:rsidR="00A57AEA" w:rsidRPr="00AA6042" w:rsidRDefault="00A57AEA" w:rsidP="00C10FED">
            <w:pPr>
              <w:spacing w:line="240" w:lineRule="auto"/>
              <w:rPr>
                <w:rFonts w:eastAsia="Times New Roman"/>
                <w:color w:val="000000"/>
                <w:lang w:val="en-GB" w:eastAsia="en-GB"/>
              </w:rPr>
            </w:pPr>
          </w:p>
        </w:tc>
        <w:tc>
          <w:tcPr>
            <w:tcW w:w="6055" w:type="dxa"/>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a</w:t>
            </w:r>
            <w:r w:rsidRPr="00AA6042">
              <w:rPr>
                <w:rFonts w:eastAsia="Times New Roman"/>
                <w:color w:val="000000"/>
                <w:lang w:val="en-GB" w:eastAsia="en-GB"/>
              </w:rPr>
              <w:t>cromial epiphysis fusion</w:t>
            </w:r>
          </w:p>
        </w:tc>
      </w:tr>
      <w:tr w:rsidR="00A57AEA" w:rsidRPr="00AA6042" w:rsidTr="00073D20">
        <w:trPr>
          <w:cantSplit/>
          <w:trHeight w:hRule="exact" w:val="211"/>
          <w:jc w:val="center"/>
        </w:trPr>
        <w:tc>
          <w:tcPr>
            <w:tcW w:w="1800" w:type="dxa"/>
            <w:vMerge/>
            <w:shd w:val="clear" w:color="000000" w:fill="FFFFFF"/>
            <w:vAlign w:val="center"/>
            <w:hideMark/>
          </w:tcPr>
          <w:p w:rsidR="00A57AEA" w:rsidRPr="00AA6042" w:rsidRDefault="00A57AEA" w:rsidP="00C10FED">
            <w:pPr>
              <w:spacing w:before="0" w:line="240" w:lineRule="auto"/>
              <w:rPr>
                <w:rFonts w:eastAsia="Times New Roman"/>
                <w:color w:val="000000"/>
                <w:lang w:val="en-GB" w:eastAsia="en-GB"/>
              </w:rPr>
            </w:pPr>
          </w:p>
        </w:tc>
        <w:tc>
          <w:tcPr>
            <w:tcW w:w="6055" w:type="dxa"/>
            <w:shd w:val="clear" w:color="000000" w:fill="FFFFFF"/>
            <w:vAlign w:val="center"/>
            <w:hideMark/>
          </w:tcPr>
          <w:p w:rsidR="00A57AEA" w:rsidRPr="00AA6042" w:rsidRDefault="00A57AEA" w:rsidP="00F11CC0">
            <w:pPr>
              <w:spacing w:before="0" w:line="240" w:lineRule="auto"/>
              <w:jc w:val="center"/>
              <w:rPr>
                <w:rFonts w:eastAsia="Times New Roman"/>
                <w:color w:val="000000"/>
                <w:lang w:val="en-GB" w:eastAsia="en-GB"/>
              </w:rPr>
            </w:pPr>
            <w:r>
              <w:rPr>
                <w:rFonts w:eastAsia="Times New Roman"/>
                <w:color w:val="000000"/>
                <w:lang w:val="en-GB" w:eastAsia="en-GB"/>
              </w:rPr>
              <w:t>medial b</w:t>
            </w:r>
            <w:r w:rsidRPr="00AA6042">
              <w:rPr>
                <w:rFonts w:eastAsia="Times New Roman"/>
                <w:color w:val="000000"/>
                <w:lang w:val="en-GB" w:eastAsia="en-GB"/>
              </w:rPr>
              <w:t>order</w:t>
            </w:r>
          </w:p>
        </w:tc>
      </w:tr>
    </w:tbl>
    <w:p w:rsidR="00361913" w:rsidRDefault="00A47CD2" w:rsidP="00A47CD2">
      <w:pPr>
        <w:pStyle w:val="Caption"/>
        <w:keepNext/>
        <w:jc w:val="left"/>
      </w:pPr>
      <w:bookmarkStart w:id="144" w:name="_Toc373180121"/>
      <w:proofErr w:type="gramStart"/>
      <w:r w:rsidRPr="00A47CD2">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9</w:t>
      </w:r>
      <w:r w:rsidR="008943E4">
        <w:rPr>
          <w:b/>
        </w:rPr>
        <w:fldChar w:fldCharType="end"/>
      </w:r>
      <w:r w:rsidR="00361913">
        <w:t xml:space="preserve"> Lower body epiphyseal fusion sites recorded</w:t>
      </w:r>
      <w:r w:rsidR="00574C7F">
        <w:t>.</w:t>
      </w:r>
      <w:bookmarkEnd w:id="144"/>
    </w:p>
    <w:tbl>
      <w:tblPr>
        <w:tblW w:w="7731" w:type="dxa"/>
        <w:jc w:val="center"/>
        <w:tblLook w:val="04A0" w:firstRow="1" w:lastRow="0" w:firstColumn="1" w:lastColumn="0" w:noHBand="0" w:noVBand="1"/>
      </w:tblPr>
      <w:tblGrid>
        <w:gridCol w:w="1660"/>
        <w:gridCol w:w="6071"/>
      </w:tblGrid>
      <w:tr w:rsidR="00E6541F" w:rsidRPr="00E6541F" w:rsidTr="00AC3CAF">
        <w:trPr>
          <w:trHeight w:hRule="exact" w:val="284"/>
          <w:jc w:val="center"/>
        </w:trPr>
        <w:tc>
          <w:tcPr>
            <w:tcW w:w="1660" w:type="dxa"/>
            <w:tcBorders>
              <w:top w:val="single" w:sz="4" w:space="0" w:color="auto"/>
              <w:bottom w:val="single" w:sz="4" w:space="0" w:color="auto"/>
            </w:tcBorders>
            <w:shd w:val="clear" w:color="000000" w:fill="FFFFFF"/>
            <w:vAlign w:val="center"/>
            <w:hideMark/>
          </w:tcPr>
          <w:p w:rsidR="00E6541F" w:rsidRPr="00E6541F" w:rsidRDefault="009A1E07">
            <w:pPr>
              <w:spacing w:before="0" w:line="240" w:lineRule="auto"/>
              <w:jc w:val="center"/>
              <w:rPr>
                <w:rFonts w:eastAsia="Times New Roman"/>
                <w:b/>
                <w:bCs/>
                <w:color w:val="000000"/>
                <w:lang w:val="en-GB" w:eastAsia="en-GB"/>
              </w:rPr>
            </w:pPr>
            <w:r>
              <w:rPr>
                <w:rFonts w:eastAsia="Times New Roman"/>
                <w:b/>
                <w:bCs/>
                <w:color w:val="000000"/>
                <w:lang w:val="en-GB" w:eastAsia="en-GB"/>
              </w:rPr>
              <w:t>b</w:t>
            </w:r>
            <w:r w:rsidR="00E6541F" w:rsidRPr="00E6541F">
              <w:rPr>
                <w:rFonts w:eastAsia="Times New Roman"/>
                <w:b/>
                <w:bCs/>
                <w:color w:val="000000"/>
                <w:lang w:val="en-GB" w:eastAsia="en-GB"/>
              </w:rPr>
              <w:t>one</w:t>
            </w:r>
          </w:p>
        </w:tc>
        <w:tc>
          <w:tcPr>
            <w:tcW w:w="6071" w:type="dxa"/>
            <w:tcBorders>
              <w:top w:val="single" w:sz="4" w:space="0" w:color="auto"/>
              <w:bottom w:val="single" w:sz="4" w:space="0" w:color="auto"/>
            </w:tcBorders>
            <w:shd w:val="clear" w:color="000000" w:fill="FFFFFF"/>
            <w:vAlign w:val="center"/>
            <w:hideMark/>
          </w:tcPr>
          <w:p w:rsidR="00E6541F" w:rsidRPr="00E6541F" w:rsidRDefault="009A1E07" w:rsidP="00C10FED">
            <w:pPr>
              <w:spacing w:before="0" w:line="240" w:lineRule="auto"/>
              <w:jc w:val="center"/>
              <w:rPr>
                <w:rFonts w:eastAsia="Times New Roman"/>
                <w:b/>
                <w:bCs/>
                <w:color w:val="000000"/>
                <w:lang w:val="en-GB" w:eastAsia="en-GB"/>
              </w:rPr>
            </w:pPr>
            <w:r>
              <w:rPr>
                <w:rFonts w:eastAsia="Times New Roman"/>
                <w:b/>
                <w:bCs/>
                <w:color w:val="000000"/>
                <w:lang w:val="en-GB" w:eastAsia="en-GB"/>
              </w:rPr>
              <w:t>e</w:t>
            </w:r>
            <w:r w:rsidR="00E6541F" w:rsidRPr="00E6541F">
              <w:rPr>
                <w:rFonts w:eastAsia="Times New Roman"/>
                <w:b/>
                <w:bCs/>
                <w:color w:val="000000"/>
                <w:lang w:val="en-GB" w:eastAsia="en-GB"/>
              </w:rPr>
              <w:t>piphysis</w:t>
            </w:r>
          </w:p>
        </w:tc>
      </w:tr>
      <w:tr w:rsidR="00A57AEA" w:rsidRPr="00E6541F" w:rsidTr="00AC3CAF">
        <w:trPr>
          <w:trHeight w:hRule="exact" w:val="284"/>
          <w:jc w:val="center"/>
        </w:trPr>
        <w:tc>
          <w:tcPr>
            <w:tcW w:w="1660" w:type="dxa"/>
            <w:vMerge w:val="restart"/>
            <w:tcBorders>
              <w:top w:val="single" w:sz="4" w:space="0" w:color="auto"/>
            </w:tcBorders>
            <w:shd w:val="clear" w:color="auto" w:fill="auto"/>
            <w:vAlign w:val="center"/>
            <w:hideMark/>
          </w:tcPr>
          <w:p w:rsidR="00A35CA0" w:rsidRDefault="00A57AEA" w:rsidP="00CA5FBB">
            <w:pPr>
              <w:spacing w:before="0" w:line="240" w:lineRule="auto"/>
              <w:jc w:val="center"/>
              <w:rPr>
                <w:rFonts w:eastAsia="Times New Roman"/>
                <w:color w:val="000000"/>
                <w:lang w:val="en-GB" w:eastAsia="en-GB"/>
              </w:rPr>
            </w:pPr>
            <w:r w:rsidRPr="00E6541F">
              <w:rPr>
                <w:rFonts w:eastAsia="Times New Roman"/>
                <w:color w:val="000000"/>
                <w:lang w:val="en-GB" w:eastAsia="en-GB"/>
              </w:rPr>
              <w:t>femur</w:t>
            </w:r>
          </w:p>
        </w:tc>
        <w:tc>
          <w:tcPr>
            <w:tcW w:w="6071" w:type="dxa"/>
            <w:tcBorders>
              <w:top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femoral head fusion</w:t>
            </w:r>
          </w:p>
        </w:tc>
      </w:tr>
      <w:tr w:rsidR="00A57AEA" w:rsidRPr="00E6541F" w:rsidTr="00AC3CAF">
        <w:trPr>
          <w:trHeight w:hRule="exact" w:val="284"/>
          <w:jc w:val="center"/>
        </w:trPr>
        <w:tc>
          <w:tcPr>
            <w:tcW w:w="1660" w:type="dxa"/>
            <w:vMerge/>
            <w:shd w:val="clear" w:color="auto" w:fill="auto"/>
            <w:vAlign w:val="center"/>
            <w:hideMark/>
          </w:tcPr>
          <w:p w:rsidR="00A35CA0" w:rsidRDefault="00A35CA0" w:rsidP="00CA5FBB">
            <w:pPr>
              <w:spacing w:line="240" w:lineRule="auto"/>
              <w:jc w:val="center"/>
              <w:rPr>
                <w:rFonts w:eastAsia="Times New Roman"/>
                <w:color w:val="000000"/>
                <w:lang w:val="en-GB" w:eastAsia="en-GB"/>
              </w:rPr>
            </w:pPr>
          </w:p>
        </w:tc>
        <w:tc>
          <w:tcPr>
            <w:tcW w:w="6071" w:type="dxa"/>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greater trochanter fusion</w:t>
            </w:r>
          </w:p>
        </w:tc>
      </w:tr>
      <w:tr w:rsidR="00A57AEA" w:rsidRPr="00E6541F" w:rsidTr="00AC3CAF">
        <w:trPr>
          <w:trHeight w:hRule="exact" w:val="284"/>
          <w:jc w:val="center"/>
        </w:trPr>
        <w:tc>
          <w:tcPr>
            <w:tcW w:w="1660" w:type="dxa"/>
            <w:vMerge/>
            <w:shd w:val="clear" w:color="auto" w:fill="auto"/>
            <w:vAlign w:val="center"/>
            <w:hideMark/>
          </w:tcPr>
          <w:p w:rsidR="00A35CA0" w:rsidRDefault="00A35CA0" w:rsidP="00CA5FBB">
            <w:pPr>
              <w:spacing w:line="240" w:lineRule="auto"/>
              <w:jc w:val="center"/>
              <w:rPr>
                <w:rFonts w:eastAsia="Times New Roman"/>
                <w:color w:val="000000"/>
                <w:lang w:val="en-GB" w:eastAsia="en-GB"/>
              </w:rPr>
            </w:pPr>
          </w:p>
        </w:tc>
        <w:tc>
          <w:tcPr>
            <w:tcW w:w="6071" w:type="dxa"/>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lesser trochanter fusion</w:t>
            </w:r>
          </w:p>
        </w:tc>
      </w:tr>
      <w:tr w:rsidR="00A57AEA" w:rsidRPr="00E6541F" w:rsidTr="00AC3CAF">
        <w:trPr>
          <w:trHeight w:hRule="exact" w:val="284"/>
          <w:jc w:val="center"/>
        </w:trPr>
        <w:tc>
          <w:tcPr>
            <w:tcW w:w="1660"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6071" w:type="dxa"/>
            <w:tcBorders>
              <w:bottom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distal epiphysis fusion</w:t>
            </w:r>
          </w:p>
        </w:tc>
      </w:tr>
      <w:tr w:rsidR="00A57AEA" w:rsidRPr="00E6541F" w:rsidTr="00AC3CAF">
        <w:trPr>
          <w:trHeight w:hRule="exact" w:val="284"/>
          <w:jc w:val="center"/>
        </w:trPr>
        <w:tc>
          <w:tcPr>
            <w:tcW w:w="1660" w:type="dxa"/>
            <w:vMerge w:val="restart"/>
            <w:tcBorders>
              <w:top w:val="single" w:sz="4" w:space="0" w:color="auto"/>
            </w:tcBorders>
            <w:shd w:val="clear" w:color="auto" w:fill="auto"/>
            <w:vAlign w:val="center"/>
            <w:hideMark/>
          </w:tcPr>
          <w:p w:rsidR="00A35CA0" w:rsidRDefault="00A57AEA" w:rsidP="00CA5FBB">
            <w:pPr>
              <w:spacing w:before="0" w:line="240" w:lineRule="auto"/>
              <w:jc w:val="center"/>
              <w:rPr>
                <w:rFonts w:eastAsia="Times New Roman"/>
                <w:color w:val="000000"/>
                <w:lang w:val="en-GB" w:eastAsia="en-GB"/>
              </w:rPr>
            </w:pPr>
            <w:r w:rsidRPr="00E6541F">
              <w:rPr>
                <w:rFonts w:eastAsia="Times New Roman"/>
                <w:color w:val="000000"/>
                <w:lang w:val="en-GB" w:eastAsia="en-GB"/>
              </w:rPr>
              <w:t>tibia</w:t>
            </w:r>
          </w:p>
        </w:tc>
        <w:tc>
          <w:tcPr>
            <w:tcW w:w="6071" w:type="dxa"/>
            <w:tcBorders>
              <w:top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proximal epiphysis fusion</w:t>
            </w:r>
          </w:p>
        </w:tc>
      </w:tr>
      <w:tr w:rsidR="00A57AEA" w:rsidRPr="00E6541F" w:rsidTr="00AC3CAF">
        <w:trPr>
          <w:trHeight w:hRule="exact" w:val="284"/>
          <w:jc w:val="center"/>
        </w:trPr>
        <w:tc>
          <w:tcPr>
            <w:tcW w:w="1660"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6071" w:type="dxa"/>
            <w:tcBorders>
              <w:bottom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distal epiphysis fusion</w:t>
            </w:r>
          </w:p>
        </w:tc>
      </w:tr>
      <w:tr w:rsidR="00A57AEA" w:rsidRPr="00E6541F" w:rsidTr="00AC3CAF">
        <w:trPr>
          <w:trHeight w:hRule="exact" w:val="284"/>
          <w:jc w:val="center"/>
        </w:trPr>
        <w:tc>
          <w:tcPr>
            <w:tcW w:w="1660" w:type="dxa"/>
            <w:vMerge w:val="restart"/>
            <w:tcBorders>
              <w:top w:val="single" w:sz="4" w:space="0" w:color="auto"/>
            </w:tcBorders>
            <w:shd w:val="clear" w:color="auto" w:fill="auto"/>
            <w:vAlign w:val="center"/>
            <w:hideMark/>
          </w:tcPr>
          <w:p w:rsidR="00A35CA0" w:rsidRDefault="00A57AEA" w:rsidP="00CA5FBB">
            <w:pPr>
              <w:spacing w:before="0" w:line="240" w:lineRule="auto"/>
              <w:jc w:val="center"/>
              <w:rPr>
                <w:rFonts w:eastAsia="Times New Roman"/>
                <w:color w:val="000000"/>
                <w:lang w:val="en-GB" w:eastAsia="en-GB"/>
              </w:rPr>
            </w:pPr>
            <w:r w:rsidRPr="00E6541F">
              <w:rPr>
                <w:rFonts w:eastAsia="Times New Roman"/>
                <w:color w:val="000000"/>
                <w:lang w:val="en-GB" w:eastAsia="en-GB"/>
              </w:rPr>
              <w:t>fibula</w:t>
            </w:r>
          </w:p>
        </w:tc>
        <w:tc>
          <w:tcPr>
            <w:tcW w:w="6071" w:type="dxa"/>
            <w:tcBorders>
              <w:top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proximal epiphysis fusion</w:t>
            </w:r>
          </w:p>
        </w:tc>
      </w:tr>
      <w:tr w:rsidR="00A57AEA" w:rsidRPr="00E6541F" w:rsidTr="00AC3CAF">
        <w:trPr>
          <w:trHeight w:hRule="exact" w:val="284"/>
          <w:jc w:val="center"/>
        </w:trPr>
        <w:tc>
          <w:tcPr>
            <w:tcW w:w="1660"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6071" w:type="dxa"/>
            <w:tcBorders>
              <w:bottom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distal epiphysis fusion</w:t>
            </w:r>
          </w:p>
        </w:tc>
      </w:tr>
      <w:tr w:rsidR="00A57AEA" w:rsidRPr="00E6541F" w:rsidTr="00AC3CAF">
        <w:trPr>
          <w:trHeight w:hRule="exact" w:val="284"/>
          <w:jc w:val="center"/>
        </w:trPr>
        <w:tc>
          <w:tcPr>
            <w:tcW w:w="1660" w:type="dxa"/>
            <w:vMerge w:val="restart"/>
            <w:tcBorders>
              <w:top w:val="single" w:sz="4" w:space="0" w:color="auto"/>
            </w:tcBorders>
            <w:shd w:val="clear" w:color="auto" w:fill="auto"/>
            <w:vAlign w:val="center"/>
            <w:hideMark/>
          </w:tcPr>
          <w:p w:rsidR="00A35CA0" w:rsidRDefault="00A57AEA" w:rsidP="00CA5FBB">
            <w:pPr>
              <w:spacing w:before="0" w:line="240" w:lineRule="auto"/>
              <w:jc w:val="center"/>
              <w:rPr>
                <w:rFonts w:eastAsia="Times New Roman"/>
                <w:color w:val="000000"/>
                <w:lang w:val="en-GB" w:eastAsia="en-GB"/>
              </w:rPr>
            </w:pPr>
            <w:r w:rsidRPr="00E6541F">
              <w:rPr>
                <w:rFonts w:eastAsia="Times New Roman"/>
                <w:color w:val="000000"/>
                <w:lang w:val="en-GB" w:eastAsia="en-GB"/>
              </w:rPr>
              <w:t>foot</w:t>
            </w:r>
          </w:p>
        </w:tc>
        <w:tc>
          <w:tcPr>
            <w:tcW w:w="6071" w:type="dxa"/>
            <w:tcBorders>
              <w:top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calcaneal epiphysis fusion</w:t>
            </w:r>
          </w:p>
        </w:tc>
      </w:tr>
      <w:tr w:rsidR="00A57AEA" w:rsidRPr="00E6541F" w:rsidTr="00AC3CAF">
        <w:trPr>
          <w:trHeight w:hRule="exact" w:val="284"/>
          <w:jc w:val="center"/>
        </w:trPr>
        <w:tc>
          <w:tcPr>
            <w:tcW w:w="1660" w:type="dxa"/>
            <w:vMerge/>
            <w:shd w:val="clear" w:color="auto" w:fill="auto"/>
            <w:vAlign w:val="center"/>
            <w:hideMark/>
          </w:tcPr>
          <w:p w:rsidR="00A35CA0" w:rsidRDefault="00A35CA0" w:rsidP="00CA5FBB">
            <w:pPr>
              <w:spacing w:line="240" w:lineRule="auto"/>
              <w:jc w:val="center"/>
              <w:rPr>
                <w:rFonts w:eastAsia="Times New Roman"/>
                <w:color w:val="000000"/>
                <w:lang w:val="en-GB" w:eastAsia="en-GB"/>
              </w:rPr>
            </w:pPr>
          </w:p>
        </w:tc>
        <w:tc>
          <w:tcPr>
            <w:tcW w:w="6071" w:type="dxa"/>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talar epiphysis fusion</w:t>
            </w:r>
          </w:p>
        </w:tc>
      </w:tr>
      <w:tr w:rsidR="00A57AEA" w:rsidRPr="00E6541F" w:rsidTr="00AC3CAF">
        <w:trPr>
          <w:trHeight w:hRule="exact" w:val="284"/>
          <w:jc w:val="center"/>
        </w:trPr>
        <w:tc>
          <w:tcPr>
            <w:tcW w:w="1660" w:type="dxa"/>
            <w:vMerge/>
            <w:shd w:val="clear" w:color="auto" w:fill="auto"/>
            <w:vAlign w:val="center"/>
            <w:hideMark/>
          </w:tcPr>
          <w:p w:rsidR="00A35CA0" w:rsidRDefault="00A35CA0" w:rsidP="00CA5FBB">
            <w:pPr>
              <w:spacing w:line="240" w:lineRule="auto"/>
              <w:jc w:val="center"/>
              <w:rPr>
                <w:rFonts w:eastAsia="Times New Roman"/>
                <w:color w:val="000000"/>
                <w:lang w:val="en-GB" w:eastAsia="en-GB"/>
              </w:rPr>
            </w:pPr>
          </w:p>
        </w:tc>
        <w:tc>
          <w:tcPr>
            <w:tcW w:w="6071" w:type="dxa"/>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distal phalanges, middle phalanges, metatarsal heads 2-5 fusion</w:t>
            </w:r>
          </w:p>
        </w:tc>
      </w:tr>
      <w:tr w:rsidR="00A57AEA" w:rsidRPr="00E6541F" w:rsidTr="00AC3CAF">
        <w:trPr>
          <w:trHeight w:hRule="exact" w:val="284"/>
          <w:jc w:val="center"/>
        </w:trPr>
        <w:tc>
          <w:tcPr>
            <w:tcW w:w="1660"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6071" w:type="dxa"/>
            <w:tcBorders>
              <w:bottom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proximal phalanges and base of metatarsal 1 fusion</w:t>
            </w:r>
          </w:p>
        </w:tc>
      </w:tr>
      <w:tr w:rsidR="00A57AEA" w:rsidRPr="00E6541F" w:rsidTr="00AC3CAF">
        <w:trPr>
          <w:trHeight w:hRule="exact" w:val="284"/>
          <w:jc w:val="center"/>
        </w:trPr>
        <w:tc>
          <w:tcPr>
            <w:tcW w:w="1660" w:type="dxa"/>
            <w:vMerge w:val="restart"/>
            <w:tcBorders>
              <w:top w:val="single" w:sz="4" w:space="0" w:color="auto"/>
            </w:tcBorders>
            <w:shd w:val="clear" w:color="auto" w:fill="auto"/>
            <w:vAlign w:val="center"/>
            <w:hideMark/>
          </w:tcPr>
          <w:p w:rsidR="00A35CA0" w:rsidRDefault="00A57AEA" w:rsidP="00CA5FBB">
            <w:pPr>
              <w:spacing w:before="0" w:line="240" w:lineRule="auto"/>
              <w:jc w:val="center"/>
              <w:rPr>
                <w:rFonts w:eastAsia="Times New Roman"/>
                <w:color w:val="000000"/>
                <w:lang w:val="en-GB" w:eastAsia="en-GB"/>
              </w:rPr>
            </w:pPr>
            <w:r w:rsidRPr="00E6541F">
              <w:rPr>
                <w:rFonts w:eastAsia="Times New Roman"/>
                <w:color w:val="000000"/>
                <w:lang w:val="en-GB" w:eastAsia="en-GB"/>
              </w:rPr>
              <w:t>pelvis</w:t>
            </w:r>
          </w:p>
        </w:tc>
        <w:tc>
          <w:tcPr>
            <w:tcW w:w="6071" w:type="dxa"/>
            <w:tcBorders>
              <w:top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tri-radiate epiphysis fusion</w:t>
            </w:r>
          </w:p>
        </w:tc>
      </w:tr>
      <w:tr w:rsidR="00A57AEA" w:rsidRPr="00E6541F" w:rsidTr="00AC3CAF">
        <w:trPr>
          <w:trHeight w:hRule="exact" w:val="284"/>
          <w:jc w:val="center"/>
        </w:trPr>
        <w:tc>
          <w:tcPr>
            <w:tcW w:w="1660" w:type="dxa"/>
            <w:vMerge/>
            <w:shd w:val="clear" w:color="auto" w:fill="auto"/>
            <w:vAlign w:val="center"/>
            <w:hideMark/>
          </w:tcPr>
          <w:p w:rsidR="00A57AEA" w:rsidRPr="00E6541F" w:rsidRDefault="00A57AEA" w:rsidP="00C10FED">
            <w:pPr>
              <w:spacing w:line="240" w:lineRule="auto"/>
              <w:rPr>
                <w:rFonts w:eastAsia="Times New Roman"/>
                <w:color w:val="000000"/>
                <w:lang w:val="en-GB" w:eastAsia="en-GB"/>
              </w:rPr>
            </w:pPr>
          </w:p>
        </w:tc>
        <w:tc>
          <w:tcPr>
            <w:tcW w:w="6071" w:type="dxa"/>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it-IT" w:eastAsia="en-GB"/>
              </w:rPr>
              <w:t>anterior inferior iliac spine fusion</w:t>
            </w:r>
          </w:p>
        </w:tc>
      </w:tr>
      <w:tr w:rsidR="00A57AEA" w:rsidRPr="00E6541F" w:rsidTr="00AC3CAF">
        <w:trPr>
          <w:trHeight w:hRule="exact" w:val="284"/>
          <w:jc w:val="center"/>
        </w:trPr>
        <w:tc>
          <w:tcPr>
            <w:tcW w:w="1660" w:type="dxa"/>
            <w:vMerge/>
            <w:shd w:val="clear" w:color="auto" w:fill="auto"/>
            <w:vAlign w:val="center"/>
            <w:hideMark/>
          </w:tcPr>
          <w:p w:rsidR="00A57AEA" w:rsidRPr="00E6541F" w:rsidRDefault="00A57AEA" w:rsidP="00C10FED">
            <w:pPr>
              <w:spacing w:line="240" w:lineRule="auto"/>
              <w:rPr>
                <w:rFonts w:eastAsia="Times New Roman"/>
                <w:color w:val="000000"/>
                <w:lang w:val="en-GB" w:eastAsia="en-GB"/>
              </w:rPr>
            </w:pPr>
          </w:p>
        </w:tc>
        <w:tc>
          <w:tcPr>
            <w:tcW w:w="6071" w:type="dxa"/>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iliac crest fusion</w:t>
            </w:r>
          </w:p>
        </w:tc>
      </w:tr>
      <w:tr w:rsidR="00A57AEA" w:rsidRPr="00E6541F" w:rsidTr="00AC3CAF">
        <w:trPr>
          <w:trHeight w:hRule="exact" w:val="284"/>
          <w:jc w:val="center"/>
        </w:trPr>
        <w:tc>
          <w:tcPr>
            <w:tcW w:w="1660" w:type="dxa"/>
            <w:vMerge/>
            <w:tcBorders>
              <w:bottom w:val="single" w:sz="4" w:space="0" w:color="auto"/>
            </w:tcBorders>
            <w:shd w:val="clear" w:color="auto" w:fill="auto"/>
            <w:vAlign w:val="center"/>
            <w:hideMark/>
          </w:tcPr>
          <w:p w:rsidR="00A57AEA" w:rsidRPr="00E6541F" w:rsidRDefault="00A57AEA" w:rsidP="00C10FED">
            <w:pPr>
              <w:spacing w:before="0" w:line="240" w:lineRule="auto"/>
              <w:rPr>
                <w:rFonts w:eastAsia="Times New Roman"/>
                <w:color w:val="000000"/>
                <w:lang w:val="en-GB" w:eastAsia="en-GB"/>
              </w:rPr>
            </w:pPr>
          </w:p>
        </w:tc>
        <w:tc>
          <w:tcPr>
            <w:tcW w:w="6071" w:type="dxa"/>
            <w:tcBorders>
              <w:bottom w:val="single" w:sz="4" w:space="0" w:color="auto"/>
            </w:tcBorders>
            <w:shd w:val="clear" w:color="auto" w:fill="auto"/>
            <w:vAlign w:val="center"/>
            <w:hideMark/>
          </w:tcPr>
          <w:p w:rsidR="00A57AEA" w:rsidRPr="00E6541F" w:rsidRDefault="00A57AEA" w:rsidP="00F11CC0">
            <w:pPr>
              <w:spacing w:before="0" w:line="240" w:lineRule="auto"/>
              <w:jc w:val="center"/>
              <w:rPr>
                <w:rFonts w:eastAsia="Times New Roman"/>
                <w:color w:val="000000"/>
                <w:lang w:val="en-GB" w:eastAsia="en-GB"/>
              </w:rPr>
            </w:pPr>
            <w:r w:rsidRPr="00E6541F">
              <w:rPr>
                <w:rFonts w:eastAsia="Times New Roman"/>
                <w:color w:val="000000"/>
                <w:lang w:val="en-GB" w:eastAsia="en-GB"/>
              </w:rPr>
              <w:t>ischial epiphysis fusion</w:t>
            </w:r>
          </w:p>
        </w:tc>
      </w:tr>
    </w:tbl>
    <w:p w:rsidR="00361913" w:rsidRPr="00C10FED" w:rsidRDefault="00361913" w:rsidP="00C10FED">
      <w:pPr>
        <w:rPr>
          <w:noProof/>
        </w:rPr>
      </w:pPr>
      <w:r>
        <w:rPr>
          <w:noProof/>
        </w:rPr>
        <w:lastRenderedPageBreak/>
        <w:t>T</w:t>
      </w:r>
      <w:r w:rsidRPr="008B0EA4">
        <w:rPr>
          <w:noProof/>
        </w:rPr>
        <w:t>h</w:t>
      </w:r>
      <w:r w:rsidR="007B2B27">
        <w:rPr>
          <w:noProof/>
        </w:rPr>
        <w:t>e selected sample</w:t>
      </w:r>
      <w:r>
        <w:rPr>
          <w:noProof/>
        </w:rPr>
        <w:t xml:space="preserve"> is not an exhaustive </w:t>
      </w:r>
      <w:r w:rsidR="007C763B">
        <w:rPr>
          <w:noProof/>
        </w:rPr>
        <w:t xml:space="preserve">list </w:t>
      </w:r>
      <w:r>
        <w:rPr>
          <w:noProof/>
        </w:rPr>
        <w:t>of all epiphyses present in the developing individual</w:t>
      </w:r>
      <w:r w:rsidRPr="008B0EA4">
        <w:rPr>
          <w:noProof/>
        </w:rPr>
        <w:t>.</w:t>
      </w:r>
      <w:r>
        <w:rPr>
          <w:noProof/>
        </w:rPr>
        <w:t xml:space="preserve">  There are other epiphyses present in the spinal column and on the ribs which were not </w:t>
      </w:r>
      <w:r w:rsidR="00906521">
        <w:rPr>
          <w:noProof/>
        </w:rPr>
        <w:t>evaluat</w:t>
      </w:r>
      <w:r>
        <w:rPr>
          <w:noProof/>
        </w:rPr>
        <w:t>ed</w:t>
      </w:r>
      <w:r w:rsidR="001D7FA0">
        <w:rPr>
          <w:noProof/>
        </w:rPr>
        <w:t xml:space="preserve"> because they</w:t>
      </w:r>
      <w:r w:rsidR="00906521">
        <w:rPr>
          <w:noProof/>
        </w:rPr>
        <w:t xml:space="preserve"> </w:t>
      </w:r>
      <w:r w:rsidR="001D7FA0">
        <w:rPr>
          <w:noProof/>
        </w:rPr>
        <w:t>are</w:t>
      </w:r>
      <w:r>
        <w:rPr>
          <w:noProof/>
        </w:rPr>
        <w:t xml:space="preserve"> considerably more difficult to observe in osteological collections.  Ribs are often broken </w:t>
      </w:r>
      <w:r w:rsidR="00537897">
        <w:rPr>
          <w:noProof/>
        </w:rPr>
        <w:t>or</w:t>
      </w:r>
      <w:r>
        <w:rPr>
          <w:noProof/>
        </w:rPr>
        <w:t xml:space="preserve"> lost, and the epiphyse</w:t>
      </w:r>
      <w:r w:rsidR="00774EB2">
        <w:rPr>
          <w:noProof/>
        </w:rPr>
        <w:t>s for these bones are very thin</w:t>
      </w:r>
      <w:r>
        <w:rPr>
          <w:noProof/>
        </w:rPr>
        <w:t xml:space="preserve"> and easily broken.  These sites were also not considered to be necesary for satisfying the core objectives of this study.  Th</w:t>
      </w:r>
      <w:r w:rsidR="001D7FA0">
        <w:rPr>
          <w:noProof/>
        </w:rPr>
        <w:t>e included epiphyses are</w:t>
      </w:r>
      <w:r>
        <w:rPr>
          <w:noProof/>
        </w:rPr>
        <w:t xml:space="preserve"> exhaustive for all long bones, hand and feet.  </w:t>
      </w:r>
      <w:r w:rsidR="005C49AA">
        <w:rPr>
          <w:noProof/>
        </w:rPr>
        <w:t>Thi</w:t>
      </w:r>
      <w:r w:rsidR="008324F1">
        <w:rPr>
          <w:noProof/>
        </w:rPr>
        <w:t>s study</w:t>
      </w:r>
      <w:r>
        <w:rPr>
          <w:noProof/>
        </w:rPr>
        <w:t xml:space="preserve"> also </w:t>
      </w:r>
      <w:r w:rsidR="004C71A6">
        <w:rPr>
          <w:noProof/>
        </w:rPr>
        <w:t xml:space="preserve">observes </w:t>
      </w:r>
      <w:r>
        <w:rPr>
          <w:noProof/>
        </w:rPr>
        <w:t>all epiphyses of the pelvic and shoulder girdle</w:t>
      </w:r>
      <w:r w:rsidR="00186F98">
        <w:rPr>
          <w:noProof/>
        </w:rPr>
        <w:t xml:space="preserve"> with the exception of the pelvic ramus</w:t>
      </w:r>
      <w:r>
        <w:rPr>
          <w:noProof/>
        </w:rPr>
        <w:t>.</w:t>
      </w:r>
      <w:r w:rsidR="00186F98">
        <w:rPr>
          <w:noProof/>
        </w:rPr>
        <w:t xml:space="preserve">  The ramus was often encased in cartilage and difficult to observe.</w:t>
      </w:r>
      <w:r>
        <w:rPr>
          <w:noProof/>
        </w:rPr>
        <w:t xml:space="preserve">  These regions are of particular interest for the study of changes in locomotory behaviour between bonobos, chimpanzees, and humans.</w:t>
      </w:r>
    </w:p>
    <w:p w:rsidR="00361913" w:rsidRPr="00CA0C96" w:rsidRDefault="001D7FA0" w:rsidP="00C10FED">
      <w:pPr>
        <w:rPr>
          <w:b/>
          <w:i/>
          <w:noProof/>
        </w:rPr>
      </w:pPr>
      <w:r w:rsidRPr="00CA0C96">
        <w:rPr>
          <w:b/>
          <w:i/>
          <w:noProof/>
        </w:rPr>
        <w:t>3.2.5.a</w:t>
      </w:r>
      <w:r w:rsidRPr="00CA0C96">
        <w:rPr>
          <w:b/>
          <w:i/>
          <w:noProof/>
        </w:rPr>
        <w:tab/>
      </w:r>
      <w:r w:rsidR="00361913" w:rsidRPr="00CA0C96">
        <w:rPr>
          <w:b/>
          <w:i/>
          <w:noProof/>
        </w:rPr>
        <w:t>Epiphyseal Fusion Stages: scoring system</w:t>
      </w:r>
    </w:p>
    <w:p w:rsidR="00361913" w:rsidRDefault="00361913" w:rsidP="00C10FED">
      <w:pPr>
        <w:rPr>
          <w:noProof/>
        </w:rPr>
      </w:pPr>
      <w:r w:rsidRPr="008B0EA4">
        <w:rPr>
          <w:noProof/>
        </w:rPr>
        <w:t>A</w:t>
      </w:r>
      <w:r>
        <w:rPr>
          <w:noProof/>
        </w:rPr>
        <w:t xml:space="preserve">s noted in </w:t>
      </w:r>
      <w:r w:rsidR="00CF7965">
        <w:rPr>
          <w:noProof/>
        </w:rPr>
        <w:t>C</w:t>
      </w:r>
      <w:r>
        <w:rPr>
          <w:noProof/>
        </w:rPr>
        <w:t>hapter 2 (section 2.2.1 and 2.2.2), there have been many studies of human epiphyseal closure and mu</w:t>
      </w:r>
      <w:r w:rsidR="00CF7965">
        <w:rPr>
          <w:noProof/>
        </w:rPr>
        <w:t>ltiple scoring systems employed</w:t>
      </w:r>
      <w:r>
        <w:rPr>
          <w:noProof/>
        </w:rPr>
        <w:t xml:space="preserve"> using both dry-bone and radiographic methods.  Prior studies of chimpanzees have also employed both radiographic and dry-bones methodo</w:t>
      </w:r>
      <w:r w:rsidR="00304209">
        <w:rPr>
          <w:noProof/>
        </w:rPr>
        <w:t>lo</w:t>
      </w:r>
      <w:r w:rsidR="00081A47">
        <w:rPr>
          <w:noProof/>
        </w:rPr>
        <w:t>gies</w:t>
      </w:r>
      <w:r>
        <w:rPr>
          <w:noProof/>
        </w:rPr>
        <w:t xml:space="preserve"> describing differing states of fusion with varying levels of detail.  Some studies have simply reported ‘fused’ and ‘unfused,’ while others have recorded degrees of mid-fusion, such as ‘partially fused.’  This variation is the result of difficulties of observation encountered with two-dimensional images.  The system used in this study was designed to permit comparison with prior and future studies, and describes ‘fused,’ ‘unfused,’ and three mid fusion stages.  This information could always be reduced by assigning partially fused scores to </w:t>
      </w:r>
      <w:r w:rsidR="00CF7965">
        <w:rPr>
          <w:noProof/>
        </w:rPr>
        <w:t xml:space="preserve">a simpler </w:t>
      </w:r>
      <w:r>
        <w:rPr>
          <w:noProof/>
        </w:rPr>
        <w:t>‘fused’ category</w:t>
      </w:r>
      <w:r w:rsidRPr="00033348">
        <w:rPr>
          <w:noProof/>
        </w:rPr>
        <w:t xml:space="preserve"> </w:t>
      </w:r>
      <w:r>
        <w:rPr>
          <w:noProof/>
        </w:rPr>
        <w:t>for comparisons with studies where fewer stages have been recorded.  It shall be shown in this study a similar reduction was required as a consequence of limited</w:t>
      </w:r>
      <w:r w:rsidR="002D489E">
        <w:rPr>
          <w:noProof/>
        </w:rPr>
        <w:t xml:space="preserve"> sample size</w:t>
      </w:r>
      <w:r w:rsidR="00B04E1C">
        <w:rPr>
          <w:noProof/>
        </w:rPr>
        <w:t xml:space="preserve"> of individuals fusing at each individual epiphysis</w:t>
      </w:r>
      <w:r w:rsidR="002D489E">
        <w:rPr>
          <w:noProof/>
        </w:rPr>
        <w:t xml:space="preserve"> (see sections 3.5.1 and 3.5</w:t>
      </w:r>
      <w:r>
        <w:rPr>
          <w:noProof/>
        </w:rPr>
        <w:t xml:space="preserve">.2).  A description of the stages is presented in </w:t>
      </w:r>
      <w:r w:rsidR="00A17646">
        <w:rPr>
          <w:noProof/>
        </w:rPr>
        <w:t>T</w:t>
      </w:r>
      <w:r>
        <w:rPr>
          <w:noProof/>
        </w:rPr>
        <w:t>able 3.</w:t>
      </w:r>
      <w:r w:rsidR="00AC757C">
        <w:rPr>
          <w:noProof/>
        </w:rPr>
        <w:t>10</w:t>
      </w:r>
      <w:r>
        <w:rPr>
          <w:noProof/>
        </w:rPr>
        <w:t xml:space="preserve"> and a graphic represen</w:t>
      </w:r>
      <w:r w:rsidR="00D4224E">
        <w:rPr>
          <w:noProof/>
        </w:rPr>
        <w:t xml:space="preserve">tation is provided in </w:t>
      </w:r>
      <w:r w:rsidR="008E5014">
        <w:rPr>
          <w:noProof/>
        </w:rPr>
        <w:t>F</w:t>
      </w:r>
      <w:r w:rsidR="00D4224E">
        <w:rPr>
          <w:noProof/>
        </w:rPr>
        <w:t>igure 3.7</w:t>
      </w:r>
      <w:r>
        <w:rPr>
          <w:noProof/>
        </w:rPr>
        <w:t>.</w:t>
      </w:r>
    </w:p>
    <w:p w:rsidR="00361913" w:rsidRDefault="00A47CD2" w:rsidP="00A47CD2">
      <w:pPr>
        <w:pStyle w:val="Caption"/>
        <w:keepNext/>
        <w:jc w:val="left"/>
      </w:pPr>
      <w:bookmarkStart w:id="145" w:name="_Toc373180122"/>
      <w:proofErr w:type="gramStart"/>
      <w:r w:rsidRPr="00A47CD2">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10</w:t>
      </w:r>
      <w:r w:rsidR="008943E4">
        <w:rPr>
          <w:b/>
        </w:rPr>
        <w:fldChar w:fldCharType="end"/>
      </w:r>
      <w:r w:rsidR="00A42C93">
        <w:t xml:space="preserve"> </w:t>
      </w:r>
      <w:r w:rsidR="00361913">
        <w:t>Description of epiphyseal fusion stages observed.</w:t>
      </w:r>
      <w:bookmarkEnd w:id="145"/>
    </w:p>
    <w:tbl>
      <w:tblPr>
        <w:tblW w:w="9482" w:type="dxa"/>
        <w:jc w:val="center"/>
        <w:tblBorders>
          <w:top w:val="single" w:sz="4" w:space="0" w:color="auto"/>
          <w:bottom w:val="single" w:sz="4" w:space="0" w:color="auto"/>
        </w:tblBorders>
        <w:tblLook w:val="04A0" w:firstRow="1" w:lastRow="0" w:firstColumn="1" w:lastColumn="0" w:noHBand="0" w:noVBand="1"/>
      </w:tblPr>
      <w:tblGrid>
        <w:gridCol w:w="693"/>
        <w:gridCol w:w="1874"/>
        <w:gridCol w:w="6915"/>
      </w:tblGrid>
      <w:tr w:rsidR="00361913" w:rsidRPr="00AA046F" w:rsidTr="00B31048">
        <w:trPr>
          <w:trHeight w:val="283"/>
          <w:jc w:val="center"/>
        </w:trPr>
        <w:tc>
          <w:tcPr>
            <w:tcW w:w="693" w:type="dxa"/>
            <w:tcBorders>
              <w:top w:val="single" w:sz="4" w:space="0" w:color="auto"/>
              <w:bottom w:val="single" w:sz="4" w:space="0" w:color="auto"/>
            </w:tcBorders>
            <w:shd w:val="clear" w:color="auto" w:fill="auto"/>
            <w:noWrap/>
            <w:vAlign w:val="center"/>
            <w:hideMark/>
          </w:tcPr>
          <w:p w:rsidR="00361913" w:rsidRPr="00AA046F" w:rsidRDefault="00B31048" w:rsidP="00B31048">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361913" w:rsidRPr="00AA046F">
              <w:rPr>
                <w:rFonts w:eastAsia="Times New Roman"/>
                <w:b/>
                <w:bCs/>
                <w:color w:val="000000"/>
                <w:lang w:val="en-GB" w:eastAsia="en-GB"/>
              </w:rPr>
              <w:t>tage</w:t>
            </w:r>
          </w:p>
        </w:tc>
        <w:tc>
          <w:tcPr>
            <w:tcW w:w="1874" w:type="dxa"/>
            <w:tcBorders>
              <w:top w:val="single" w:sz="4" w:space="0" w:color="auto"/>
              <w:bottom w:val="single" w:sz="4" w:space="0" w:color="auto"/>
            </w:tcBorders>
            <w:shd w:val="clear" w:color="auto" w:fill="auto"/>
            <w:noWrap/>
            <w:vAlign w:val="center"/>
            <w:hideMark/>
          </w:tcPr>
          <w:p w:rsidR="00361913" w:rsidRPr="00AA046F" w:rsidRDefault="00B31048" w:rsidP="00B31048">
            <w:pPr>
              <w:spacing w:before="0" w:line="240" w:lineRule="auto"/>
              <w:jc w:val="center"/>
              <w:rPr>
                <w:rFonts w:eastAsia="Times New Roman"/>
                <w:b/>
                <w:bCs/>
                <w:color w:val="000000"/>
                <w:lang w:val="en-GB" w:eastAsia="en-GB"/>
              </w:rPr>
            </w:pPr>
            <w:r>
              <w:rPr>
                <w:rFonts w:eastAsia="Times New Roman"/>
                <w:b/>
                <w:bCs/>
                <w:color w:val="000000"/>
                <w:lang w:val="en-GB" w:eastAsia="en-GB"/>
              </w:rPr>
              <w:t>b</w:t>
            </w:r>
            <w:r w:rsidR="00361913" w:rsidRPr="00AA046F">
              <w:rPr>
                <w:rFonts w:eastAsia="Times New Roman"/>
                <w:b/>
                <w:bCs/>
                <w:color w:val="000000"/>
                <w:lang w:val="en-GB" w:eastAsia="en-GB"/>
              </w:rPr>
              <w:t>asic description</w:t>
            </w:r>
          </w:p>
        </w:tc>
        <w:tc>
          <w:tcPr>
            <w:tcW w:w="6915" w:type="dxa"/>
            <w:tcBorders>
              <w:top w:val="single" w:sz="4" w:space="0" w:color="auto"/>
              <w:bottom w:val="single" w:sz="4" w:space="0" w:color="auto"/>
            </w:tcBorders>
            <w:shd w:val="clear" w:color="auto" w:fill="auto"/>
            <w:noWrap/>
            <w:vAlign w:val="center"/>
            <w:hideMark/>
          </w:tcPr>
          <w:p w:rsidR="00361913" w:rsidRPr="00AA046F" w:rsidRDefault="00B31048" w:rsidP="00B31048">
            <w:pPr>
              <w:spacing w:before="0" w:line="240" w:lineRule="auto"/>
              <w:jc w:val="center"/>
              <w:rPr>
                <w:rFonts w:eastAsia="Times New Roman"/>
                <w:b/>
                <w:bCs/>
                <w:color w:val="000000"/>
                <w:lang w:val="en-GB" w:eastAsia="en-GB"/>
              </w:rPr>
            </w:pPr>
            <w:r>
              <w:rPr>
                <w:rFonts w:eastAsia="Times New Roman"/>
                <w:b/>
                <w:bCs/>
                <w:color w:val="000000"/>
                <w:lang w:val="en-GB" w:eastAsia="en-GB"/>
              </w:rPr>
              <w:t>d</w:t>
            </w:r>
            <w:r w:rsidR="00361913" w:rsidRPr="00AA046F">
              <w:rPr>
                <w:rFonts w:eastAsia="Times New Roman"/>
                <w:b/>
                <w:bCs/>
                <w:color w:val="000000"/>
                <w:lang w:val="en-GB" w:eastAsia="en-GB"/>
              </w:rPr>
              <w:t>etailed description</w:t>
            </w:r>
          </w:p>
        </w:tc>
      </w:tr>
      <w:tr w:rsidR="00361913" w:rsidRPr="00AA046F" w:rsidTr="00B31048">
        <w:trPr>
          <w:trHeight w:val="283"/>
          <w:jc w:val="center"/>
        </w:trPr>
        <w:tc>
          <w:tcPr>
            <w:tcW w:w="693"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1</w:t>
            </w:r>
          </w:p>
        </w:tc>
        <w:tc>
          <w:tcPr>
            <w:tcW w:w="1874"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Pr>
                <w:rFonts w:eastAsia="Times New Roman"/>
                <w:color w:val="000000"/>
                <w:lang w:val="en-GB" w:eastAsia="en-GB"/>
              </w:rPr>
              <w:t>u</w:t>
            </w:r>
            <w:r w:rsidRPr="00AA046F">
              <w:rPr>
                <w:rFonts w:eastAsia="Times New Roman"/>
                <w:color w:val="000000"/>
                <w:lang w:val="en-GB" w:eastAsia="en-GB"/>
              </w:rPr>
              <w:t>nfused</w:t>
            </w:r>
          </w:p>
        </w:tc>
        <w:tc>
          <w:tcPr>
            <w:tcW w:w="6915"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rPr>
                <w:rFonts w:eastAsia="Times New Roman"/>
                <w:color w:val="000000"/>
                <w:lang w:val="en-GB" w:eastAsia="en-GB"/>
              </w:rPr>
            </w:pPr>
            <w:r w:rsidRPr="00AA046F">
              <w:rPr>
                <w:rFonts w:eastAsia="Times New Roman"/>
                <w:color w:val="000000"/>
                <w:lang w:val="en-GB" w:eastAsia="en-GB"/>
              </w:rPr>
              <w:t>The epiphysis is detached and may or may not yet be ossified.</w:t>
            </w:r>
          </w:p>
        </w:tc>
      </w:tr>
      <w:tr w:rsidR="00361913" w:rsidRPr="00AA046F" w:rsidTr="00B31048">
        <w:trPr>
          <w:trHeight w:val="283"/>
          <w:jc w:val="center"/>
        </w:trPr>
        <w:tc>
          <w:tcPr>
            <w:tcW w:w="693"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2</w:t>
            </w:r>
          </w:p>
        </w:tc>
        <w:tc>
          <w:tcPr>
            <w:tcW w:w="1874"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beginning fusion</w:t>
            </w:r>
          </w:p>
        </w:tc>
        <w:tc>
          <w:tcPr>
            <w:tcW w:w="6915"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rPr>
                <w:rFonts w:eastAsia="Times New Roman"/>
                <w:color w:val="000000"/>
                <w:lang w:val="en-GB" w:eastAsia="en-GB"/>
              </w:rPr>
            </w:pPr>
            <w:r>
              <w:rPr>
                <w:rFonts w:eastAsia="Times New Roman"/>
                <w:color w:val="000000"/>
                <w:lang w:val="en-GB" w:eastAsia="en-GB"/>
              </w:rPr>
              <w:t>Bone</w:t>
            </w:r>
            <w:r w:rsidRPr="00AA046F">
              <w:rPr>
                <w:rFonts w:eastAsia="Times New Roman"/>
                <w:color w:val="000000"/>
                <w:lang w:val="en-GB" w:eastAsia="en-GB"/>
              </w:rPr>
              <w:t xml:space="preserve"> bridging is visible at the earliest stage.  Fusion does not appear to exceed more than 1/3 of the surface area of the hypertrophic zone.</w:t>
            </w:r>
          </w:p>
        </w:tc>
      </w:tr>
      <w:tr w:rsidR="00361913" w:rsidRPr="00AA046F" w:rsidTr="00B31048">
        <w:trPr>
          <w:trHeight w:val="283"/>
          <w:jc w:val="center"/>
        </w:trPr>
        <w:tc>
          <w:tcPr>
            <w:tcW w:w="693"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3</w:t>
            </w:r>
          </w:p>
        </w:tc>
        <w:tc>
          <w:tcPr>
            <w:tcW w:w="1874"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partial fusion</w:t>
            </w:r>
          </w:p>
        </w:tc>
        <w:tc>
          <w:tcPr>
            <w:tcW w:w="6915"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rPr>
                <w:rFonts w:eastAsia="Times New Roman"/>
                <w:color w:val="000000"/>
                <w:lang w:val="en-GB" w:eastAsia="en-GB"/>
              </w:rPr>
            </w:pPr>
            <w:r w:rsidRPr="00AA046F">
              <w:rPr>
                <w:rFonts w:eastAsia="Times New Roman"/>
                <w:color w:val="000000"/>
                <w:lang w:val="en-GB" w:eastAsia="en-GB"/>
              </w:rPr>
              <w:t>Fusion of the epiphysis has completed between 1/3 of the surface area of the hypertrophic zone and a near completion state with a cartilage zone not less than 2 mm in depth.</w:t>
            </w:r>
          </w:p>
        </w:tc>
      </w:tr>
      <w:tr w:rsidR="00361913" w:rsidRPr="00AA046F" w:rsidTr="00B31048">
        <w:trPr>
          <w:trHeight w:val="283"/>
          <w:jc w:val="center"/>
        </w:trPr>
        <w:tc>
          <w:tcPr>
            <w:tcW w:w="693"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4</w:t>
            </w:r>
          </w:p>
        </w:tc>
        <w:tc>
          <w:tcPr>
            <w:tcW w:w="1874"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complete fusion with scar</w:t>
            </w:r>
          </w:p>
        </w:tc>
        <w:tc>
          <w:tcPr>
            <w:tcW w:w="6915" w:type="dxa"/>
            <w:tcBorders>
              <w:top w:val="single" w:sz="4" w:space="0" w:color="auto"/>
              <w:bottom w:val="single" w:sz="4" w:space="0" w:color="auto"/>
            </w:tcBorders>
            <w:shd w:val="clear" w:color="auto" w:fill="auto"/>
            <w:noWrap/>
            <w:vAlign w:val="center"/>
            <w:hideMark/>
          </w:tcPr>
          <w:p w:rsidR="00361913" w:rsidRPr="00AA046F" w:rsidRDefault="00361913" w:rsidP="00B31048">
            <w:pPr>
              <w:spacing w:before="0" w:line="240" w:lineRule="auto"/>
              <w:rPr>
                <w:rFonts w:eastAsia="Times New Roman"/>
                <w:color w:val="000000"/>
                <w:lang w:val="en-GB" w:eastAsia="en-GB"/>
              </w:rPr>
            </w:pPr>
            <w:r w:rsidRPr="00AA046F">
              <w:rPr>
                <w:rFonts w:eastAsia="Times New Roman"/>
                <w:color w:val="000000"/>
                <w:lang w:val="en-GB" w:eastAsia="en-GB"/>
              </w:rPr>
              <w:t>There is a scar or fusion line of no greater than 2mm in depth.  Any visible remaining scar classifies the epiphysis at this stage even if there are areas of obliteration.</w:t>
            </w:r>
          </w:p>
        </w:tc>
      </w:tr>
      <w:tr w:rsidR="00361913" w:rsidRPr="00AA046F" w:rsidTr="00B31048">
        <w:trPr>
          <w:trHeight w:val="283"/>
          <w:jc w:val="center"/>
        </w:trPr>
        <w:tc>
          <w:tcPr>
            <w:tcW w:w="693" w:type="dxa"/>
            <w:tcBorders>
              <w:top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5</w:t>
            </w:r>
          </w:p>
        </w:tc>
        <w:tc>
          <w:tcPr>
            <w:tcW w:w="1874" w:type="dxa"/>
            <w:tcBorders>
              <w:top w:val="single" w:sz="4" w:space="0" w:color="auto"/>
            </w:tcBorders>
            <w:shd w:val="clear" w:color="auto" w:fill="auto"/>
            <w:noWrap/>
            <w:vAlign w:val="center"/>
            <w:hideMark/>
          </w:tcPr>
          <w:p w:rsidR="00361913" w:rsidRPr="00AA046F" w:rsidRDefault="00361913" w:rsidP="00B31048">
            <w:pPr>
              <w:spacing w:before="0" w:line="240" w:lineRule="auto"/>
              <w:jc w:val="center"/>
              <w:rPr>
                <w:rFonts w:eastAsia="Times New Roman"/>
                <w:color w:val="000000"/>
                <w:lang w:val="en-GB" w:eastAsia="en-GB"/>
              </w:rPr>
            </w:pPr>
            <w:r w:rsidRPr="00AA046F">
              <w:rPr>
                <w:rFonts w:eastAsia="Times New Roman"/>
                <w:color w:val="000000"/>
                <w:lang w:val="en-GB" w:eastAsia="en-GB"/>
              </w:rPr>
              <w:t>complete fusion with obliteration</w:t>
            </w:r>
          </w:p>
        </w:tc>
        <w:tc>
          <w:tcPr>
            <w:tcW w:w="6915" w:type="dxa"/>
            <w:tcBorders>
              <w:top w:val="single" w:sz="4" w:space="0" w:color="auto"/>
            </w:tcBorders>
            <w:shd w:val="clear" w:color="auto" w:fill="auto"/>
            <w:noWrap/>
            <w:vAlign w:val="center"/>
            <w:hideMark/>
          </w:tcPr>
          <w:p w:rsidR="00361913" w:rsidRPr="00AA046F" w:rsidRDefault="00361913" w:rsidP="00B31048">
            <w:pPr>
              <w:spacing w:before="0" w:line="240" w:lineRule="auto"/>
              <w:rPr>
                <w:rFonts w:eastAsia="Times New Roman"/>
                <w:color w:val="000000"/>
                <w:lang w:val="en-GB" w:eastAsia="en-GB"/>
              </w:rPr>
            </w:pPr>
            <w:r w:rsidRPr="00AA046F">
              <w:rPr>
                <w:rFonts w:eastAsia="Times New Roman"/>
                <w:color w:val="000000"/>
                <w:lang w:val="en-GB" w:eastAsia="en-GB"/>
              </w:rPr>
              <w:t>There is complete obliteration of the fusion scar line.  No fusion scar is visible at any point.</w:t>
            </w:r>
          </w:p>
        </w:tc>
      </w:tr>
    </w:tbl>
    <w:p w:rsidR="00361913" w:rsidRDefault="00361913" w:rsidP="00925C4D">
      <w:pPr>
        <w:tabs>
          <w:tab w:val="left" w:pos="360"/>
        </w:tabs>
        <w:spacing w:line="240" w:lineRule="auto"/>
        <w:jc w:val="center"/>
        <w:rPr>
          <w:noProof/>
        </w:rPr>
      </w:pPr>
      <w:r>
        <w:rPr>
          <w:noProof/>
          <w:lang w:val="en-GB" w:eastAsia="en-GB"/>
        </w:rPr>
        <w:lastRenderedPageBreak/>
        <w:drawing>
          <wp:inline distT="0" distB="0" distL="0" distR="0" wp14:anchorId="489F3E56" wp14:editId="20275152">
            <wp:extent cx="6027432" cy="302876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5202" cy="3032665"/>
                    </a:xfrm>
                    <a:prstGeom prst="rect">
                      <a:avLst/>
                    </a:prstGeom>
                    <a:noFill/>
                    <a:ln>
                      <a:noFill/>
                    </a:ln>
                  </pic:spPr>
                </pic:pic>
              </a:graphicData>
            </a:graphic>
          </wp:inline>
        </w:drawing>
      </w:r>
    </w:p>
    <w:p w:rsidR="00361913" w:rsidRDefault="00A47CD2" w:rsidP="00A47CD2">
      <w:pPr>
        <w:pStyle w:val="Caption"/>
      </w:pPr>
      <w:bookmarkStart w:id="146" w:name="_Toc373147454"/>
      <w:proofErr w:type="gramStart"/>
      <w:r w:rsidRPr="00A47CD2">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7</w:t>
      </w:r>
      <w:r w:rsidR="008943E4">
        <w:rPr>
          <w:b/>
        </w:rPr>
        <w:fldChar w:fldCharType="end"/>
      </w:r>
      <w:r w:rsidR="00A42C93">
        <w:t xml:space="preserve"> </w:t>
      </w:r>
      <w:r w:rsidR="00C10FED">
        <w:t>Visual demonstration of epiphyseal fusion stages.</w:t>
      </w:r>
      <w:bookmarkEnd w:id="146"/>
    </w:p>
    <w:p w:rsidR="00361913" w:rsidRDefault="00361913" w:rsidP="00207617">
      <w:pPr>
        <w:rPr>
          <w:noProof/>
        </w:rPr>
      </w:pPr>
      <w:r>
        <w:rPr>
          <w:noProof/>
        </w:rPr>
        <w:t xml:space="preserve">It should be noted that that the fused area was not directly measured for stages 2 and 3, where </w:t>
      </w:r>
      <w:r w:rsidR="003662F0">
        <w:rPr>
          <w:noProof/>
        </w:rPr>
        <w:t>a fractional ratio</w:t>
      </w:r>
      <w:r>
        <w:rPr>
          <w:noProof/>
        </w:rPr>
        <w:t xml:space="preserve"> of hypertrophic area</w:t>
      </w:r>
      <w:r w:rsidR="003662F0">
        <w:rPr>
          <w:noProof/>
        </w:rPr>
        <w:t xml:space="preserve"> is </w:t>
      </w:r>
      <w:r w:rsidR="00146FB9">
        <w:rPr>
          <w:noProof/>
        </w:rPr>
        <w:t>referred to</w:t>
      </w:r>
      <w:r>
        <w:rPr>
          <w:noProof/>
        </w:rPr>
        <w:t>.  It would have been</w:t>
      </w:r>
      <w:r w:rsidR="00990661">
        <w:rPr>
          <w:noProof/>
        </w:rPr>
        <w:t xml:space="preserve"> neither</w:t>
      </w:r>
      <w:r>
        <w:rPr>
          <w:noProof/>
        </w:rPr>
        <w:t xml:space="preserve"> possible nor practical to find a means to exactly quantify this relationship for a large sample.  Visual estimation was deemed sufficient.  The error analysis in section </w:t>
      </w:r>
      <w:r w:rsidR="00CB3DEB">
        <w:rPr>
          <w:noProof/>
        </w:rPr>
        <w:t>3.4.5</w:t>
      </w:r>
      <w:r>
        <w:rPr>
          <w:noProof/>
        </w:rPr>
        <w:t xml:space="preserve"> suggests t</w:t>
      </w:r>
      <w:r w:rsidR="0064644E">
        <w:rPr>
          <w:noProof/>
        </w:rPr>
        <w:t xml:space="preserve">hat this type of assessment is </w:t>
      </w:r>
      <w:r>
        <w:rPr>
          <w:noProof/>
        </w:rPr>
        <w:t>consistent irrespective of the knowledge of exact areas.  This is due to the fact that these ratios were chosen based on very visually distinct phases.  Epiphyseal fusion is a continuous process, and these stages are meant to provide basic parameter</w:t>
      </w:r>
      <w:r w:rsidR="00B566D3">
        <w:rPr>
          <w:noProof/>
        </w:rPr>
        <w:t>s</w:t>
      </w:r>
      <w:r>
        <w:rPr>
          <w:noProof/>
        </w:rPr>
        <w:t xml:space="preserve"> used for the estimation of beginning fusion, partial fusion, and fusion with remaining scar.</w:t>
      </w:r>
    </w:p>
    <w:p w:rsidR="00361913" w:rsidRDefault="00361913" w:rsidP="00207617">
      <w:pPr>
        <w:rPr>
          <w:noProof/>
        </w:rPr>
      </w:pPr>
      <w:r>
        <w:rPr>
          <w:noProof/>
        </w:rPr>
        <w:t>There are two main problems encountered in the observation of epiphyseal closure.  The first is a consequence of the curation process and</w:t>
      </w:r>
      <w:r w:rsidR="00A1400B">
        <w:rPr>
          <w:noProof/>
        </w:rPr>
        <w:t xml:space="preserve"> this</w:t>
      </w:r>
      <w:r>
        <w:rPr>
          <w:noProof/>
        </w:rPr>
        <w:t xml:space="preserve"> is the practice of gluing epiphyses to the diaphysis.  </w:t>
      </w:r>
      <w:r w:rsidR="00BE3F07">
        <w:rPr>
          <w:noProof/>
        </w:rPr>
        <w:t>Alt</w:t>
      </w:r>
      <w:r>
        <w:rPr>
          <w:noProof/>
        </w:rPr>
        <w:t xml:space="preserve">hough this is not acceptable for modern collections, </w:t>
      </w:r>
      <w:r w:rsidR="00875F5C">
        <w:rPr>
          <w:noProof/>
        </w:rPr>
        <w:t xml:space="preserve">it </w:t>
      </w:r>
      <w:r>
        <w:rPr>
          <w:noProof/>
        </w:rPr>
        <w:t xml:space="preserve">was quite common in the early to mid-twentieth century when these collections were developed.  This practice appeared frequently in the </w:t>
      </w:r>
      <w:r w:rsidR="00A16DE2">
        <w:rPr>
          <w:noProof/>
        </w:rPr>
        <w:t>Adolph Schultz</w:t>
      </w:r>
      <w:r>
        <w:rPr>
          <w:noProof/>
        </w:rPr>
        <w:t xml:space="preserve"> and the </w:t>
      </w:r>
      <w:r w:rsidR="00A16DE2">
        <w:rPr>
          <w:noProof/>
        </w:rPr>
        <w:t xml:space="preserve">Museum of Central Africa </w:t>
      </w:r>
      <w:r>
        <w:rPr>
          <w:noProof/>
        </w:rPr>
        <w:t xml:space="preserve">collections.  Confident detection of early fusion was assigned when a bone bridge was visible between the epiphysis and the diaphysis, but if an epiphysis was attached and no bone bridge was visible, a number of steps were taken to try and rule out the presence of glue.  </w:t>
      </w:r>
      <w:r w:rsidRPr="00B86126">
        <w:rPr>
          <w:noProof/>
        </w:rPr>
        <w:t xml:space="preserve">When glue was clearly extruded from the edge of the hypertrophic zone, a confident assessment of unfused could be made.  This was the most common case observed. </w:t>
      </w:r>
      <w:r w:rsidR="00757D0B">
        <w:rPr>
          <w:noProof/>
        </w:rPr>
        <w:t xml:space="preserve"> </w:t>
      </w:r>
      <w:r w:rsidRPr="00B86126">
        <w:rPr>
          <w:noProof/>
        </w:rPr>
        <w:t>Occasionally glue was not obviously extruded and could only be detected by</w:t>
      </w:r>
      <w:r>
        <w:rPr>
          <w:noProof/>
        </w:rPr>
        <w:t xml:space="preserve"> inspection of</w:t>
      </w:r>
      <w:r w:rsidRPr="00B86126">
        <w:rPr>
          <w:noProof/>
        </w:rPr>
        <w:t xml:space="preserve"> the hypertrophic zone.</w:t>
      </w:r>
    </w:p>
    <w:p w:rsidR="002F5744" w:rsidRDefault="00875F5C" w:rsidP="00207617">
      <w:pPr>
        <w:rPr>
          <w:noProof/>
        </w:rPr>
      </w:pPr>
      <w:r>
        <w:rPr>
          <w:noProof/>
        </w:rPr>
        <w:lastRenderedPageBreak/>
        <w:t>I</w:t>
      </w:r>
      <w:r w:rsidR="00361913">
        <w:rPr>
          <w:noProof/>
        </w:rPr>
        <w:t>n some instances</w:t>
      </w:r>
      <w:r w:rsidR="00361913" w:rsidRPr="00B86126">
        <w:rPr>
          <w:noProof/>
        </w:rPr>
        <w:t xml:space="preserve"> glue was ‘suspected’ but could not be seen and no bone bridges were visible.  This scenario happened </w:t>
      </w:r>
      <w:r w:rsidR="00361913">
        <w:rPr>
          <w:noProof/>
        </w:rPr>
        <w:t>typically</w:t>
      </w:r>
      <w:r w:rsidR="00361913" w:rsidRPr="00B86126">
        <w:rPr>
          <w:noProof/>
        </w:rPr>
        <w:t xml:space="preserve"> with large long-bone epiphyses such as the proximal humerus and the distal femur.  The reason the term ‘suspected’ is used in this case is due to the unusual nature of fusion, if fusion had </w:t>
      </w:r>
      <w:r w:rsidR="00C37A29">
        <w:rPr>
          <w:noProof/>
        </w:rPr>
        <w:t xml:space="preserve">actually </w:t>
      </w:r>
      <w:r w:rsidR="00361913" w:rsidRPr="00B86126">
        <w:rPr>
          <w:noProof/>
        </w:rPr>
        <w:t xml:space="preserve">occurred. </w:t>
      </w:r>
      <w:r w:rsidR="00361913">
        <w:rPr>
          <w:noProof/>
        </w:rPr>
        <w:t>When epiphyses ar</w:t>
      </w:r>
      <w:r w:rsidR="00A27E30">
        <w:rPr>
          <w:noProof/>
        </w:rPr>
        <w:t xml:space="preserve">e unfused there is a carilagenous complex </w:t>
      </w:r>
      <w:r w:rsidR="00361913">
        <w:rPr>
          <w:noProof/>
        </w:rPr>
        <w:t xml:space="preserve">that makes up the </w:t>
      </w:r>
      <w:r w:rsidR="00A27E30">
        <w:rPr>
          <w:noProof/>
        </w:rPr>
        <w:t>gap between the ends of the diaphysis and the epiphysis when bones are de-fleshed.  This gap decreases in height with age and is typically 2-3</w:t>
      </w:r>
      <w:r w:rsidR="00361913">
        <w:rPr>
          <w:noProof/>
        </w:rPr>
        <w:t xml:space="preserve">mm </w:t>
      </w:r>
      <w:r w:rsidR="002F5744">
        <w:rPr>
          <w:noProof/>
        </w:rPr>
        <w:t xml:space="preserve">in thickness </w:t>
      </w:r>
      <w:r w:rsidR="00A27E30">
        <w:rPr>
          <w:noProof/>
        </w:rPr>
        <w:t xml:space="preserve">for long-bones in humans </w:t>
      </w:r>
      <w:r w:rsidR="00986766">
        <w:rPr>
          <w:noProof/>
        </w:rPr>
        <w:t xml:space="preserve">just prior to fusion </w:t>
      </w:r>
      <w:r w:rsidR="002F5744">
        <w:rPr>
          <w:noProof/>
        </w:rPr>
        <w:t xml:space="preserve">(see analysis by Byers </w:t>
      </w:r>
      <w:r w:rsidR="002F5744">
        <w:rPr>
          <w:i/>
          <w:noProof/>
        </w:rPr>
        <w:t>et al</w:t>
      </w:r>
      <w:r w:rsidR="002F5744">
        <w:rPr>
          <w:noProof/>
        </w:rPr>
        <w:t xml:space="preserve">. 2000).  </w:t>
      </w:r>
      <w:r w:rsidR="00593F8A">
        <w:rPr>
          <w:noProof/>
        </w:rPr>
        <w:t xml:space="preserve">When fusion initiates, the closing of the gap begins in the centre and progresses outwards towards the sides (Scheuer and Black 2004), thus leaving a well-defined space at the sides.  </w:t>
      </w:r>
      <w:r w:rsidR="009D0FD3">
        <w:rPr>
          <w:noProof/>
        </w:rPr>
        <w:t>These gaps are present in all mammals</w:t>
      </w:r>
      <w:r w:rsidR="009278B3">
        <w:rPr>
          <w:noProof/>
        </w:rPr>
        <w:t>.  I</w:t>
      </w:r>
      <w:r w:rsidR="009D0FD3">
        <w:rPr>
          <w:noProof/>
        </w:rPr>
        <w:t xml:space="preserve">t </w:t>
      </w:r>
      <w:r w:rsidR="00E870D2">
        <w:rPr>
          <w:noProof/>
        </w:rPr>
        <w:t>was</w:t>
      </w:r>
      <w:r w:rsidR="009D0FD3">
        <w:rPr>
          <w:noProof/>
        </w:rPr>
        <w:t xml:space="preserve"> observed </w:t>
      </w:r>
      <w:r w:rsidR="00E870D2">
        <w:rPr>
          <w:noProof/>
        </w:rPr>
        <w:t xml:space="preserve">in data collection for this study </w:t>
      </w:r>
      <w:r w:rsidR="009278B3">
        <w:rPr>
          <w:noProof/>
        </w:rPr>
        <w:t xml:space="preserve">that </w:t>
      </w:r>
      <w:r w:rsidR="009D0FD3">
        <w:rPr>
          <w:noProof/>
        </w:rPr>
        <w:t xml:space="preserve">epiphyses in mid-fusion states </w:t>
      </w:r>
      <w:r w:rsidR="009278B3">
        <w:rPr>
          <w:noProof/>
        </w:rPr>
        <w:t xml:space="preserve">for </w:t>
      </w:r>
      <w:r w:rsidR="009D0FD3">
        <w:rPr>
          <w:noProof/>
        </w:rPr>
        <w:t xml:space="preserve">chimpanzees and bonobos </w:t>
      </w:r>
      <w:r w:rsidR="00E870D2">
        <w:rPr>
          <w:noProof/>
        </w:rPr>
        <w:t>appear to have gaps consistent with humans in terms of height</w:t>
      </w:r>
      <w:r w:rsidR="00DA02F8">
        <w:rPr>
          <w:noProof/>
        </w:rPr>
        <w:t xml:space="preserve">.  </w:t>
      </w:r>
      <w:r w:rsidR="00361913">
        <w:rPr>
          <w:noProof/>
        </w:rPr>
        <w:t xml:space="preserve">When bone bridges </w:t>
      </w:r>
      <w:r w:rsidR="009B102C">
        <w:rPr>
          <w:noProof/>
        </w:rPr>
        <w:t xml:space="preserve">are beginning to </w:t>
      </w:r>
      <w:r w:rsidR="00361913">
        <w:rPr>
          <w:noProof/>
        </w:rPr>
        <w:t>appear between the epiphysis and the diaphysis</w:t>
      </w:r>
      <w:r w:rsidR="009B102C">
        <w:rPr>
          <w:noProof/>
        </w:rPr>
        <w:t xml:space="preserve"> at the point that the animal has died</w:t>
      </w:r>
      <w:r w:rsidR="00361913">
        <w:rPr>
          <w:noProof/>
        </w:rPr>
        <w:t>, the epiphysis is locked in place by the bone bridges and that gap of 2</w:t>
      </w:r>
      <w:r w:rsidR="009278B3">
        <w:rPr>
          <w:noProof/>
        </w:rPr>
        <w:t>-3</w:t>
      </w:r>
      <w:r w:rsidR="00361913">
        <w:rPr>
          <w:noProof/>
        </w:rPr>
        <w:t>mm remains</w:t>
      </w:r>
      <w:r w:rsidR="00C557F3">
        <w:rPr>
          <w:noProof/>
        </w:rPr>
        <w:t xml:space="preserve"> at the edges</w:t>
      </w:r>
      <w:r w:rsidR="00361913">
        <w:rPr>
          <w:noProof/>
        </w:rPr>
        <w:t xml:space="preserve"> despite the dissapearance of the cartilage.  When an unfused epiphysis is glued th</w:t>
      </w:r>
      <w:r w:rsidR="005C5030">
        <w:rPr>
          <w:noProof/>
        </w:rPr>
        <w:t>e</w:t>
      </w:r>
      <w:r w:rsidR="00361913">
        <w:rPr>
          <w:noProof/>
        </w:rPr>
        <w:t xml:space="preserve"> gap is closed and the epiphysis forms an unusually ‘tight fit’ to the diaphysis.  In the event that there was reasonable grounds to suggest that this was the case a designation of ‘unfused’ was assigned.  This problem was also mitigated somewhat by the practice of taking bilateral measurements, although often if one side was fused then the other was also fused.</w:t>
      </w:r>
    </w:p>
    <w:p w:rsidR="00125847" w:rsidRDefault="00B46694" w:rsidP="00125847">
      <w:pPr>
        <w:tabs>
          <w:tab w:val="left" w:pos="360"/>
        </w:tabs>
        <w:spacing w:line="240" w:lineRule="auto"/>
        <w:rPr>
          <w:noProof/>
        </w:rPr>
      </w:pPr>
      <w:r>
        <w:rPr>
          <w:noProof/>
          <w:lang w:val="en-GB" w:eastAsia="en-GB"/>
        </w:rPr>
        <w:drawing>
          <wp:inline distT="0" distB="0" distL="0" distR="0" wp14:anchorId="1F6775BB" wp14:editId="5F1C5096">
            <wp:extent cx="5934075" cy="30384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p w:rsidR="00207617" w:rsidRDefault="00A47CD2" w:rsidP="00A47CD2">
      <w:pPr>
        <w:pStyle w:val="Caption"/>
      </w:pPr>
      <w:bookmarkStart w:id="147" w:name="_Toc373147455"/>
      <w:proofErr w:type="gramStart"/>
      <w:r w:rsidRPr="00A47CD2">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8</w:t>
      </w:r>
      <w:r w:rsidR="008943E4">
        <w:rPr>
          <w:b/>
        </w:rPr>
        <w:fldChar w:fldCharType="end"/>
      </w:r>
      <w:r w:rsidR="00A42C93">
        <w:t xml:space="preserve">  </w:t>
      </w:r>
      <w:r w:rsidR="00207617">
        <w:t>Demonstration of glued epiphysis.</w:t>
      </w:r>
      <w:bookmarkEnd w:id="147"/>
    </w:p>
    <w:p w:rsidR="00B64A4E" w:rsidRDefault="00B64A4E">
      <w:pPr>
        <w:spacing w:before="0" w:after="200" w:line="276" w:lineRule="auto"/>
        <w:jc w:val="left"/>
        <w:rPr>
          <w:noProof/>
        </w:rPr>
      </w:pPr>
      <w:r>
        <w:rPr>
          <w:noProof/>
        </w:rPr>
        <w:br w:type="page"/>
      </w:r>
    </w:p>
    <w:p w:rsidR="002D742C" w:rsidRPr="009722DE" w:rsidRDefault="00361913" w:rsidP="009722DE">
      <w:pPr>
        <w:rPr>
          <w:noProof/>
        </w:rPr>
      </w:pPr>
      <w:r>
        <w:rPr>
          <w:noProof/>
        </w:rPr>
        <w:lastRenderedPageBreak/>
        <w:t>For some individuals</w:t>
      </w:r>
      <w:r w:rsidR="00125847">
        <w:rPr>
          <w:noProof/>
        </w:rPr>
        <w:t>,</w:t>
      </w:r>
      <w:r>
        <w:rPr>
          <w:noProof/>
        </w:rPr>
        <w:t xml:space="preserve"> the bones had not been properly cleaned and a dried cartilage remained.  This cartilage could have the effect of ‘glueing’ an epiphysis to the diaphysis, as it had in life.  </w:t>
      </w:r>
      <w:r w:rsidR="001A0A5C">
        <w:rPr>
          <w:noProof/>
        </w:rPr>
        <w:t>Dried cartilage</w:t>
      </w:r>
      <w:r w:rsidR="00E04045">
        <w:rPr>
          <w:noProof/>
        </w:rPr>
        <w:t xml:space="preserve"> is</w:t>
      </w:r>
      <w:r w:rsidR="001A0A5C">
        <w:rPr>
          <w:noProof/>
        </w:rPr>
        <w:t xml:space="preserve"> </w:t>
      </w:r>
      <w:r w:rsidR="00E04045">
        <w:rPr>
          <w:noProof/>
        </w:rPr>
        <w:t>semi-</w:t>
      </w:r>
      <w:r w:rsidR="001A0A5C">
        <w:rPr>
          <w:noProof/>
        </w:rPr>
        <w:t>transparent</w:t>
      </w:r>
      <w:r w:rsidR="00E04045">
        <w:rPr>
          <w:noProof/>
        </w:rPr>
        <w:t xml:space="preserve"> and a</w:t>
      </w:r>
      <w:r w:rsidR="001A0A5C">
        <w:rPr>
          <w:noProof/>
        </w:rPr>
        <w:t>n a</w:t>
      </w:r>
      <w:r>
        <w:rPr>
          <w:noProof/>
        </w:rPr>
        <w:t>ttempt was made to</w:t>
      </w:r>
      <w:r w:rsidR="001A0A5C">
        <w:rPr>
          <w:noProof/>
        </w:rPr>
        <w:t xml:space="preserve"> </w:t>
      </w:r>
      <w:r>
        <w:rPr>
          <w:noProof/>
        </w:rPr>
        <w:t>‘see into’ the cartilage on these individuals</w:t>
      </w:r>
      <w:r w:rsidR="00A64608">
        <w:rPr>
          <w:noProof/>
        </w:rPr>
        <w:t xml:space="preserve"> to observe if bone briding was occuring</w:t>
      </w:r>
      <w:r>
        <w:rPr>
          <w:noProof/>
        </w:rPr>
        <w:t xml:space="preserve">.  If an assessment could not be made, a score was not recorded and the site was reported as being obscured by cartilage. This issue was not as problematic </w:t>
      </w:r>
      <w:r w:rsidR="000476DE">
        <w:rPr>
          <w:noProof/>
        </w:rPr>
        <w:t xml:space="preserve">for projecting fusion timing </w:t>
      </w:r>
      <w:r>
        <w:rPr>
          <w:noProof/>
        </w:rPr>
        <w:t>as might be expected due to the tendency for the individuals with remaining cartilage to be very young and not</w:t>
      </w:r>
      <w:r w:rsidR="002D742C">
        <w:rPr>
          <w:noProof/>
        </w:rPr>
        <w:t xml:space="preserve"> of an age when epiphyses begin</w:t>
      </w:r>
      <w:r>
        <w:rPr>
          <w:noProof/>
        </w:rPr>
        <w:t xml:space="preserve"> fusing.  It is quite possible that the cartilage was left as a means of keeping the epiphyses in place while in older individuals this was less of a concern.  The issue affected not more than 10% of individuals, most of which were found at the Museum of Central Africa.</w:t>
      </w:r>
    </w:p>
    <w:p w:rsidR="00361913" w:rsidRDefault="00E30833" w:rsidP="00D263E8">
      <w:pPr>
        <w:pStyle w:val="Heading3"/>
      </w:pPr>
      <w:bookmarkStart w:id="148" w:name="_Toc373477764"/>
      <w:bookmarkStart w:id="149" w:name="_Toc373480762"/>
      <w:r>
        <w:t>Long-bone</w:t>
      </w:r>
      <w:r w:rsidR="00361913">
        <w:t xml:space="preserve"> measurements</w:t>
      </w:r>
      <w:bookmarkEnd w:id="148"/>
      <w:bookmarkEnd w:id="149"/>
    </w:p>
    <w:p w:rsidR="00361913" w:rsidRDefault="00361913" w:rsidP="009722DE">
      <w:pPr>
        <w:rPr>
          <w:noProof/>
        </w:rPr>
      </w:pPr>
      <w:r>
        <w:rPr>
          <w:noProof/>
        </w:rPr>
        <w:t xml:space="preserve">Similarly to </w:t>
      </w:r>
      <w:r w:rsidR="00DC60AE">
        <w:rPr>
          <w:noProof/>
        </w:rPr>
        <w:t>the study of long-bone length in</w:t>
      </w:r>
      <w:r>
        <w:rPr>
          <w:noProof/>
        </w:rPr>
        <w:t xml:space="preserve"> humans, the orientation of the bone </w:t>
      </w:r>
      <w:r w:rsidR="001C17E3">
        <w:rPr>
          <w:noProof/>
        </w:rPr>
        <w:t xml:space="preserve">had to </w:t>
      </w:r>
      <w:r>
        <w:rPr>
          <w:noProof/>
        </w:rPr>
        <w:t>be standardised</w:t>
      </w:r>
      <w:r w:rsidR="00F24CFC">
        <w:rPr>
          <w:noProof/>
        </w:rPr>
        <w:t>.  T</w:t>
      </w:r>
      <w:r>
        <w:rPr>
          <w:noProof/>
        </w:rPr>
        <w:t>he description of the orientations used in this s</w:t>
      </w:r>
      <w:r w:rsidR="00AC757C">
        <w:rPr>
          <w:noProof/>
        </w:rPr>
        <w:t xml:space="preserve">tudy are presented in </w:t>
      </w:r>
      <w:r w:rsidR="00A17646">
        <w:rPr>
          <w:noProof/>
        </w:rPr>
        <w:t>T</w:t>
      </w:r>
      <w:r w:rsidR="00AC757C">
        <w:rPr>
          <w:noProof/>
        </w:rPr>
        <w:t>able 3.11</w:t>
      </w:r>
      <w:r>
        <w:rPr>
          <w:noProof/>
        </w:rPr>
        <w:t>.  M</w:t>
      </w:r>
      <w:r w:rsidRPr="008B0EA4">
        <w:rPr>
          <w:noProof/>
        </w:rPr>
        <w:t>easurements w</w:t>
      </w:r>
      <w:r>
        <w:rPr>
          <w:noProof/>
        </w:rPr>
        <w:t>ere</w:t>
      </w:r>
      <w:r w:rsidRPr="008B0EA4">
        <w:rPr>
          <w:noProof/>
        </w:rPr>
        <w:t xml:space="preserve"> taken for </w:t>
      </w:r>
      <w:r>
        <w:rPr>
          <w:noProof/>
        </w:rPr>
        <w:t xml:space="preserve">all </w:t>
      </w:r>
      <w:r w:rsidRPr="008B0EA4">
        <w:rPr>
          <w:noProof/>
        </w:rPr>
        <w:t>long bones (hume</w:t>
      </w:r>
      <w:r w:rsidR="00984ABB">
        <w:rPr>
          <w:noProof/>
        </w:rPr>
        <w:t>rus, radius, ulna, femur, tibia</w:t>
      </w:r>
      <w:r w:rsidRPr="008B0EA4">
        <w:rPr>
          <w:noProof/>
        </w:rPr>
        <w:t xml:space="preserve"> and fibula)</w:t>
      </w:r>
      <w:r>
        <w:rPr>
          <w:noProof/>
        </w:rPr>
        <w:t xml:space="preserve"> using an osteometric board.</w:t>
      </w:r>
      <w:r w:rsidR="000E2247">
        <w:rPr>
          <w:noProof/>
        </w:rPr>
        <w:t xml:space="preserve">  The axis of all long bones was taken be a straight line directly through the main shaft of each bone.  The radius and ulna in chimpanzees and bonobos are more curved than in humans due to more substantive forearm musculature and this had to be accounted for in measurements.  An example of the axis of measure being projected through the radius is presented in Figure 3.9.</w:t>
      </w:r>
    </w:p>
    <w:p w:rsidR="00361913" w:rsidRDefault="00A47CD2" w:rsidP="00A47CD2">
      <w:pPr>
        <w:pStyle w:val="Caption"/>
      </w:pPr>
      <w:bookmarkStart w:id="150" w:name="_Toc373180123"/>
      <w:proofErr w:type="gramStart"/>
      <w:r w:rsidRPr="00A47CD2">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11</w:t>
      </w:r>
      <w:r w:rsidR="008943E4">
        <w:rPr>
          <w:b/>
        </w:rPr>
        <w:fldChar w:fldCharType="end"/>
      </w:r>
      <w:r w:rsidR="00A42C93">
        <w:rPr>
          <w:b/>
        </w:rPr>
        <w:t xml:space="preserve"> </w:t>
      </w:r>
      <w:r>
        <w:t xml:space="preserve"> </w:t>
      </w:r>
      <w:r w:rsidR="00361913">
        <w:t xml:space="preserve">Description of bone orientation for </w:t>
      </w:r>
      <w:r w:rsidR="0060548D">
        <w:t>length</w:t>
      </w:r>
      <w:r w:rsidR="00361913">
        <w:t xml:space="preserve"> measurements</w:t>
      </w:r>
      <w:bookmarkEnd w:id="150"/>
    </w:p>
    <w:tbl>
      <w:tblPr>
        <w:tblW w:w="9366" w:type="dxa"/>
        <w:jc w:val="center"/>
        <w:tblInd w:w="210" w:type="dxa"/>
        <w:tblBorders>
          <w:top w:val="single" w:sz="4" w:space="0" w:color="auto"/>
          <w:bottom w:val="single" w:sz="4" w:space="0" w:color="auto"/>
        </w:tblBorders>
        <w:tblLook w:val="04A0" w:firstRow="1" w:lastRow="0" w:firstColumn="1" w:lastColumn="0" w:noHBand="0" w:noVBand="1"/>
      </w:tblPr>
      <w:tblGrid>
        <w:gridCol w:w="1032"/>
        <w:gridCol w:w="8334"/>
      </w:tblGrid>
      <w:tr w:rsidR="00361913" w:rsidRPr="002322E1" w:rsidTr="005804F5">
        <w:trPr>
          <w:trHeight w:val="315"/>
          <w:jc w:val="center"/>
        </w:trPr>
        <w:tc>
          <w:tcPr>
            <w:tcW w:w="1032" w:type="dxa"/>
            <w:tcBorders>
              <w:top w:val="single" w:sz="4" w:space="0" w:color="auto"/>
              <w:bottom w:val="single" w:sz="4" w:space="0" w:color="auto"/>
            </w:tcBorders>
            <w:shd w:val="clear" w:color="auto" w:fill="auto"/>
            <w:noWrap/>
            <w:vAlign w:val="center"/>
            <w:hideMark/>
          </w:tcPr>
          <w:p w:rsidR="00361913" w:rsidRPr="002322E1" w:rsidRDefault="008F42E1" w:rsidP="008F42E1">
            <w:pPr>
              <w:spacing w:before="0" w:line="240" w:lineRule="auto"/>
              <w:jc w:val="center"/>
              <w:rPr>
                <w:rFonts w:eastAsia="Times New Roman"/>
                <w:b/>
                <w:bCs/>
                <w:color w:val="000000"/>
                <w:lang w:val="en-GB" w:eastAsia="en-GB"/>
              </w:rPr>
            </w:pPr>
            <w:r>
              <w:rPr>
                <w:rFonts w:eastAsia="Times New Roman"/>
                <w:b/>
                <w:bCs/>
                <w:color w:val="000000"/>
                <w:lang w:val="en-GB" w:eastAsia="en-GB"/>
              </w:rPr>
              <w:t>b</w:t>
            </w:r>
            <w:r w:rsidR="00361913" w:rsidRPr="002322E1">
              <w:rPr>
                <w:rFonts w:eastAsia="Times New Roman"/>
                <w:b/>
                <w:bCs/>
                <w:color w:val="000000"/>
                <w:lang w:val="en-GB" w:eastAsia="en-GB"/>
              </w:rPr>
              <w:t>one</w:t>
            </w:r>
          </w:p>
        </w:tc>
        <w:tc>
          <w:tcPr>
            <w:tcW w:w="8334" w:type="dxa"/>
            <w:tcBorders>
              <w:top w:val="single" w:sz="4" w:space="0" w:color="auto"/>
              <w:bottom w:val="single" w:sz="4" w:space="0" w:color="auto"/>
            </w:tcBorders>
            <w:shd w:val="clear" w:color="auto" w:fill="auto"/>
            <w:noWrap/>
            <w:vAlign w:val="center"/>
            <w:hideMark/>
          </w:tcPr>
          <w:p w:rsidR="00361913" w:rsidRPr="002322E1" w:rsidRDefault="008F42E1" w:rsidP="008F42E1">
            <w:pPr>
              <w:spacing w:before="0" w:line="240" w:lineRule="auto"/>
              <w:jc w:val="center"/>
              <w:rPr>
                <w:rFonts w:eastAsia="Times New Roman"/>
                <w:b/>
                <w:bCs/>
                <w:color w:val="000000"/>
                <w:lang w:val="en-GB" w:eastAsia="en-GB"/>
              </w:rPr>
            </w:pPr>
            <w:r>
              <w:rPr>
                <w:rFonts w:eastAsia="Times New Roman"/>
                <w:b/>
                <w:bCs/>
                <w:color w:val="000000"/>
                <w:lang w:val="en-GB" w:eastAsia="en-GB"/>
              </w:rPr>
              <w:t>o</w:t>
            </w:r>
            <w:r w:rsidR="00361913" w:rsidRPr="002322E1">
              <w:rPr>
                <w:rFonts w:eastAsia="Times New Roman"/>
                <w:b/>
                <w:bCs/>
                <w:color w:val="000000"/>
                <w:lang w:val="en-GB" w:eastAsia="en-GB"/>
              </w:rPr>
              <w:t>rientation</w:t>
            </w:r>
          </w:p>
        </w:tc>
      </w:tr>
      <w:tr w:rsidR="00361913" w:rsidRPr="002322E1" w:rsidTr="005804F5">
        <w:trPr>
          <w:trHeight w:val="315"/>
          <w:jc w:val="center"/>
        </w:trPr>
        <w:tc>
          <w:tcPr>
            <w:tcW w:w="1032" w:type="dxa"/>
            <w:tcBorders>
              <w:top w:val="single" w:sz="4" w:space="0" w:color="auto"/>
              <w:bottom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Pr>
                <w:rFonts w:eastAsia="Times New Roman"/>
                <w:color w:val="000000"/>
                <w:lang w:val="en-GB" w:eastAsia="en-GB"/>
              </w:rPr>
              <w:t>h</w:t>
            </w:r>
            <w:r w:rsidRPr="002322E1">
              <w:rPr>
                <w:rFonts w:eastAsia="Times New Roman"/>
                <w:color w:val="000000"/>
                <w:lang w:val="en-GB" w:eastAsia="en-GB"/>
              </w:rPr>
              <w:t>umerus</w:t>
            </w:r>
          </w:p>
        </w:tc>
        <w:tc>
          <w:tcPr>
            <w:tcW w:w="8334" w:type="dxa"/>
            <w:tcBorders>
              <w:top w:val="single" w:sz="4" w:space="0" w:color="auto"/>
              <w:bottom w:val="single" w:sz="4" w:space="0" w:color="auto"/>
            </w:tcBorders>
            <w:shd w:val="clear" w:color="auto" w:fill="auto"/>
            <w:noWrap/>
            <w:vAlign w:val="center"/>
            <w:hideMark/>
          </w:tcPr>
          <w:p w:rsidR="00361913" w:rsidRPr="002322E1" w:rsidRDefault="00361913" w:rsidP="008F42E1">
            <w:pPr>
              <w:spacing w:before="0" w:line="240" w:lineRule="auto"/>
              <w:jc w:val="left"/>
              <w:rPr>
                <w:rFonts w:eastAsia="Times New Roman"/>
                <w:color w:val="000000"/>
                <w:lang w:val="en-GB" w:eastAsia="en-GB"/>
              </w:rPr>
            </w:pPr>
            <w:proofErr w:type="gramStart"/>
            <w:r w:rsidRPr="002322E1">
              <w:rPr>
                <w:rFonts w:eastAsia="Times New Roman"/>
                <w:color w:val="000000"/>
                <w:lang w:val="en-GB" w:eastAsia="en-GB"/>
              </w:rPr>
              <w:t>bone</w:t>
            </w:r>
            <w:proofErr w:type="gramEnd"/>
            <w:r w:rsidRPr="002322E1">
              <w:rPr>
                <w:rFonts w:eastAsia="Times New Roman"/>
                <w:color w:val="000000"/>
                <w:lang w:val="en-GB" w:eastAsia="en-GB"/>
              </w:rPr>
              <w:t xml:space="preserve"> is positioned with the posterior surface on the board.</w:t>
            </w:r>
          </w:p>
        </w:tc>
      </w:tr>
      <w:tr w:rsidR="00361913" w:rsidRPr="002322E1" w:rsidTr="005804F5">
        <w:trPr>
          <w:trHeight w:val="300"/>
          <w:jc w:val="center"/>
        </w:trPr>
        <w:tc>
          <w:tcPr>
            <w:tcW w:w="1032" w:type="dxa"/>
            <w:tcBorders>
              <w:top w:val="single" w:sz="4" w:space="0" w:color="auto"/>
              <w:bottom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r</w:t>
            </w:r>
            <w:r w:rsidRPr="002322E1">
              <w:rPr>
                <w:rFonts w:eastAsia="Times New Roman"/>
                <w:color w:val="000000"/>
                <w:lang w:val="en-GB" w:eastAsia="en-GB"/>
              </w:rPr>
              <w:t>adius</w:t>
            </w:r>
          </w:p>
        </w:tc>
        <w:tc>
          <w:tcPr>
            <w:tcW w:w="8334" w:type="dxa"/>
            <w:tcBorders>
              <w:top w:val="single" w:sz="4" w:space="0" w:color="auto"/>
              <w:bottom w:val="single" w:sz="4" w:space="0" w:color="auto"/>
            </w:tcBorders>
            <w:shd w:val="clear" w:color="auto" w:fill="auto"/>
            <w:noWrap/>
            <w:vAlign w:val="center"/>
            <w:hideMark/>
          </w:tcPr>
          <w:p w:rsidR="00361913" w:rsidRPr="002322E1" w:rsidRDefault="00361913" w:rsidP="008F42E1">
            <w:pPr>
              <w:spacing w:before="0" w:line="240" w:lineRule="auto"/>
              <w:jc w:val="left"/>
              <w:rPr>
                <w:rFonts w:eastAsia="Times New Roman"/>
                <w:color w:val="000000"/>
                <w:lang w:val="en-GB" w:eastAsia="en-GB"/>
              </w:rPr>
            </w:pPr>
            <w:proofErr w:type="gramStart"/>
            <w:r w:rsidRPr="002322E1">
              <w:rPr>
                <w:rFonts w:eastAsia="Times New Roman"/>
                <w:color w:val="000000"/>
                <w:lang w:val="en-GB" w:eastAsia="en-GB"/>
              </w:rPr>
              <w:t>bone</w:t>
            </w:r>
            <w:proofErr w:type="gramEnd"/>
            <w:r w:rsidRPr="002322E1">
              <w:rPr>
                <w:rFonts w:eastAsia="Times New Roman"/>
                <w:color w:val="000000"/>
                <w:lang w:val="en-GB" w:eastAsia="en-GB"/>
              </w:rPr>
              <w:t xml:space="preserve"> is positioned with the posterior surface on the board.  The bone naturally tilts laterally</w:t>
            </w:r>
          </w:p>
        </w:tc>
      </w:tr>
      <w:tr w:rsidR="00361913" w:rsidRPr="002322E1" w:rsidTr="005804F5">
        <w:trPr>
          <w:trHeight w:val="300"/>
          <w:jc w:val="center"/>
        </w:trPr>
        <w:tc>
          <w:tcPr>
            <w:tcW w:w="1032" w:type="dxa"/>
            <w:tcBorders>
              <w:top w:val="single" w:sz="4" w:space="0" w:color="auto"/>
              <w:bottom w:val="single" w:sz="4" w:space="0" w:color="auto"/>
            </w:tcBorders>
            <w:shd w:val="clear" w:color="auto" w:fill="auto"/>
            <w:noWrap/>
            <w:vAlign w:val="center"/>
            <w:hideMark/>
          </w:tcPr>
          <w:p w:rsidR="00A35CA0" w:rsidRDefault="00B76EAD"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u</w:t>
            </w:r>
            <w:r w:rsidR="00361913" w:rsidRPr="002322E1">
              <w:rPr>
                <w:rFonts w:eastAsia="Times New Roman"/>
                <w:color w:val="000000"/>
                <w:lang w:val="en-GB" w:eastAsia="en-GB"/>
              </w:rPr>
              <w:t>lna</w:t>
            </w:r>
          </w:p>
        </w:tc>
        <w:tc>
          <w:tcPr>
            <w:tcW w:w="8334" w:type="dxa"/>
            <w:tcBorders>
              <w:top w:val="single" w:sz="4" w:space="0" w:color="auto"/>
              <w:bottom w:val="single" w:sz="4" w:space="0" w:color="auto"/>
            </w:tcBorders>
            <w:shd w:val="clear" w:color="auto" w:fill="auto"/>
            <w:noWrap/>
            <w:vAlign w:val="center"/>
            <w:hideMark/>
          </w:tcPr>
          <w:p w:rsidR="00361913" w:rsidRPr="002322E1" w:rsidRDefault="00361913" w:rsidP="008F42E1">
            <w:pPr>
              <w:spacing w:before="0" w:line="240" w:lineRule="auto"/>
              <w:jc w:val="left"/>
              <w:rPr>
                <w:rFonts w:eastAsia="Times New Roman"/>
                <w:color w:val="000000"/>
                <w:lang w:val="en-GB" w:eastAsia="en-GB"/>
              </w:rPr>
            </w:pPr>
            <w:proofErr w:type="gramStart"/>
            <w:r w:rsidRPr="002322E1">
              <w:rPr>
                <w:rFonts w:eastAsia="Times New Roman"/>
                <w:color w:val="000000"/>
                <w:lang w:val="en-GB" w:eastAsia="en-GB"/>
              </w:rPr>
              <w:t>bone</w:t>
            </w:r>
            <w:proofErr w:type="gramEnd"/>
            <w:r w:rsidRPr="002322E1">
              <w:rPr>
                <w:rFonts w:eastAsia="Times New Roman"/>
                <w:color w:val="000000"/>
                <w:lang w:val="en-GB" w:eastAsia="en-GB"/>
              </w:rPr>
              <w:t xml:space="preserve"> is positioned with the posterior surface on the board.  The bone naturally tilts medially</w:t>
            </w:r>
          </w:p>
        </w:tc>
      </w:tr>
      <w:tr w:rsidR="00361913" w:rsidRPr="002322E1" w:rsidTr="005804F5">
        <w:trPr>
          <w:trHeight w:val="300"/>
          <w:jc w:val="center"/>
        </w:trPr>
        <w:tc>
          <w:tcPr>
            <w:tcW w:w="1032" w:type="dxa"/>
            <w:tcBorders>
              <w:top w:val="single" w:sz="4" w:space="0" w:color="auto"/>
              <w:bottom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f</w:t>
            </w:r>
            <w:r w:rsidRPr="002322E1">
              <w:rPr>
                <w:rFonts w:eastAsia="Times New Roman"/>
                <w:color w:val="000000"/>
                <w:lang w:val="en-GB" w:eastAsia="en-GB"/>
              </w:rPr>
              <w:t>emur</w:t>
            </w:r>
          </w:p>
        </w:tc>
        <w:tc>
          <w:tcPr>
            <w:tcW w:w="8334" w:type="dxa"/>
            <w:tcBorders>
              <w:top w:val="single" w:sz="4" w:space="0" w:color="auto"/>
              <w:bottom w:val="single" w:sz="4" w:space="0" w:color="auto"/>
            </w:tcBorders>
            <w:shd w:val="clear" w:color="auto" w:fill="auto"/>
            <w:noWrap/>
            <w:vAlign w:val="center"/>
            <w:hideMark/>
          </w:tcPr>
          <w:p w:rsidR="00361913" w:rsidRPr="002322E1" w:rsidRDefault="00361913" w:rsidP="008F42E1">
            <w:pPr>
              <w:spacing w:before="0" w:line="240" w:lineRule="auto"/>
              <w:jc w:val="left"/>
              <w:rPr>
                <w:rFonts w:eastAsia="Times New Roman"/>
                <w:color w:val="000000"/>
                <w:lang w:val="en-GB" w:eastAsia="en-GB"/>
              </w:rPr>
            </w:pPr>
            <w:proofErr w:type="gramStart"/>
            <w:r w:rsidRPr="002322E1">
              <w:rPr>
                <w:rFonts w:eastAsia="Times New Roman"/>
                <w:color w:val="000000"/>
                <w:lang w:val="en-GB" w:eastAsia="en-GB"/>
              </w:rPr>
              <w:t>bone</w:t>
            </w:r>
            <w:proofErr w:type="gramEnd"/>
            <w:r w:rsidRPr="002322E1">
              <w:rPr>
                <w:rFonts w:eastAsia="Times New Roman"/>
                <w:color w:val="000000"/>
                <w:lang w:val="en-GB" w:eastAsia="en-GB"/>
              </w:rPr>
              <w:t xml:space="preserve"> is positioned with the posterior surface on the board. The distal end </w:t>
            </w:r>
            <w:proofErr w:type="gramStart"/>
            <w:r w:rsidRPr="002322E1">
              <w:rPr>
                <w:rFonts w:eastAsia="Times New Roman"/>
                <w:color w:val="000000"/>
                <w:lang w:val="en-GB" w:eastAsia="en-GB"/>
              </w:rPr>
              <w:t>lies</w:t>
            </w:r>
            <w:proofErr w:type="gramEnd"/>
            <w:r w:rsidRPr="002322E1">
              <w:rPr>
                <w:rFonts w:eastAsia="Times New Roman"/>
                <w:color w:val="000000"/>
                <w:lang w:val="en-GB" w:eastAsia="en-GB"/>
              </w:rPr>
              <w:t xml:space="preserve"> flat causing lateral rotation of proximal end.</w:t>
            </w:r>
          </w:p>
        </w:tc>
      </w:tr>
      <w:tr w:rsidR="00361913" w:rsidRPr="002322E1" w:rsidTr="005804F5">
        <w:trPr>
          <w:trHeight w:val="300"/>
          <w:jc w:val="center"/>
        </w:trPr>
        <w:tc>
          <w:tcPr>
            <w:tcW w:w="1032" w:type="dxa"/>
            <w:tcBorders>
              <w:top w:val="single" w:sz="4" w:space="0" w:color="auto"/>
              <w:bottom w:val="single" w:sz="4" w:space="0" w:color="auto"/>
            </w:tcBorders>
            <w:shd w:val="clear" w:color="auto" w:fill="auto"/>
            <w:noWrap/>
            <w:vAlign w:val="center"/>
            <w:hideMark/>
          </w:tcPr>
          <w:p w:rsidR="00A35CA0" w:rsidRDefault="002A240F"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t</w:t>
            </w:r>
            <w:r w:rsidR="00361913" w:rsidRPr="002322E1">
              <w:rPr>
                <w:rFonts w:eastAsia="Times New Roman"/>
                <w:color w:val="000000"/>
                <w:lang w:val="en-GB" w:eastAsia="en-GB"/>
              </w:rPr>
              <w:t>ibia</w:t>
            </w:r>
          </w:p>
        </w:tc>
        <w:tc>
          <w:tcPr>
            <w:tcW w:w="8334" w:type="dxa"/>
            <w:tcBorders>
              <w:top w:val="single" w:sz="4" w:space="0" w:color="auto"/>
              <w:bottom w:val="single" w:sz="4" w:space="0" w:color="auto"/>
            </w:tcBorders>
            <w:shd w:val="clear" w:color="auto" w:fill="auto"/>
            <w:noWrap/>
            <w:vAlign w:val="center"/>
            <w:hideMark/>
          </w:tcPr>
          <w:p w:rsidR="00361913" w:rsidRPr="002322E1" w:rsidRDefault="00361913" w:rsidP="008F42E1">
            <w:pPr>
              <w:spacing w:before="0" w:line="240" w:lineRule="auto"/>
              <w:jc w:val="left"/>
              <w:rPr>
                <w:rFonts w:eastAsia="Times New Roman"/>
                <w:color w:val="000000"/>
                <w:lang w:val="en-GB" w:eastAsia="en-GB"/>
              </w:rPr>
            </w:pPr>
            <w:proofErr w:type="gramStart"/>
            <w:r w:rsidRPr="002322E1">
              <w:rPr>
                <w:rFonts w:eastAsia="Times New Roman"/>
                <w:color w:val="000000"/>
                <w:lang w:val="en-GB" w:eastAsia="en-GB"/>
              </w:rPr>
              <w:t>bone</w:t>
            </w:r>
            <w:proofErr w:type="gramEnd"/>
            <w:r w:rsidRPr="002322E1">
              <w:rPr>
                <w:rFonts w:eastAsia="Times New Roman"/>
                <w:color w:val="000000"/>
                <w:lang w:val="en-GB" w:eastAsia="en-GB"/>
              </w:rPr>
              <w:t xml:space="preserve"> is positioned with the posterior surface on the board.  The bone naturally tilts medially</w:t>
            </w:r>
          </w:p>
        </w:tc>
      </w:tr>
      <w:tr w:rsidR="00361913" w:rsidRPr="002322E1" w:rsidTr="005804F5">
        <w:trPr>
          <w:trHeight w:val="300"/>
          <w:jc w:val="center"/>
        </w:trPr>
        <w:tc>
          <w:tcPr>
            <w:tcW w:w="1032" w:type="dxa"/>
            <w:tcBorders>
              <w:top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f</w:t>
            </w:r>
            <w:r w:rsidRPr="002322E1">
              <w:rPr>
                <w:rFonts w:eastAsia="Times New Roman"/>
                <w:color w:val="000000"/>
                <w:lang w:val="en-GB" w:eastAsia="en-GB"/>
              </w:rPr>
              <w:t>ibula</w:t>
            </w:r>
          </w:p>
        </w:tc>
        <w:tc>
          <w:tcPr>
            <w:tcW w:w="8334" w:type="dxa"/>
            <w:tcBorders>
              <w:top w:val="single" w:sz="4" w:space="0" w:color="auto"/>
            </w:tcBorders>
            <w:shd w:val="clear" w:color="auto" w:fill="auto"/>
            <w:noWrap/>
            <w:vAlign w:val="center"/>
            <w:hideMark/>
          </w:tcPr>
          <w:p w:rsidR="00361913" w:rsidRPr="002322E1" w:rsidRDefault="00361913" w:rsidP="008F42E1">
            <w:pPr>
              <w:spacing w:before="0" w:line="240" w:lineRule="auto"/>
              <w:jc w:val="left"/>
              <w:rPr>
                <w:rFonts w:eastAsia="Times New Roman"/>
                <w:color w:val="000000"/>
                <w:lang w:val="en-GB" w:eastAsia="en-GB"/>
              </w:rPr>
            </w:pPr>
            <w:r>
              <w:rPr>
                <w:rFonts w:eastAsia="Times New Roman"/>
                <w:color w:val="000000"/>
                <w:lang w:val="en-GB" w:eastAsia="en-GB"/>
              </w:rPr>
              <w:t>t</w:t>
            </w:r>
            <w:r w:rsidRPr="002322E1">
              <w:rPr>
                <w:rFonts w:eastAsia="Times New Roman"/>
                <w:color w:val="000000"/>
                <w:lang w:val="en-GB" w:eastAsia="en-GB"/>
              </w:rPr>
              <w:t>he distal articular surface is placed facing the surface of the osteometric board</w:t>
            </w:r>
          </w:p>
        </w:tc>
      </w:tr>
    </w:tbl>
    <w:p w:rsidR="00361913" w:rsidRDefault="00361913" w:rsidP="00361913">
      <w:pPr>
        <w:tabs>
          <w:tab w:val="left" w:pos="360"/>
        </w:tabs>
        <w:spacing w:line="240" w:lineRule="auto"/>
        <w:jc w:val="center"/>
        <w:rPr>
          <w:noProof/>
        </w:rPr>
      </w:pPr>
      <w:r>
        <w:rPr>
          <w:noProof/>
          <w:lang w:val="en-GB" w:eastAsia="en-GB"/>
        </w:rPr>
        <w:lastRenderedPageBreak/>
        <w:drawing>
          <wp:inline distT="0" distB="0" distL="0" distR="0" wp14:anchorId="5C4C7989" wp14:editId="7CDF5DF3">
            <wp:extent cx="3390182" cy="349356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0181" cy="3493565"/>
                    </a:xfrm>
                    <a:prstGeom prst="rect">
                      <a:avLst/>
                    </a:prstGeom>
                    <a:noFill/>
                    <a:ln>
                      <a:noFill/>
                    </a:ln>
                  </pic:spPr>
                </pic:pic>
              </a:graphicData>
            </a:graphic>
          </wp:inline>
        </w:drawing>
      </w:r>
    </w:p>
    <w:p w:rsidR="00361913" w:rsidRDefault="00A47CD2" w:rsidP="00A47CD2">
      <w:pPr>
        <w:pStyle w:val="Caption"/>
      </w:pPr>
      <w:bookmarkStart w:id="151" w:name="_Toc373147456"/>
      <w:proofErr w:type="gramStart"/>
      <w:r w:rsidRPr="00A47CD2">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9</w:t>
      </w:r>
      <w:r w:rsidR="008943E4">
        <w:rPr>
          <w:b/>
        </w:rPr>
        <w:fldChar w:fldCharType="end"/>
      </w:r>
      <w:r w:rsidR="009722DE">
        <w:t xml:space="preserve"> Demonstration of the axis of measure through the radius and femur.</w:t>
      </w:r>
      <w:bookmarkEnd w:id="151"/>
    </w:p>
    <w:p w:rsidR="00361913" w:rsidRDefault="00361913" w:rsidP="009722DE">
      <w:pPr>
        <w:rPr>
          <w:noProof/>
        </w:rPr>
      </w:pPr>
      <w:r>
        <w:rPr>
          <w:noProof/>
        </w:rPr>
        <w:t xml:space="preserve">Epiphyses present a problem for measurement of </w:t>
      </w:r>
      <w:r w:rsidR="007B0002">
        <w:rPr>
          <w:noProof/>
        </w:rPr>
        <w:t xml:space="preserve">long-bone </w:t>
      </w:r>
      <w:r>
        <w:rPr>
          <w:noProof/>
        </w:rPr>
        <w:t>length in sub-adults.  All long bones were measured regardless of whether epiphyses were present or not.  An analysi</w:t>
      </w:r>
      <w:r w:rsidR="00565E13">
        <w:rPr>
          <w:noProof/>
        </w:rPr>
        <w:t>s of epiphysi</w:t>
      </w:r>
      <w:r>
        <w:rPr>
          <w:noProof/>
        </w:rPr>
        <w:t xml:space="preserve">s presence and number of contributing long bones to complete </w:t>
      </w:r>
      <w:r w:rsidR="007B0002">
        <w:rPr>
          <w:noProof/>
        </w:rPr>
        <w:t>long-bone</w:t>
      </w:r>
      <w:r>
        <w:rPr>
          <w:noProof/>
        </w:rPr>
        <w:t xml:space="preserve"> length is </w:t>
      </w:r>
      <w:r w:rsidR="00565E13">
        <w:rPr>
          <w:noProof/>
        </w:rPr>
        <w:t>provided</w:t>
      </w:r>
      <w:r>
        <w:rPr>
          <w:noProof/>
        </w:rPr>
        <w:t xml:space="preserve"> in section 3.6.  A coding variable was added for each bone that determined which epiphyses were present.  This coding was as follows:</w:t>
      </w:r>
    </w:p>
    <w:p w:rsidR="00361913" w:rsidRDefault="00361913" w:rsidP="009722DE">
      <w:pPr>
        <w:rPr>
          <w:noProof/>
        </w:rPr>
      </w:pPr>
      <w:r>
        <w:rPr>
          <w:noProof/>
        </w:rPr>
        <w:t>Code 1: no epiphyses present</w:t>
      </w:r>
    </w:p>
    <w:p w:rsidR="00361913" w:rsidRDefault="00361913" w:rsidP="009722DE">
      <w:pPr>
        <w:rPr>
          <w:noProof/>
        </w:rPr>
      </w:pPr>
      <w:r>
        <w:rPr>
          <w:noProof/>
        </w:rPr>
        <w:t>Code 2: only the proximal epiphysis is present, the distal is missing</w:t>
      </w:r>
    </w:p>
    <w:p w:rsidR="00361913" w:rsidRDefault="00361913" w:rsidP="009722DE">
      <w:pPr>
        <w:rPr>
          <w:noProof/>
        </w:rPr>
      </w:pPr>
      <w:r>
        <w:rPr>
          <w:noProof/>
        </w:rPr>
        <w:t>Code 3: only the distal epiphysis is present, the proximal is missing</w:t>
      </w:r>
    </w:p>
    <w:p w:rsidR="00361913" w:rsidRDefault="00361913" w:rsidP="009722DE">
      <w:pPr>
        <w:rPr>
          <w:noProof/>
        </w:rPr>
      </w:pPr>
      <w:r>
        <w:rPr>
          <w:noProof/>
        </w:rPr>
        <w:t>Code</w:t>
      </w:r>
      <w:r w:rsidR="009722DE">
        <w:rPr>
          <w:noProof/>
        </w:rPr>
        <w:t xml:space="preserve"> 4: both epiphyses are present.</w:t>
      </w:r>
    </w:p>
    <w:p w:rsidR="008066B3" w:rsidRDefault="00361913" w:rsidP="008066B3">
      <w:pPr>
        <w:rPr>
          <w:noProof/>
        </w:rPr>
      </w:pPr>
      <w:r>
        <w:rPr>
          <w:noProof/>
        </w:rPr>
        <w:t xml:space="preserve">It should be noted that for some individuals falling within codes </w:t>
      </w:r>
      <w:r w:rsidR="00315945">
        <w:rPr>
          <w:noProof/>
        </w:rPr>
        <w:t>2-</w:t>
      </w:r>
      <w:r>
        <w:rPr>
          <w:noProof/>
        </w:rPr>
        <w:t xml:space="preserve">4, one or both epiphyses were present but were not fused.  As discussed previously with respect to glueing, epiphyses that are not fused actually form a tighter ‘fit’ to the diaphysis than fusing ones due to the gap present for the hypertrophic zone.  This presented a slight challenge for measurement as there is a </w:t>
      </w:r>
      <w:r w:rsidR="00A71A96">
        <w:rPr>
          <w:noProof/>
        </w:rPr>
        <w:t xml:space="preserve">small </w:t>
      </w:r>
      <w:r>
        <w:rPr>
          <w:noProof/>
        </w:rPr>
        <w:t xml:space="preserve">difference between what the length would be with </w:t>
      </w:r>
      <w:r w:rsidR="009A0E61">
        <w:rPr>
          <w:noProof/>
        </w:rPr>
        <w:t>or</w:t>
      </w:r>
      <w:r>
        <w:rPr>
          <w:noProof/>
        </w:rPr>
        <w:t xml:space="preserve"> without the hypertrophic cartilage.  There was no means to correct for this at the measurement stage.  It was determined that it was better to hold the epiphyses in </w:t>
      </w:r>
      <w:r>
        <w:rPr>
          <w:noProof/>
        </w:rPr>
        <w:lastRenderedPageBreak/>
        <w:t xml:space="preserve">place rather than simply taking the length of the </w:t>
      </w:r>
      <w:r w:rsidR="007016F4">
        <w:rPr>
          <w:noProof/>
        </w:rPr>
        <w:t xml:space="preserve">bone </w:t>
      </w:r>
      <w:r>
        <w:rPr>
          <w:noProof/>
        </w:rPr>
        <w:t>without the epiphysis.  The hypertrophic zone</w:t>
      </w:r>
      <w:r w:rsidR="00DE06DE">
        <w:rPr>
          <w:noProof/>
        </w:rPr>
        <w:t xml:space="preserve"> for a fusing epiphysis</w:t>
      </w:r>
      <w:r>
        <w:rPr>
          <w:noProof/>
        </w:rPr>
        <w:t xml:space="preserve"> is </w:t>
      </w:r>
      <w:r w:rsidR="00DE06DE">
        <w:rPr>
          <w:noProof/>
        </w:rPr>
        <w:t xml:space="preserve">is typically </w:t>
      </w:r>
      <w:r>
        <w:rPr>
          <w:noProof/>
        </w:rPr>
        <w:t>2</w:t>
      </w:r>
      <w:r w:rsidR="00ED08E5">
        <w:rPr>
          <w:noProof/>
        </w:rPr>
        <w:t>-3</w:t>
      </w:r>
      <w:r>
        <w:rPr>
          <w:noProof/>
        </w:rPr>
        <w:t>mm in thickness</w:t>
      </w:r>
      <w:r w:rsidR="00F25DBB" w:rsidRPr="00F25DBB">
        <w:rPr>
          <w:noProof/>
        </w:rPr>
        <w:t xml:space="preserve"> </w:t>
      </w:r>
      <w:r w:rsidR="00F25DBB">
        <w:rPr>
          <w:noProof/>
        </w:rPr>
        <w:t xml:space="preserve">(Byers </w:t>
      </w:r>
      <w:r w:rsidR="00F25DBB">
        <w:rPr>
          <w:i/>
          <w:noProof/>
        </w:rPr>
        <w:t>et al</w:t>
      </w:r>
      <w:r w:rsidR="00F25DBB">
        <w:rPr>
          <w:noProof/>
        </w:rPr>
        <w:t>. 2000)</w:t>
      </w:r>
      <w:r>
        <w:rPr>
          <w:noProof/>
        </w:rPr>
        <w:t xml:space="preserve">.  This thickness constitutes little more than 1% of length for all long bones at stages measured and was likely of little statistical </w:t>
      </w:r>
      <w:r w:rsidR="007454F8">
        <w:rPr>
          <w:noProof/>
        </w:rPr>
        <w:t>r</w:t>
      </w:r>
      <w:r w:rsidR="00ED08E5">
        <w:rPr>
          <w:noProof/>
        </w:rPr>
        <w:t>elevance.</w:t>
      </w:r>
    </w:p>
    <w:p w:rsidR="00361913" w:rsidRPr="00D8569D" w:rsidRDefault="00361913" w:rsidP="00D263E8">
      <w:pPr>
        <w:pStyle w:val="Heading2"/>
      </w:pPr>
      <w:bookmarkStart w:id="152" w:name="_Toc373477765"/>
      <w:bookmarkStart w:id="153" w:name="_Toc373480763"/>
      <w:r>
        <w:t>Methodology: Dental development</w:t>
      </w:r>
      <w:bookmarkEnd w:id="152"/>
      <w:bookmarkEnd w:id="153"/>
    </w:p>
    <w:p w:rsidR="00707854" w:rsidRDefault="00707854" w:rsidP="00D263E8">
      <w:pPr>
        <w:pStyle w:val="Heading3"/>
      </w:pPr>
      <w:bookmarkStart w:id="154" w:name="_Toc373477766"/>
      <w:bookmarkStart w:id="155" w:name="_Toc373480764"/>
      <w:r>
        <w:t>Overview of data processing in dental development</w:t>
      </w:r>
      <w:bookmarkEnd w:id="154"/>
      <w:bookmarkEnd w:id="155"/>
    </w:p>
    <w:p w:rsidR="00707854" w:rsidRPr="00707854" w:rsidRDefault="00707854" w:rsidP="00707854">
      <w:pPr>
        <w:rPr>
          <w:lang w:val="nl-NL"/>
        </w:rPr>
      </w:pPr>
      <w:r>
        <w:rPr>
          <w:noProof/>
        </w:rPr>
        <w:t>It was desired in this project to produce</w:t>
      </w:r>
      <w:r w:rsidRPr="00FE5337">
        <w:rPr>
          <w:noProof/>
        </w:rPr>
        <w:t xml:space="preserve"> comparable results with other studies using established techniques.  Prior research of </w:t>
      </w:r>
      <w:r w:rsidRPr="00FE5337">
        <w:rPr>
          <w:i/>
          <w:noProof/>
        </w:rPr>
        <w:t>Pan troglodytes</w:t>
      </w:r>
      <w:r w:rsidRPr="00FE5337">
        <w:rPr>
          <w:noProof/>
        </w:rPr>
        <w:t xml:space="preserve"> such as Kuykendall (1996), Kuykendall </w:t>
      </w:r>
      <w:r w:rsidRPr="00FE5337">
        <w:rPr>
          <w:i/>
          <w:noProof/>
        </w:rPr>
        <w:t>et al</w:t>
      </w:r>
      <w:r w:rsidRPr="00FE5337">
        <w:rPr>
          <w:noProof/>
        </w:rPr>
        <w:t xml:space="preserve">. (1992), and Kuykendall and Conroy (1996) used the Demirjian (1973) method </w:t>
      </w:r>
      <w:r w:rsidR="00636D97">
        <w:rPr>
          <w:noProof/>
        </w:rPr>
        <w:t>to analyse</w:t>
      </w:r>
      <w:r w:rsidRPr="00FE5337">
        <w:rPr>
          <w:noProof/>
        </w:rPr>
        <w:t xml:space="preserve"> a single quadrant of the mandibular dentition.  In</w:t>
      </w:r>
      <w:r>
        <w:rPr>
          <w:noProof/>
        </w:rPr>
        <w:t xml:space="preserve"> </w:t>
      </w:r>
      <w:r w:rsidR="00801AD3">
        <w:rPr>
          <w:noProof/>
        </w:rPr>
        <w:t>the present</w:t>
      </w:r>
      <w:r>
        <w:rPr>
          <w:noProof/>
        </w:rPr>
        <w:t xml:space="preserve"> study this method was applied to produce a single </w:t>
      </w:r>
      <w:r w:rsidR="003C7EA3">
        <w:rPr>
          <w:noProof/>
        </w:rPr>
        <w:t xml:space="preserve">summary </w:t>
      </w:r>
      <w:r>
        <w:rPr>
          <w:noProof/>
        </w:rPr>
        <w:t xml:space="preserve">dental score for each individual.  In order to achieve this, several steps of analysis had to be first completed.  As with most museum collections, missing teeth leading to missing data was a constant problem.  Maximizing the number of individuals with dental scores was desireable as sample size was a limiting factor.  The additional information provided by having two separate mandibular quadrants was useful for side substitution to make complete sets.  For some individuals, mandibular scores were incomplete.  </w:t>
      </w:r>
      <w:r w:rsidRPr="004602FE">
        <w:rPr>
          <w:noProof/>
          <w:color w:val="000000" w:themeColor="text1"/>
        </w:rPr>
        <w:t xml:space="preserve">In order to achieve the most complete set of scores </w:t>
      </w:r>
      <w:r w:rsidRPr="00A56262">
        <w:rPr>
          <w:noProof/>
          <w:color w:val="000000" w:themeColor="text1"/>
        </w:rPr>
        <w:t>the technique of multiple imputation was applied</w:t>
      </w:r>
      <w:r w:rsidR="0009404C">
        <w:rPr>
          <w:noProof/>
          <w:color w:val="000000" w:themeColor="text1"/>
        </w:rPr>
        <w:t xml:space="preserve"> (</w:t>
      </w:r>
      <w:r w:rsidR="0009404C">
        <w:rPr>
          <w:noProof/>
        </w:rPr>
        <w:t>Schafer 2000)</w:t>
      </w:r>
      <w:r w:rsidRPr="00A56262">
        <w:rPr>
          <w:noProof/>
          <w:color w:val="000000" w:themeColor="text1"/>
        </w:rPr>
        <w:t xml:space="preserve">.  This method was able to generate scores for 9 individuals </w:t>
      </w:r>
      <w:r w:rsidR="00DD589A">
        <w:rPr>
          <w:noProof/>
        </w:rPr>
        <w:t xml:space="preserve">that </w:t>
      </w:r>
      <w:r>
        <w:rPr>
          <w:noProof/>
        </w:rPr>
        <w:t>had incomplete dentition, bringing to the total number of individuals used in the epiphyseal fusion analysis to 177.</w:t>
      </w:r>
      <w:r w:rsidR="00465BE1">
        <w:rPr>
          <w:noProof/>
        </w:rPr>
        <w:t xml:space="preserve">  </w:t>
      </w:r>
      <w:r w:rsidR="00CE43B6">
        <w:rPr>
          <w:noProof/>
        </w:rPr>
        <w:t>Comp</w:t>
      </w:r>
      <w:r w:rsidR="002E238A">
        <w:rPr>
          <w:noProof/>
        </w:rPr>
        <w:t>le</w:t>
      </w:r>
      <w:r w:rsidR="00CE43B6">
        <w:rPr>
          <w:noProof/>
        </w:rPr>
        <w:t xml:space="preserve">te </w:t>
      </w:r>
      <w:r w:rsidR="00465BE1">
        <w:rPr>
          <w:noProof/>
        </w:rPr>
        <w:t>analysis is found in section 3.3.3.</w:t>
      </w:r>
    </w:p>
    <w:p w:rsidR="00361913" w:rsidRPr="000C17D9" w:rsidRDefault="00361913" w:rsidP="00D263E8">
      <w:pPr>
        <w:pStyle w:val="Heading3"/>
      </w:pPr>
      <w:bookmarkStart w:id="156" w:name="_Toc373477767"/>
      <w:bookmarkStart w:id="157" w:name="_Toc373480765"/>
      <w:r>
        <w:t>Assignment of dental scores</w:t>
      </w:r>
      <w:bookmarkEnd w:id="156"/>
      <w:bookmarkEnd w:id="157"/>
    </w:p>
    <w:p w:rsidR="00361913" w:rsidRDefault="00361913" w:rsidP="001808B5">
      <w:pPr>
        <w:rPr>
          <w:noProof/>
        </w:rPr>
      </w:pPr>
      <w:r w:rsidRPr="00C25DA1">
        <w:rPr>
          <w:noProof/>
        </w:rPr>
        <w:t>Dental scores were assigned with values from 1 to 8 using the Demirjian (1973) method for all adult</w:t>
      </w:r>
      <w:r>
        <w:rPr>
          <w:noProof/>
        </w:rPr>
        <w:t xml:space="preserve"> mandibular</w:t>
      </w:r>
      <w:r w:rsidRPr="00C25DA1">
        <w:rPr>
          <w:noProof/>
        </w:rPr>
        <w:t xml:space="preserve"> dentition</w:t>
      </w:r>
      <w:r>
        <w:rPr>
          <w:noProof/>
        </w:rPr>
        <w:t xml:space="preserve"> including both left and right quadrants</w:t>
      </w:r>
      <w:r w:rsidRPr="00C25DA1">
        <w:rPr>
          <w:noProof/>
        </w:rPr>
        <w:t xml:space="preserve">.  Additional codes </w:t>
      </w:r>
      <w:r w:rsidR="000E0BDD">
        <w:rPr>
          <w:noProof/>
        </w:rPr>
        <w:t>(</w:t>
      </w:r>
      <w:r w:rsidRPr="00C25DA1">
        <w:rPr>
          <w:noProof/>
        </w:rPr>
        <w:t>9 and 10</w:t>
      </w:r>
      <w:r w:rsidR="000E0BDD">
        <w:rPr>
          <w:noProof/>
        </w:rPr>
        <w:t>)</w:t>
      </w:r>
      <w:r w:rsidRPr="00C25DA1">
        <w:rPr>
          <w:noProof/>
        </w:rPr>
        <w:t xml:space="preserve"> w</w:t>
      </w:r>
      <w:r>
        <w:rPr>
          <w:noProof/>
        </w:rPr>
        <w:t>ere added.  The score of 9 represented</w:t>
      </w:r>
      <w:r w:rsidRPr="00C25DA1">
        <w:rPr>
          <w:noProof/>
        </w:rPr>
        <w:t xml:space="preserve"> missing tooth </w:t>
      </w:r>
      <w:r w:rsidR="000B1E06">
        <w:rPr>
          <w:noProof/>
        </w:rPr>
        <w:t xml:space="preserve">information </w:t>
      </w:r>
      <w:r>
        <w:rPr>
          <w:noProof/>
        </w:rPr>
        <w:t>whereby either the section of the mandible was missing or the socket wa</w:t>
      </w:r>
      <w:r w:rsidRPr="00C25DA1">
        <w:rPr>
          <w:noProof/>
        </w:rPr>
        <w:t>s clearly present</w:t>
      </w:r>
      <w:r>
        <w:rPr>
          <w:noProof/>
        </w:rPr>
        <w:t xml:space="preserve"> but the tooth was absent.  The score of </w:t>
      </w:r>
      <w:r w:rsidRPr="00C25DA1">
        <w:rPr>
          <w:noProof/>
        </w:rPr>
        <w:t>10 represent</w:t>
      </w:r>
      <w:r>
        <w:rPr>
          <w:noProof/>
        </w:rPr>
        <w:t>ed no evidence for tooth pr</w:t>
      </w:r>
      <w:r w:rsidR="00E867CE">
        <w:rPr>
          <w:noProof/>
        </w:rPr>
        <w:t>esence.  This was confirmed ini</w:t>
      </w:r>
      <w:r>
        <w:rPr>
          <w:noProof/>
        </w:rPr>
        <w:t>tially by visual observation of</w:t>
      </w:r>
      <w:r w:rsidRPr="00C25DA1">
        <w:rPr>
          <w:noProof/>
        </w:rPr>
        <w:t xml:space="preserve"> no socket </w:t>
      </w:r>
      <w:r>
        <w:rPr>
          <w:noProof/>
        </w:rPr>
        <w:t xml:space="preserve">presence </w:t>
      </w:r>
      <w:r w:rsidRPr="00C25DA1">
        <w:rPr>
          <w:noProof/>
        </w:rPr>
        <w:t>or perforation of alveolar bone</w:t>
      </w:r>
      <w:r>
        <w:rPr>
          <w:noProof/>
        </w:rPr>
        <w:t xml:space="preserve"> and subsequently by radiographic analysis</w:t>
      </w:r>
      <w:r w:rsidRPr="00C25DA1">
        <w:rPr>
          <w:noProof/>
        </w:rPr>
        <w:t>.</w:t>
      </w:r>
    </w:p>
    <w:p w:rsidR="00361913" w:rsidRDefault="00361913" w:rsidP="001808B5">
      <w:pPr>
        <w:rPr>
          <w:noProof/>
        </w:rPr>
      </w:pPr>
      <w:r>
        <w:rPr>
          <w:noProof/>
        </w:rPr>
        <w:t xml:space="preserve">The score of 10 requires some further clarification with respect to the analysis here.  This score did not </w:t>
      </w:r>
      <w:r w:rsidR="00F64A7D">
        <w:rPr>
          <w:noProof/>
        </w:rPr>
        <w:t xml:space="preserve">provide </w:t>
      </w:r>
      <w:r>
        <w:rPr>
          <w:noProof/>
        </w:rPr>
        <w:t>a reason for the absence of the tooth.  There were a few potential causes of a tooth being absent and thus assigned a score of 10.  The first was if an ind</w:t>
      </w:r>
      <w:r w:rsidR="001E741A">
        <w:rPr>
          <w:noProof/>
        </w:rPr>
        <w:t>ividual was too young to have a mineralized</w:t>
      </w:r>
      <w:r>
        <w:rPr>
          <w:noProof/>
        </w:rPr>
        <w:t xml:space="preserve"> third molar.  The second when a tooth was missing due to either agenesis or decay/trauma, either of which counts as missing data with respect to dental score.  There are two ways of processing this type of missing data.  Either the score represents a very young individual and counts as a ‘0’ when </w:t>
      </w:r>
      <w:r>
        <w:rPr>
          <w:noProof/>
        </w:rPr>
        <w:lastRenderedPageBreak/>
        <w:t xml:space="preserve">generating the summary score, or it represents a missing tooth category and is treated as missing data.  Based on the analysis of </w:t>
      </w:r>
      <w:r w:rsidR="002A0B23">
        <w:rPr>
          <w:noProof/>
        </w:rPr>
        <w:t xml:space="preserve">Kuykendall (1996) and </w:t>
      </w:r>
      <w:r>
        <w:rPr>
          <w:noProof/>
        </w:rPr>
        <w:t>Kuykendall and Conroy (1996), if an individual had a first molar of at least stage 3 a third molar crown was very likely to have been present.  Any individual with a first molar of this stage or higher was considered to be missing the tooth and thus was re-classified as</w:t>
      </w:r>
      <w:r w:rsidR="004D0D82">
        <w:rPr>
          <w:noProof/>
        </w:rPr>
        <w:t xml:space="preserve"> having</w:t>
      </w:r>
      <w:r>
        <w:rPr>
          <w:noProof/>
        </w:rPr>
        <w:t xml:space="preserve"> missing data.  All individuals in the data set were recoded as either ‘0’ or ‘-’ with ‘0’ representing lack of development and ‘-’ representing missing data.</w:t>
      </w:r>
    </w:p>
    <w:p w:rsidR="00361913" w:rsidRPr="00CA0C96" w:rsidRDefault="00967862" w:rsidP="001808B5">
      <w:pPr>
        <w:rPr>
          <w:b/>
          <w:i/>
          <w:noProof/>
        </w:rPr>
      </w:pPr>
      <w:r w:rsidRPr="00CA0C96">
        <w:rPr>
          <w:b/>
          <w:i/>
          <w:noProof/>
        </w:rPr>
        <w:t>3.3.2</w:t>
      </w:r>
      <w:r w:rsidR="00CF642F" w:rsidRPr="00CA0C96">
        <w:rPr>
          <w:b/>
          <w:i/>
          <w:noProof/>
        </w:rPr>
        <w:t>.a</w:t>
      </w:r>
      <w:r w:rsidR="00CF642F" w:rsidRPr="00CA0C96">
        <w:rPr>
          <w:b/>
          <w:i/>
          <w:noProof/>
        </w:rPr>
        <w:tab/>
      </w:r>
      <w:r w:rsidR="00361913" w:rsidRPr="00CA0C96">
        <w:rPr>
          <w:b/>
          <w:i/>
          <w:noProof/>
        </w:rPr>
        <w:t>Recoding and completion of sets</w:t>
      </w:r>
    </w:p>
    <w:p w:rsidR="00361913" w:rsidRDefault="00361913" w:rsidP="001808B5">
      <w:pPr>
        <w:rPr>
          <w:noProof/>
        </w:rPr>
      </w:pPr>
      <w:r>
        <w:rPr>
          <w:noProof/>
        </w:rPr>
        <w:t xml:space="preserve">A composite score was </w:t>
      </w:r>
      <w:r w:rsidR="00CF642F">
        <w:rPr>
          <w:noProof/>
        </w:rPr>
        <w:t>calculated since</w:t>
      </w:r>
      <w:r w:rsidR="006D6EBD">
        <w:rPr>
          <w:noProof/>
        </w:rPr>
        <w:t xml:space="preserve"> only</w:t>
      </w:r>
      <w:r>
        <w:rPr>
          <w:noProof/>
        </w:rPr>
        <w:t xml:space="preserve"> a single dental score for each individuals</w:t>
      </w:r>
      <w:r w:rsidR="00CF642F">
        <w:rPr>
          <w:noProof/>
        </w:rPr>
        <w:t xml:space="preserve"> was required</w:t>
      </w:r>
      <w:r>
        <w:rPr>
          <w:noProof/>
        </w:rPr>
        <w:t>.  All individuals had the potential to provide left and right quadrant scores.  Not all individuals had complete dentition and many individuals were missing teeth.  There were three conditions in which individuals in this study could be classified:</w:t>
      </w:r>
    </w:p>
    <w:p w:rsidR="00361913" w:rsidRPr="007E5FA1" w:rsidRDefault="00361913" w:rsidP="00467D61">
      <w:pPr>
        <w:pStyle w:val="ListParagraph"/>
        <w:tabs>
          <w:tab w:val="left" w:pos="360"/>
        </w:tabs>
        <w:ind w:left="1701" w:hanging="1134"/>
        <w:rPr>
          <w:noProof/>
        </w:rPr>
      </w:pPr>
      <w:r>
        <w:rPr>
          <w:noProof/>
        </w:rPr>
        <w:t xml:space="preserve">Condition 1: when both sets were complete for both quadrants of the mandible.  In this case a summary score for both left and right </w:t>
      </w:r>
      <w:r w:rsidR="001808B5">
        <w:rPr>
          <w:noProof/>
        </w:rPr>
        <w:t>was available for all 8 teeth.</w:t>
      </w:r>
    </w:p>
    <w:p w:rsidR="00361913" w:rsidRDefault="00361913" w:rsidP="00467D61">
      <w:pPr>
        <w:pStyle w:val="ListParagraph"/>
        <w:tabs>
          <w:tab w:val="left" w:pos="360"/>
        </w:tabs>
        <w:ind w:left="1080" w:hanging="513"/>
        <w:rPr>
          <w:noProof/>
        </w:rPr>
      </w:pPr>
      <w:r>
        <w:rPr>
          <w:noProof/>
        </w:rPr>
        <w:t>Condition 2: when only one quadrant (</w:t>
      </w:r>
      <w:r w:rsidR="00D95801">
        <w:rPr>
          <w:noProof/>
        </w:rPr>
        <w:t>left or right) mandibular score</w:t>
      </w:r>
      <w:r>
        <w:rPr>
          <w:noProof/>
        </w:rPr>
        <w:t xml:space="preserve"> was complete.</w:t>
      </w:r>
    </w:p>
    <w:p w:rsidR="00D3411F" w:rsidRDefault="00361913" w:rsidP="00244E74">
      <w:pPr>
        <w:pStyle w:val="ListParagraph"/>
        <w:tabs>
          <w:tab w:val="left" w:pos="360"/>
        </w:tabs>
        <w:ind w:left="1080" w:hanging="513"/>
        <w:rPr>
          <w:noProof/>
        </w:rPr>
      </w:pPr>
      <w:r>
        <w:rPr>
          <w:noProof/>
        </w:rPr>
        <w:t>Condition 3: when</w:t>
      </w:r>
      <w:r w:rsidR="00927661">
        <w:rPr>
          <w:noProof/>
        </w:rPr>
        <w:t xml:space="preserve"> neither</w:t>
      </w:r>
      <w:r>
        <w:rPr>
          <w:noProof/>
        </w:rPr>
        <w:t xml:space="preserve"> side was complete.</w:t>
      </w:r>
    </w:p>
    <w:p w:rsidR="00361913" w:rsidRPr="00CA0C96" w:rsidRDefault="00425B27" w:rsidP="001808B5">
      <w:pPr>
        <w:rPr>
          <w:b/>
          <w:i/>
          <w:noProof/>
        </w:rPr>
      </w:pPr>
      <w:r w:rsidRPr="00CA0C96">
        <w:rPr>
          <w:b/>
          <w:i/>
          <w:noProof/>
        </w:rPr>
        <w:t>3.</w:t>
      </w:r>
      <w:r w:rsidR="00967862" w:rsidRPr="00CA0C96">
        <w:rPr>
          <w:b/>
          <w:i/>
          <w:noProof/>
        </w:rPr>
        <w:t>3.2</w:t>
      </w:r>
      <w:r w:rsidRPr="00CA0C96">
        <w:rPr>
          <w:b/>
          <w:i/>
          <w:noProof/>
        </w:rPr>
        <w:t>.b</w:t>
      </w:r>
      <w:r w:rsidRPr="00CA0C96">
        <w:rPr>
          <w:b/>
          <w:i/>
          <w:noProof/>
        </w:rPr>
        <w:tab/>
      </w:r>
      <w:r w:rsidR="00361913" w:rsidRPr="00CA0C96">
        <w:rPr>
          <w:b/>
          <w:i/>
          <w:noProof/>
        </w:rPr>
        <w:t>Comparison between sides for individuals in Condition 1</w:t>
      </w:r>
    </w:p>
    <w:p w:rsidR="00361913" w:rsidRPr="00EE5296" w:rsidRDefault="00324D4A" w:rsidP="001808B5">
      <w:pPr>
        <w:rPr>
          <w:noProof/>
        </w:rPr>
      </w:pPr>
      <w:r>
        <w:rPr>
          <w:noProof/>
        </w:rPr>
        <w:t>Past research suggests that</w:t>
      </w:r>
      <w:r w:rsidR="00361913">
        <w:rPr>
          <w:noProof/>
        </w:rPr>
        <w:t xml:space="preserve"> a statistically significant difference between sides for </w:t>
      </w:r>
      <w:r w:rsidR="00361913">
        <w:rPr>
          <w:i/>
          <w:noProof/>
        </w:rPr>
        <w:t>Pan troglodytes</w:t>
      </w:r>
      <w:r w:rsidR="00361913" w:rsidRPr="006F22C1">
        <w:rPr>
          <w:noProof/>
        </w:rPr>
        <w:t xml:space="preserve"> </w:t>
      </w:r>
      <w:r w:rsidR="00425B27">
        <w:rPr>
          <w:noProof/>
        </w:rPr>
        <w:t xml:space="preserve">is not to be expected </w:t>
      </w:r>
      <w:r w:rsidR="00361913">
        <w:rPr>
          <w:noProof/>
        </w:rPr>
        <w:t xml:space="preserve">(Kuykendall </w:t>
      </w:r>
      <w:r w:rsidR="00361913">
        <w:rPr>
          <w:i/>
          <w:noProof/>
        </w:rPr>
        <w:t>et al</w:t>
      </w:r>
      <w:r w:rsidR="00361913">
        <w:rPr>
          <w:noProof/>
        </w:rPr>
        <w:t>. 1992)</w:t>
      </w:r>
      <w:r>
        <w:rPr>
          <w:noProof/>
        </w:rPr>
        <w:t xml:space="preserve"> but</w:t>
      </w:r>
      <w:r w:rsidR="00361913">
        <w:rPr>
          <w:noProof/>
        </w:rPr>
        <w:t xml:space="preserve"> </w:t>
      </w:r>
      <w:r w:rsidR="00425B27">
        <w:rPr>
          <w:noProof/>
        </w:rPr>
        <w:t>a s</w:t>
      </w:r>
      <w:r w:rsidR="00361913">
        <w:rPr>
          <w:noProof/>
        </w:rPr>
        <w:t xml:space="preserve">mall amounts of individual variation and sample error would be entirely likely.  </w:t>
      </w:r>
      <w:r w:rsidR="00425B27">
        <w:rPr>
          <w:noProof/>
        </w:rPr>
        <w:t xml:space="preserve">To what extent this would hold </w:t>
      </w:r>
      <w:r w:rsidR="00361913">
        <w:rPr>
          <w:noProof/>
        </w:rPr>
        <w:t xml:space="preserve">true for </w:t>
      </w:r>
      <w:r w:rsidR="00361913">
        <w:rPr>
          <w:i/>
          <w:noProof/>
        </w:rPr>
        <w:t>Pan paniscus</w:t>
      </w:r>
      <w:r w:rsidR="00361913">
        <w:rPr>
          <w:noProof/>
        </w:rPr>
        <w:t xml:space="preserve"> </w:t>
      </w:r>
      <w:r w:rsidR="00425B27">
        <w:rPr>
          <w:noProof/>
        </w:rPr>
        <w:t xml:space="preserve">is not known </w:t>
      </w:r>
      <w:r w:rsidR="00361913">
        <w:rPr>
          <w:noProof/>
        </w:rPr>
        <w:t xml:space="preserve">but </w:t>
      </w:r>
      <w:r w:rsidR="00425B27">
        <w:rPr>
          <w:noProof/>
        </w:rPr>
        <w:t>it is assumed th</w:t>
      </w:r>
      <w:r w:rsidR="007E32BF">
        <w:rPr>
          <w:noProof/>
        </w:rPr>
        <w:t>is species</w:t>
      </w:r>
      <w:r w:rsidR="00361913">
        <w:rPr>
          <w:noProof/>
        </w:rPr>
        <w:t xml:space="preserve"> would </w:t>
      </w:r>
      <w:r w:rsidR="00425B27">
        <w:rPr>
          <w:noProof/>
        </w:rPr>
        <w:t xml:space="preserve">show </w:t>
      </w:r>
      <w:r w:rsidR="00361913">
        <w:rPr>
          <w:noProof/>
        </w:rPr>
        <w:t>a similar pattern.  A trend towards directionality in deviations would also suggest the possiblity of inconsistency in the application of t</w:t>
      </w:r>
      <w:r w:rsidR="00293783">
        <w:rPr>
          <w:noProof/>
        </w:rPr>
        <w:t>h</w:t>
      </w:r>
      <w:r w:rsidR="001E17D5">
        <w:rPr>
          <w:noProof/>
        </w:rPr>
        <w:t>e Demirjian method.  Table 3.12</w:t>
      </w:r>
      <w:r w:rsidR="00361913">
        <w:rPr>
          <w:noProof/>
        </w:rPr>
        <w:t xml:space="preserve"> summarises the variation found.</w:t>
      </w:r>
    </w:p>
    <w:p w:rsidR="00361913" w:rsidRPr="00B5459B" w:rsidRDefault="00A47CD2" w:rsidP="00A47CD2">
      <w:pPr>
        <w:pStyle w:val="Caption"/>
        <w:keepNext/>
        <w:jc w:val="left"/>
      </w:pPr>
      <w:bookmarkStart w:id="158" w:name="_Toc373180124"/>
      <w:proofErr w:type="gramStart"/>
      <w:r w:rsidRPr="00A47CD2">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12</w:t>
      </w:r>
      <w:r w:rsidR="008943E4">
        <w:rPr>
          <w:b/>
        </w:rPr>
        <w:fldChar w:fldCharType="end"/>
      </w:r>
      <w:r w:rsidR="00361913">
        <w:t xml:space="preserve"> Number, direction and percentage of deviations between sides of the mandible</w:t>
      </w:r>
      <w:bookmarkEnd w:id="158"/>
    </w:p>
    <w:tbl>
      <w:tblPr>
        <w:tblW w:w="8946" w:type="dxa"/>
        <w:tblInd w:w="93" w:type="dxa"/>
        <w:tblLook w:val="04A0" w:firstRow="1" w:lastRow="0" w:firstColumn="1" w:lastColumn="0" w:noHBand="0" w:noVBand="1"/>
      </w:tblPr>
      <w:tblGrid>
        <w:gridCol w:w="1716"/>
        <w:gridCol w:w="1654"/>
        <w:gridCol w:w="960"/>
        <w:gridCol w:w="2489"/>
        <w:gridCol w:w="2127"/>
      </w:tblGrid>
      <w:tr w:rsidR="00345F59" w:rsidRPr="00EE5296" w:rsidTr="00CA5FBB">
        <w:trPr>
          <w:trHeight w:hRule="exact" w:val="284"/>
        </w:trPr>
        <w:tc>
          <w:tcPr>
            <w:tcW w:w="1716" w:type="dxa"/>
            <w:tcBorders>
              <w:top w:val="single" w:sz="4" w:space="0" w:color="auto"/>
              <w:bottom w:val="single" w:sz="4" w:space="0" w:color="auto"/>
            </w:tcBorders>
            <w:shd w:val="clear" w:color="auto" w:fill="auto"/>
            <w:noWrap/>
            <w:vAlign w:val="bottom"/>
            <w:hideMark/>
          </w:tcPr>
          <w:p w:rsidR="00345F59" w:rsidRPr="00967D6B" w:rsidRDefault="004B11A0" w:rsidP="005136E3">
            <w:pPr>
              <w:spacing w:before="0" w:line="240" w:lineRule="auto"/>
              <w:jc w:val="center"/>
              <w:rPr>
                <w:rFonts w:eastAsia="Times New Roman"/>
                <w:b/>
                <w:color w:val="000000"/>
                <w:lang w:val="en-GB" w:eastAsia="en-GB"/>
              </w:rPr>
            </w:pPr>
            <w:r>
              <w:rPr>
                <w:rFonts w:eastAsia="Times New Roman"/>
                <w:b/>
                <w:color w:val="000000"/>
                <w:lang w:val="en-GB" w:eastAsia="en-GB"/>
              </w:rPr>
              <w:t>s</w:t>
            </w:r>
            <w:r w:rsidR="005136E3" w:rsidRPr="00967D6B">
              <w:rPr>
                <w:rFonts w:eastAsia="Times New Roman"/>
                <w:b/>
                <w:color w:val="000000"/>
                <w:lang w:val="en-GB" w:eastAsia="en-GB"/>
              </w:rPr>
              <w:t>pecies</w:t>
            </w:r>
          </w:p>
        </w:tc>
        <w:tc>
          <w:tcPr>
            <w:tcW w:w="2614" w:type="dxa"/>
            <w:gridSpan w:val="2"/>
            <w:tcBorders>
              <w:top w:val="single" w:sz="4" w:space="0" w:color="auto"/>
              <w:bottom w:val="single" w:sz="4" w:space="0" w:color="auto"/>
            </w:tcBorders>
            <w:shd w:val="clear" w:color="auto" w:fill="auto"/>
            <w:noWrap/>
            <w:vAlign w:val="center"/>
            <w:hideMark/>
          </w:tcPr>
          <w:p w:rsidR="00345F59" w:rsidRPr="00CA5FBB" w:rsidRDefault="004B11A0">
            <w:pPr>
              <w:spacing w:before="0" w:line="240" w:lineRule="auto"/>
              <w:jc w:val="center"/>
              <w:rPr>
                <w:rFonts w:eastAsia="Times New Roman"/>
                <w:b/>
                <w:color w:val="000000"/>
                <w:lang w:val="en-GB" w:eastAsia="en-GB"/>
              </w:rPr>
            </w:pPr>
            <w:r>
              <w:rPr>
                <w:rFonts w:eastAsia="Times New Roman"/>
                <w:b/>
                <w:color w:val="000000"/>
                <w:lang w:val="en-GB" w:eastAsia="en-GB"/>
              </w:rPr>
              <w:t>l</w:t>
            </w:r>
            <w:r w:rsidR="008943E4" w:rsidRPr="00CA5FBB">
              <w:rPr>
                <w:rFonts w:eastAsia="Times New Roman"/>
                <w:b/>
                <w:color w:val="000000"/>
                <w:lang w:val="en-GB" w:eastAsia="en-GB"/>
              </w:rPr>
              <w:t>eft minus right</w:t>
            </w:r>
          </w:p>
        </w:tc>
        <w:tc>
          <w:tcPr>
            <w:tcW w:w="2489" w:type="dxa"/>
            <w:tcBorders>
              <w:top w:val="single" w:sz="4" w:space="0" w:color="auto"/>
              <w:bottom w:val="single" w:sz="4" w:space="0" w:color="auto"/>
            </w:tcBorders>
            <w:shd w:val="clear" w:color="auto" w:fill="auto"/>
            <w:noWrap/>
            <w:vAlign w:val="center"/>
            <w:hideMark/>
          </w:tcPr>
          <w:p w:rsidR="00345F59" w:rsidRPr="00CA5FBB" w:rsidRDefault="004B11A0" w:rsidP="00B5459B">
            <w:pPr>
              <w:spacing w:before="0" w:line="240" w:lineRule="auto"/>
              <w:jc w:val="center"/>
              <w:rPr>
                <w:rFonts w:eastAsia="Times New Roman"/>
                <w:b/>
                <w:color w:val="000000"/>
                <w:lang w:val="en-GB" w:eastAsia="en-GB"/>
              </w:rPr>
            </w:pPr>
            <w:proofErr w:type="gramStart"/>
            <w:r>
              <w:rPr>
                <w:rFonts w:eastAsia="Times New Roman"/>
                <w:b/>
                <w:color w:val="000000"/>
                <w:lang w:val="en-GB" w:eastAsia="en-GB"/>
              </w:rPr>
              <w:t>t</w:t>
            </w:r>
            <w:r w:rsidR="008943E4" w:rsidRPr="00CA5FBB">
              <w:rPr>
                <w:rFonts w:eastAsia="Times New Roman"/>
                <w:b/>
                <w:color w:val="000000"/>
                <w:lang w:val="en-GB" w:eastAsia="en-GB"/>
              </w:rPr>
              <w:t>otal</w:t>
            </w:r>
            <w:proofErr w:type="gramEnd"/>
            <w:r w:rsidR="008943E4" w:rsidRPr="00CA5FBB">
              <w:rPr>
                <w:rFonts w:eastAsia="Times New Roman"/>
                <w:b/>
                <w:color w:val="000000"/>
                <w:lang w:val="en-GB" w:eastAsia="en-GB"/>
              </w:rPr>
              <w:t xml:space="preserve"> number present</w:t>
            </w:r>
            <w:r w:rsidR="008943E4" w:rsidRPr="00CA5FBB">
              <w:rPr>
                <w:rFonts w:eastAsia="Times New Roman"/>
                <w:b/>
                <w:color w:val="000000"/>
                <w:vertAlign w:val="superscript"/>
                <w:lang w:val="en-GB" w:eastAsia="en-GB"/>
              </w:rPr>
              <w:t>1.</w:t>
            </w:r>
          </w:p>
        </w:tc>
        <w:tc>
          <w:tcPr>
            <w:tcW w:w="2127" w:type="dxa"/>
            <w:tcBorders>
              <w:top w:val="single" w:sz="4" w:space="0" w:color="auto"/>
              <w:bottom w:val="single" w:sz="4" w:space="0" w:color="auto"/>
            </w:tcBorders>
            <w:shd w:val="clear" w:color="auto" w:fill="auto"/>
            <w:noWrap/>
            <w:vAlign w:val="center"/>
            <w:hideMark/>
          </w:tcPr>
          <w:p w:rsidR="00345F59" w:rsidRPr="00CA5FBB" w:rsidRDefault="008943E4" w:rsidP="00B5459B">
            <w:pPr>
              <w:spacing w:before="0" w:line="240" w:lineRule="auto"/>
              <w:jc w:val="center"/>
              <w:rPr>
                <w:rFonts w:eastAsia="Times New Roman"/>
                <w:b/>
                <w:color w:val="000000"/>
                <w:lang w:val="en-GB" w:eastAsia="en-GB"/>
              </w:rPr>
            </w:pPr>
            <w:r w:rsidRPr="00CA5FBB">
              <w:rPr>
                <w:rFonts w:eastAsia="Times New Roman"/>
                <w:b/>
                <w:color w:val="000000"/>
                <w:lang w:val="en-GB" w:eastAsia="en-GB"/>
              </w:rPr>
              <w:t>% of deviations</w:t>
            </w:r>
            <w:r w:rsidRPr="00CA5FBB">
              <w:rPr>
                <w:rFonts w:eastAsia="Times New Roman"/>
                <w:b/>
                <w:color w:val="000000"/>
                <w:vertAlign w:val="superscript"/>
                <w:lang w:val="en-GB" w:eastAsia="en-GB"/>
              </w:rPr>
              <w:t>2.</w:t>
            </w:r>
          </w:p>
        </w:tc>
      </w:tr>
      <w:tr w:rsidR="00390891" w:rsidRPr="00EE5296" w:rsidTr="00CA5FBB">
        <w:trPr>
          <w:trHeight w:hRule="exact" w:val="284"/>
        </w:trPr>
        <w:tc>
          <w:tcPr>
            <w:tcW w:w="1716" w:type="dxa"/>
            <w:vMerge w:val="restart"/>
            <w:tcBorders>
              <w:top w:val="single" w:sz="4" w:space="0" w:color="auto"/>
            </w:tcBorders>
            <w:shd w:val="clear" w:color="auto" w:fill="auto"/>
            <w:noWrap/>
            <w:vAlign w:val="center"/>
            <w:hideMark/>
          </w:tcPr>
          <w:p w:rsidR="00A35CA0" w:rsidRDefault="00390891" w:rsidP="00CA5FBB">
            <w:pPr>
              <w:spacing w:before="0" w:line="240" w:lineRule="auto"/>
              <w:jc w:val="center"/>
              <w:rPr>
                <w:rFonts w:eastAsia="Times New Roman"/>
                <w:i/>
                <w:iCs/>
                <w:color w:val="000000"/>
                <w:lang w:val="en-GB" w:eastAsia="en-GB"/>
              </w:rPr>
            </w:pPr>
            <w:r w:rsidRPr="00EE5296">
              <w:rPr>
                <w:rFonts w:eastAsia="Times New Roman"/>
                <w:i/>
                <w:iCs/>
                <w:color w:val="000000"/>
                <w:lang w:val="en-GB" w:eastAsia="en-GB"/>
              </w:rPr>
              <w:t>Pan paniscus</w:t>
            </w:r>
          </w:p>
        </w:tc>
        <w:tc>
          <w:tcPr>
            <w:tcW w:w="1654" w:type="dxa"/>
            <w:tcBorders>
              <w:top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Pr>
                <w:rFonts w:eastAsia="Times New Roman"/>
                <w:color w:val="000000"/>
                <w:lang w:val="en-GB" w:eastAsia="en-GB"/>
              </w:rPr>
              <w:t>m</w:t>
            </w:r>
            <w:r w:rsidRPr="00EE5296">
              <w:rPr>
                <w:rFonts w:eastAsia="Times New Roman"/>
                <w:color w:val="000000"/>
                <w:lang w:val="en-GB" w:eastAsia="en-GB"/>
              </w:rPr>
              <w:t>inus</w:t>
            </w:r>
            <w:r w:rsidRPr="007C50E0">
              <w:rPr>
                <w:rFonts w:eastAsia="Times New Roman"/>
                <w:color w:val="000000"/>
                <w:vertAlign w:val="superscript"/>
                <w:lang w:val="en-GB" w:eastAsia="en-GB"/>
              </w:rPr>
              <w:t>3</w:t>
            </w:r>
            <w:r>
              <w:rPr>
                <w:rFonts w:eastAsia="Times New Roman"/>
                <w:color w:val="000000"/>
                <w:vertAlign w:val="superscript"/>
                <w:lang w:val="en-GB" w:eastAsia="en-GB"/>
              </w:rPr>
              <w:t>.</w:t>
            </w:r>
          </w:p>
        </w:tc>
        <w:tc>
          <w:tcPr>
            <w:tcW w:w="960" w:type="dxa"/>
            <w:tcBorders>
              <w:top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sidRPr="00EE5296">
              <w:rPr>
                <w:rFonts w:eastAsia="Times New Roman"/>
                <w:color w:val="000000"/>
                <w:lang w:val="en-GB" w:eastAsia="en-GB"/>
              </w:rPr>
              <w:t>5</w:t>
            </w:r>
          </w:p>
        </w:tc>
        <w:tc>
          <w:tcPr>
            <w:tcW w:w="2489" w:type="dxa"/>
            <w:vMerge w:val="restart"/>
            <w:tcBorders>
              <w:top w:val="single" w:sz="4" w:space="0" w:color="auto"/>
            </w:tcBorders>
            <w:shd w:val="clear" w:color="auto" w:fill="auto"/>
            <w:noWrap/>
            <w:vAlign w:val="center"/>
            <w:hideMark/>
          </w:tcPr>
          <w:p w:rsidR="00A35CA0" w:rsidRDefault="00390891"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98</w:t>
            </w:r>
          </w:p>
        </w:tc>
        <w:tc>
          <w:tcPr>
            <w:tcW w:w="2127" w:type="dxa"/>
            <w:vMerge w:val="restart"/>
            <w:tcBorders>
              <w:top w:val="single" w:sz="4" w:space="0" w:color="auto"/>
            </w:tcBorders>
            <w:shd w:val="clear" w:color="auto" w:fill="auto"/>
            <w:noWrap/>
            <w:vAlign w:val="center"/>
            <w:hideMark/>
          </w:tcPr>
          <w:p w:rsidR="00A35CA0" w:rsidRDefault="00390891"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6</w:t>
            </w:r>
            <w:r w:rsidRPr="00EE5296">
              <w:rPr>
                <w:rFonts w:eastAsia="Times New Roman"/>
                <w:color w:val="000000"/>
                <w:lang w:val="en-GB" w:eastAsia="en-GB"/>
              </w:rPr>
              <w:t>.1%</w:t>
            </w:r>
          </w:p>
        </w:tc>
      </w:tr>
      <w:tr w:rsidR="00390891" w:rsidRPr="00EE5296" w:rsidTr="004B11A0">
        <w:trPr>
          <w:trHeight w:hRule="exact" w:val="284"/>
        </w:trPr>
        <w:tc>
          <w:tcPr>
            <w:tcW w:w="1716" w:type="dxa"/>
            <w:vMerge/>
            <w:tcBorders>
              <w:bottom w:val="single" w:sz="4" w:space="0" w:color="auto"/>
            </w:tcBorders>
            <w:shd w:val="clear" w:color="auto" w:fill="auto"/>
            <w:noWrap/>
            <w:vAlign w:val="bottom"/>
            <w:hideMark/>
          </w:tcPr>
          <w:p w:rsidR="00390891" w:rsidRPr="00EE5296" w:rsidRDefault="00390891" w:rsidP="00B5459B">
            <w:pPr>
              <w:spacing w:before="0" w:line="240" w:lineRule="auto"/>
              <w:rPr>
                <w:rFonts w:eastAsia="Times New Roman"/>
                <w:i/>
                <w:iCs/>
                <w:color w:val="000000"/>
                <w:lang w:val="en-GB" w:eastAsia="en-GB"/>
              </w:rPr>
            </w:pPr>
          </w:p>
        </w:tc>
        <w:tc>
          <w:tcPr>
            <w:tcW w:w="1654" w:type="dxa"/>
            <w:tcBorders>
              <w:bottom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Pr>
                <w:rFonts w:eastAsia="Times New Roman"/>
                <w:color w:val="000000"/>
                <w:lang w:val="en-GB" w:eastAsia="en-GB"/>
              </w:rPr>
              <w:t>p</w:t>
            </w:r>
            <w:r w:rsidRPr="00EE5296">
              <w:rPr>
                <w:rFonts w:eastAsia="Times New Roman"/>
                <w:color w:val="000000"/>
                <w:lang w:val="en-GB" w:eastAsia="en-GB"/>
              </w:rPr>
              <w:t>lus</w:t>
            </w:r>
            <w:r w:rsidRPr="007C50E0">
              <w:rPr>
                <w:rFonts w:eastAsia="Times New Roman"/>
                <w:color w:val="000000"/>
                <w:vertAlign w:val="superscript"/>
                <w:lang w:val="en-GB" w:eastAsia="en-GB"/>
              </w:rPr>
              <w:t>4</w:t>
            </w:r>
            <w:r>
              <w:rPr>
                <w:rFonts w:eastAsia="Times New Roman"/>
                <w:color w:val="000000"/>
                <w:vertAlign w:val="superscript"/>
                <w:lang w:val="en-GB" w:eastAsia="en-GB"/>
              </w:rPr>
              <w:t>.</w:t>
            </w:r>
          </w:p>
        </w:tc>
        <w:tc>
          <w:tcPr>
            <w:tcW w:w="960" w:type="dxa"/>
            <w:tcBorders>
              <w:bottom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sidRPr="00EE5296">
              <w:rPr>
                <w:rFonts w:eastAsia="Times New Roman"/>
                <w:color w:val="000000"/>
                <w:lang w:val="en-GB" w:eastAsia="en-GB"/>
              </w:rPr>
              <w:t>1</w:t>
            </w:r>
          </w:p>
        </w:tc>
        <w:tc>
          <w:tcPr>
            <w:tcW w:w="2489" w:type="dxa"/>
            <w:vMerge/>
            <w:tcBorders>
              <w:bottom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p>
        </w:tc>
        <w:tc>
          <w:tcPr>
            <w:tcW w:w="2127" w:type="dxa"/>
            <w:vMerge/>
            <w:tcBorders>
              <w:bottom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p>
        </w:tc>
      </w:tr>
      <w:tr w:rsidR="00390891" w:rsidRPr="00EE5296" w:rsidTr="00CA5FBB">
        <w:trPr>
          <w:trHeight w:hRule="exact" w:val="284"/>
        </w:trPr>
        <w:tc>
          <w:tcPr>
            <w:tcW w:w="1716" w:type="dxa"/>
            <w:vMerge w:val="restart"/>
            <w:tcBorders>
              <w:top w:val="single" w:sz="4" w:space="0" w:color="auto"/>
            </w:tcBorders>
            <w:shd w:val="clear" w:color="auto" w:fill="auto"/>
            <w:noWrap/>
            <w:vAlign w:val="center"/>
            <w:hideMark/>
          </w:tcPr>
          <w:p w:rsidR="00A35CA0" w:rsidRDefault="00390891" w:rsidP="00CA5FBB">
            <w:pPr>
              <w:spacing w:before="0" w:line="240" w:lineRule="auto"/>
              <w:jc w:val="center"/>
              <w:rPr>
                <w:rFonts w:eastAsia="Times New Roman"/>
                <w:i/>
                <w:iCs/>
                <w:color w:val="000000"/>
                <w:lang w:val="en-GB" w:eastAsia="en-GB"/>
              </w:rPr>
            </w:pPr>
            <w:r w:rsidRPr="00EE5296">
              <w:rPr>
                <w:rFonts w:eastAsia="Times New Roman"/>
                <w:i/>
                <w:iCs/>
                <w:color w:val="000000"/>
                <w:lang w:val="en-GB" w:eastAsia="en-GB"/>
              </w:rPr>
              <w:t>Pan troglodytes</w:t>
            </w:r>
          </w:p>
        </w:tc>
        <w:tc>
          <w:tcPr>
            <w:tcW w:w="1654" w:type="dxa"/>
            <w:tcBorders>
              <w:top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Pr>
                <w:rFonts w:eastAsia="Times New Roman"/>
                <w:color w:val="000000"/>
                <w:lang w:val="en-GB" w:eastAsia="en-GB"/>
              </w:rPr>
              <w:t>m</w:t>
            </w:r>
            <w:r w:rsidRPr="00EE5296">
              <w:rPr>
                <w:rFonts w:eastAsia="Times New Roman"/>
                <w:color w:val="000000"/>
                <w:lang w:val="en-GB" w:eastAsia="en-GB"/>
              </w:rPr>
              <w:t>inus</w:t>
            </w:r>
          </w:p>
        </w:tc>
        <w:tc>
          <w:tcPr>
            <w:tcW w:w="960" w:type="dxa"/>
            <w:tcBorders>
              <w:top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sidRPr="00EE5296">
              <w:rPr>
                <w:rFonts w:eastAsia="Times New Roman"/>
                <w:color w:val="000000"/>
                <w:lang w:val="en-GB" w:eastAsia="en-GB"/>
              </w:rPr>
              <w:t>13</w:t>
            </w:r>
          </w:p>
        </w:tc>
        <w:tc>
          <w:tcPr>
            <w:tcW w:w="2489" w:type="dxa"/>
            <w:vMerge w:val="restart"/>
            <w:tcBorders>
              <w:top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Pr>
                <w:rFonts w:eastAsia="Times New Roman"/>
                <w:color w:val="000000"/>
                <w:lang w:val="en-GB" w:eastAsia="en-GB"/>
              </w:rPr>
              <w:t>593</w:t>
            </w:r>
          </w:p>
        </w:tc>
        <w:tc>
          <w:tcPr>
            <w:tcW w:w="2127" w:type="dxa"/>
            <w:vMerge w:val="restart"/>
            <w:tcBorders>
              <w:top w:val="single" w:sz="4" w:space="0" w:color="auto"/>
            </w:tcBorders>
            <w:shd w:val="clear" w:color="auto" w:fill="auto"/>
            <w:noWrap/>
            <w:vAlign w:val="center"/>
            <w:hideMark/>
          </w:tcPr>
          <w:p w:rsidR="00390891" w:rsidRPr="00E26D7D" w:rsidRDefault="00390891" w:rsidP="00B5459B">
            <w:pPr>
              <w:spacing w:before="0" w:line="240" w:lineRule="auto"/>
              <w:jc w:val="center"/>
              <w:rPr>
                <w:rFonts w:eastAsia="Times New Roman"/>
                <w:color w:val="000000"/>
                <w:lang w:val="en-GB" w:eastAsia="en-GB"/>
              </w:rPr>
            </w:pPr>
            <w:r w:rsidRPr="00E26D7D">
              <w:rPr>
                <w:rFonts w:eastAsia="Times New Roman"/>
                <w:color w:val="000000"/>
                <w:lang w:val="en-GB" w:eastAsia="en-GB"/>
              </w:rPr>
              <w:t>4.4%</w:t>
            </w:r>
          </w:p>
        </w:tc>
      </w:tr>
      <w:tr w:rsidR="00390891" w:rsidRPr="00EE5296" w:rsidTr="004B11A0">
        <w:trPr>
          <w:trHeight w:hRule="exact" w:val="284"/>
        </w:trPr>
        <w:tc>
          <w:tcPr>
            <w:tcW w:w="1716" w:type="dxa"/>
            <w:vMerge/>
            <w:tcBorders>
              <w:bottom w:val="single" w:sz="4" w:space="0" w:color="auto"/>
            </w:tcBorders>
            <w:shd w:val="clear" w:color="auto" w:fill="auto"/>
            <w:noWrap/>
            <w:vAlign w:val="bottom"/>
            <w:hideMark/>
          </w:tcPr>
          <w:p w:rsidR="00390891" w:rsidRPr="00EE5296" w:rsidRDefault="00390891" w:rsidP="00B5459B">
            <w:pPr>
              <w:spacing w:before="0" w:line="240" w:lineRule="auto"/>
              <w:rPr>
                <w:rFonts w:eastAsia="Times New Roman"/>
                <w:color w:val="000000"/>
                <w:lang w:val="en-GB" w:eastAsia="en-GB"/>
              </w:rPr>
            </w:pPr>
          </w:p>
        </w:tc>
        <w:tc>
          <w:tcPr>
            <w:tcW w:w="1654" w:type="dxa"/>
            <w:tcBorders>
              <w:bottom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Pr>
                <w:rFonts w:eastAsia="Times New Roman"/>
                <w:color w:val="000000"/>
                <w:lang w:val="en-GB" w:eastAsia="en-GB"/>
              </w:rPr>
              <w:t>p</w:t>
            </w:r>
            <w:r w:rsidRPr="00EE5296">
              <w:rPr>
                <w:rFonts w:eastAsia="Times New Roman"/>
                <w:color w:val="000000"/>
                <w:lang w:val="en-GB" w:eastAsia="en-GB"/>
              </w:rPr>
              <w:t>lus</w:t>
            </w:r>
          </w:p>
        </w:tc>
        <w:tc>
          <w:tcPr>
            <w:tcW w:w="960" w:type="dxa"/>
            <w:tcBorders>
              <w:bottom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r w:rsidRPr="00EE5296">
              <w:rPr>
                <w:rFonts w:eastAsia="Times New Roman"/>
                <w:color w:val="000000"/>
                <w:lang w:val="en-GB" w:eastAsia="en-GB"/>
              </w:rPr>
              <w:t>13</w:t>
            </w:r>
          </w:p>
        </w:tc>
        <w:tc>
          <w:tcPr>
            <w:tcW w:w="2489" w:type="dxa"/>
            <w:vMerge/>
            <w:tcBorders>
              <w:bottom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p>
        </w:tc>
        <w:tc>
          <w:tcPr>
            <w:tcW w:w="2127" w:type="dxa"/>
            <w:vMerge/>
            <w:tcBorders>
              <w:bottom w:val="single" w:sz="4" w:space="0" w:color="auto"/>
            </w:tcBorders>
            <w:shd w:val="clear" w:color="auto" w:fill="auto"/>
            <w:noWrap/>
            <w:vAlign w:val="center"/>
            <w:hideMark/>
          </w:tcPr>
          <w:p w:rsidR="00390891" w:rsidRPr="00EE5296" w:rsidRDefault="00390891" w:rsidP="00B5459B">
            <w:pPr>
              <w:spacing w:before="0" w:line="240" w:lineRule="auto"/>
              <w:jc w:val="center"/>
              <w:rPr>
                <w:rFonts w:eastAsia="Times New Roman"/>
                <w:color w:val="000000"/>
                <w:lang w:val="en-GB" w:eastAsia="en-GB"/>
              </w:rPr>
            </w:pPr>
          </w:p>
        </w:tc>
      </w:tr>
    </w:tbl>
    <w:p w:rsidR="00B5459B" w:rsidRPr="00760A56" w:rsidRDefault="00B5459B" w:rsidP="00277347">
      <w:pPr>
        <w:pStyle w:val="ListParagraph"/>
        <w:numPr>
          <w:ilvl w:val="0"/>
          <w:numId w:val="14"/>
        </w:numPr>
        <w:tabs>
          <w:tab w:val="left" w:pos="360"/>
        </w:tabs>
        <w:spacing w:before="120" w:line="240" w:lineRule="auto"/>
        <w:ind w:hanging="720"/>
        <w:rPr>
          <w:noProof/>
          <w:sz w:val="20"/>
          <w:szCs w:val="20"/>
        </w:rPr>
      </w:pPr>
      <w:r w:rsidRPr="00760A56">
        <w:rPr>
          <w:noProof/>
          <w:sz w:val="20"/>
          <w:szCs w:val="20"/>
        </w:rPr>
        <w:t>Th</w:t>
      </w:r>
      <w:r>
        <w:rPr>
          <w:noProof/>
          <w:sz w:val="20"/>
          <w:szCs w:val="20"/>
        </w:rPr>
        <w:t>e</w:t>
      </w:r>
      <w:r w:rsidRPr="00760A56">
        <w:rPr>
          <w:noProof/>
          <w:sz w:val="20"/>
          <w:szCs w:val="20"/>
        </w:rPr>
        <w:t xml:space="preserve"> total number of </w:t>
      </w:r>
      <w:r>
        <w:rPr>
          <w:noProof/>
          <w:sz w:val="20"/>
          <w:szCs w:val="20"/>
        </w:rPr>
        <w:t xml:space="preserve">pairs of </w:t>
      </w:r>
      <w:r w:rsidRPr="00760A56">
        <w:rPr>
          <w:noProof/>
          <w:sz w:val="20"/>
          <w:szCs w:val="20"/>
        </w:rPr>
        <w:t>teeth present for bilateral assessment</w:t>
      </w:r>
      <w:r>
        <w:rPr>
          <w:noProof/>
          <w:sz w:val="20"/>
          <w:szCs w:val="20"/>
        </w:rPr>
        <w:t>.  The total number of teeth is double this value.</w:t>
      </w:r>
    </w:p>
    <w:p w:rsidR="00B5459B" w:rsidRPr="00924214" w:rsidRDefault="00B5459B" w:rsidP="00CF3FCD">
      <w:pPr>
        <w:pStyle w:val="ListParagraph"/>
        <w:numPr>
          <w:ilvl w:val="0"/>
          <w:numId w:val="14"/>
        </w:numPr>
        <w:tabs>
          <w:tab w:val="left" w:pos="360"/>
        </w:tabs>
        <w:spacing w:line="240" w:lineRule="auto"/>
        <w:ind w:hanging="720"/>
        <w:rPr>
          <w:noProof/>
          <w:sz w:val="20"/>
          <w:szCs w:val="20"/>
        </w:rPr>
      </w:pPr>
      <w:r w:rsidRPr="00760A56">
        <w:rPr>
          <w:noProof/>
          <w:sz w:val="20"/>
          <w:szCs w:val="20"/>
        </w:rPr>
        <w:t xml:space="preserve">The percentage of cases </w:t>
      </w:r>
      <w:r>
        <w:rPr>
          <w:noProof/>
          <w:sz w:val="20"/>
          <w:szCs w:val="20"/>
        </w:rPr>
        <w:t xml:space="preserve">out of the total number of tooth pairs </w:t>
      </w:r>
      <w:r w:rsidRPr="00760A56">
        <w:rPr>
          <w:noProof/>
          <w:sz w:val="20"/>
          <w:szCs w:val="20"/>
        </w:rPr>
        <w:t>where there was an asymmetry between sides</w:t>
      </w:r>
      <w:r w:rsidR="000567D4">
        <w:rPr>
          <w:noProof/>
        </w:rPr>
        <w:t>.</w:t>
      </w:r>
    </w:p>
    <w:p w:rsidR="00B5459B" w:rsidRPr="00924214" w:rsidRDefault="00B5459B" w:rsidP="00CF3FCD">
      <w:pPr>
        <w:pStyle w:val="ListParagraph"/>
        <w:numPr>
          <w:ilvl w:val="0"/>
          <w:numId w:val="14"/>
        </w:numPr>
        <w:tabs>
          <w:tab w:val="left" w:pos="360"/>
        </w:tabs>
        <w:spacing w:line="240" w:lineRule="auto"/>
        <w:ind w:hanging="720"/>
        <w:rPr>
          <w:noProof/>
          <w:sz w:val="20"/>
          <w:szCs w:val="20"/>
        </w:rPr>
      </w:pPr>
      <w:r w:rsidRPr="00924214">
        <w:rPr>
          <w:noProof/>
          <w:sz w:val="20"/>
          <w:szCs w:val="20"/>
        </w:rPr>
        <w:t>Th</w:t>
      </w:r>
      <w:r>
        <w:rPr>
          <w:noProof/>
          <w:sz w:val="20"/>
          <w:szCs w:val="20"/>
        </w:rPr>
        <w:t>e</w:t>
      </w:r>
      <w:r w:rsidRPr="00924214">
        <w:rPr>
          <w:noProof/>
          <w:sz w:val="20"/>
          <w:szCs w:val="20"/>
        </w:rPr>
        <w:t xml:space="preserve"> deviations in which a negative number appeared as the difference.</w:t>
      </w:r>
    </w:p>
    <w:p w:rsidR="00361913" w:rsidRPr="00B5459B" w:rsidRDefault="00B5459B" w:rsidP="00CF3FCD">
      <w:pPr>
        <w:pStyle w:val="ListParagraph"/>
        <w:numPr>
          <w:ilvl w:val="0"/>
          <w:numId w:val="14"/>
        </w:numPr>
        <w:tabs>
          <w:tab w:val="left" w:pos="360"/>
        </w:tabs>
        <w:spacing w:line="240" w:lineRule="auto"/>
        <w:ind w:hanging="720"/>
        <w:rPr>
          <w:noProof/>
          <w:sz w:val="20"/>
          <w:szCs w:val="20"/>
        </w:rPr>
      </w:pPr>
      <w:r w:rsidRPr="00924214">
        <w:rPr>
          <w:noProof/>
          <w:sz w:val="20"/>
          <w:szCs w:val="20"/>
        </w:rPr>
        <w:t>Th</w:t>
      </w:r>
      <w:r>
        <w:rPr>
          <w:noProof/>
          <w:sz w:val="20"/>
          <w:szCs w:val="20"/>
        </w:rPr>
        <w:t>e</w:t>
      </w:r>
      <w:r w:rsidRPr="00924214">
        <w:rPr>
          <w:noProof/>
          <w:sz w:val="20"/>
          <w:szCs w:val="20"/>
        </w:rPr>
        <w:t xml:space="preserve"> deviations in which a positive number appeared as the difference.</w:t>
      </w:r>
    </w:p>
    <w:p w:rsidR="00361913" w:rsidRDefault="00542678" w:rsidP="00BA1BBE">
      <w:pPr>
        <w:tabs>
          <w:tab w:val="left" w:pos="360"/>
        </w:tabs>
        <w:rPr>
          <w:noProof/>
        </w:rPr>
      </w:pPr>
      <w:r>
        <w:rPr>
          <w:noProof/>
        </w:rPr>
        <w:lastRenderedPageBreak/>
        <w:t xml:space="preserve">In </w:t>
      </w:r>
      <w:r w:rsidR="00361913">
        <w:rPr>
          <w:noProof/>
        </w:rPr>
        <w:t xml:space="preserve">chimpanzees </w:t>
      </w:r>
      <w:r>
        <w:rPr>
          <w:noProof/>
        </w:rPr>
        <w:t xml:space="preserve">it was found </w:t>
      </w:r>
      <w:r w:rsidR="00361913">
        <w:rPr>
          <w:noProof/>
        </w:rPr>
        <w:t xml:space="preserve">that the vast majority of individuals had no difference between sides (96.6%).  Of the deviations between sides, </w:t>
      </w:r>
      <w:r w:rsidR="00BA1BBE">
        <w:rPr>
          <w:noProof/>
        </w:rPr>
        <w:t xml:space="preserve">there was </w:t>
      </w:r>
      <w:r w:rsidR="00361913">
        <w:rPr>
          <w:noProof/>
        </w:rPr>
        <w:t>a perfectly even split between positive and negative deviat</w:t>
      </w:r>
      <w:r w:rsidR="00D95801">
        <w:rPr>
          <w:noProof/>
        </w:rPr>
        <w:t>ions, suggesting the variation wa</w:t>
      </w:r>
      <w:r w:rsidR="00361913">
        <w:rPr>
          <w:noProof/>
        </w:rPr>
        <w:t>s random.  The percentage of cases which had identical score</w:t>
      </w:r>
      <w:r w:rsidR="00180E43">
        <w:rPr>
          <w:noProof/>
        </w:rPr>
        <w:t>s</w:t>
      </w:r>
      <w:r w:rsidR="00361913">
        <w:rPr>
          <w:noProof/>
        </w:rPr>
        <w:t xml:space="preserve"> for both sides in bonobos was also high with 94.9% showing the same value for both sides.  The deviation appear</w:t>
      </w:r>
      <w:r w:rsidR="00AB768E">
        <w:rPr>
          <w:noProof/>
        </w:rPr>
        <w:t>s</w:t>
      </w:r>
      <w:r w:rsidR="00361913">
        <w:rPr>
          <w:noProof/>
        </w:rPr>
        <w:t xml:space="preserve"> </w:t>
      </w:r>
      <w:r w:rsidR="00AB768E">
        <w:rPr>
          <w:noProof/>
        </w:rPr>
        <w:t>biased</w:t>
      </w:r>
      <w:r w:rsidR="00361913">
        <w:rPr>
          <w:noProof/>
        </w:rPr>
        <w:t xml:space="preserve"> towards the right side.  </w:t>
      </w:r>
      <w:r w:rsidR="00BA1BBE">
        <w:rPr>
          <w:noProof/>
        </w:rPr>
        <w:t xml:space="preserve">By </w:t>
      </w:r>
      <w:r w:rsidR="00361913">
        <w:rPr>
          <w:noProof/>
        </w:rPr>
        <w:t xml:space="preserve">using </w:t>
      </w:r>
      <w:r w:rsidR="00BA1BBE">
        <w:rPr>
          <w:noProof/>
        </w:rPr>
        <w:t xml:space="preserve">a </w:t>
      </w:r>
      <w:r w:rsidR="00361913">
        <w:rPr>
          <w:noProof/>
        </w:rPr>
        <w:t xml:space="preserve">binomial probability equation </w:t>
      </w:r>
      <w:r w:rsidR="00BA1BBE">
        <w:rPr>
          <w:noProof/>
        </w:rPr>
        <w:t xml:space="preserve">it is possible to show that </w:t>
      </w:r>
      <w:r w:rsidR="00BA1BBE">
        <w:rPr>
          <w:color w:val="000000"/>
          <w:shd w:val="clear" w:color="auto" w:fill="FFFFFF"/>
        </w:rPr>
        <w:t xml:space="preserve">the two sides do not differ and the deviations are erroneous or </w:t>
      </w:r>
      <w:r w:rsidR="00F20A43">
        <w:rPr>
          <w:color w:val="000000"/>
          <w:shd w:val="clear" w:color="auto" w:fill="FFFFFF"/>
        </w:rPr>
        <w:t>random</w:t>
      </w:r>
      <w:r w:rsidR="00BA1BBE">
        <w:rPr>
          <w:noProof/>
        </w:rPr>
        <w:t>.</w:t>
      </w:r>
    </w:p>
    <w:p w:rsidR="00361913" w:rsidRPr="00AF3393" w:rsidRDefault="00361913" w:rsidP="00B5459B">
      <w:pPr>
        <w:rPr>
          <w:rFonts w:eastAsia="Times New Roman"/>
          <w:sz w:val="24"/>
          <w:szCs w:val="24"/>
          <w:lang w:val="en-GB" w:eastAsia="en-GB"/>
        </w:rPr>
      </w:pPr>
      <w:r>
        <w:rPr>
          <w:noProof/>
        </w:rPr>
        <w:t>Binomial probability equation:</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0"/>
        <w:gridCol w:w="1027"/>
        <w:gridCol w:w="806"/>
        <w:gridCol w:w="876"/>
      </w:tblGrid>
      <w:tr w:rsidR="00361913" w:rsidRPr="00AF3393" w:rsidTr="007E0E10">
        <w:trPr>
          <w:tblCellSpacing w:w="15" w:type="dxa"/>
        </w:trPr>
        <w:tc>
          <w:tcPr>
            <w:tcW w:w="75" w:type="dxa"/>
            <w:shd w:val="clear" w:color="auto" w:fill="FFFFFF"/>
            <w:vAlign w:val="center"/>
            <w:hideMark/>
          </w:tcPr>
          <w:p w:rsidR="00361913" w:rsidRPr="00AF3393" w:rsidRDefault="00361913" w:rsidP="00B5459B">
            <w:pPr>
              <w:spacing w:before="0" w:line="240" w:lineRule="auto"/>
              <w:jc w:val="center"/>
              <w:rPr>
                <w:rFonts w:eastAsia="Times New Roman"/>
                <w:color w:val="000000"/>
                <w:lang w:val="en-GB" w:eastAsia="en-GB"/>
              </w:rPr>
            </w:pPr>
          </w:p>
        </w:tc>
        <w:tc>
          <w:tcPr>
            <w:tcW w:w="0" w:type="auto"/>
            <w:shd w:val="clear" w:color="auto" w:fill="FFFFFF"/>
            <w:noWrap/>
            <w:vAlign w:val="center"/>
            <w:hideMark/>
          </w:tcPr>
          <w:p w:rsidR="00361913" w:rsidRPr="00AF3393" w:rsidRDefault="00361913" w:rsidP="00B5459B">
            <w:pPr>
              <w:spacing w:before="0" w:line="240" w:lineRule="auto"/>
              <w:jc w:val="center"/>
              <w:rPr>
                <w:rFonts w:eastAsia="Times New Roman"/>
                <w:color w:val="000000"/>
                <w:lang w:val="en-GB" w:eastAsia="en-GB"/>
              </w:rPr>
            </w:pPr>
            <w:r w:rsidRPr="00AF3393">
              <w:rPr>
                <w:rFonts w:eastAsia="Times New Roman"/>
                <w:color w:val="000000"/>
                <w:lang w:val="en-GB" w:eastAsia="en-GB"/>
              </w:rPr>
              <w:t>P</w:t>
            </w:r>
            <w:r w:rsidRPr="00AF3393">
              <w:rPr>
                <w:rFonts w:eastAsia="Times New Roman"/>
                <w:color w:val="000000"/>
                <w:vertAlign w:val="subscript"/>
                <w:lang w:val="en-GB" w:eastAsia="en-GB"/>
              </w:rPr>
              <w:t>(k out of N)</w:t>
            </w:r>
            <w:r w:rsidRPr="00AF3393">
              <w:rPr>
                <w:rFonts w:eastAsia="Times New Roman"/>
                <w:color w:val="000000"/>
                <w:lang w:val="en-GB" w:eastAsia="en-GB"/>
              </w:rPr>
              <w:t> =</w:t>
            </w:r>
          </w:p>
        </w:tc>
        <w:tc>
          <w:tcPr>
            <w:tcW w:w="0" w:type="auto"/>
            <w:shd w:val="clear" w:color="auto" w:fill="FFFFFF"/>
            <w:noWrap/>
            <w:vAlign w:val="center"/>
            <w:hideMark/>
          </w:tcPr>
          <w:p w:rsidR="00361913" w:rsidRPr="00AF3393" w:rsidRDefault="00361913" w:rsidP="00B5459B">
            <w:pPr>
              <w:spacing w:before="0" w:line="240" w:lineRule="auto"/>
              <w:jc w:val="center"/>
              <w:rPr>
                <w:rFonts w:eastAsia="Times New Roman"/>
                <w:color w:val="000000"/>
                <w:lang w:val="en-GB" w:eastAsia="en-GB"/>
              </w:rPr>
            </w:pPr>
            <w:r w:rsidRPr="00AF3393">
              <w:rPr>
                <w:rFonts w:eastAsia="Times New Roman"/>
                <w:color w:val="000000"/>
                <w:lang w:val="en-GB" w:eastAsia="en-GB"/>
              </w:rPr>
              <w:t>N!</w:t>
            </w:r>
          </w:p>
          <w:p w:rsidR="00361913" w:rsidRPr="00AF3393" w:rsidRDefault="00CD3F38" w:rsidP="00B5459B">
            <w:pPr>
              <w:spacing w:before="0" w:line="240" w:lineRule="auto"/>
              <w:jc w:val="center"/>
              <w:rPr>
                <w:rFonts w:eastAsia="Times New Roman"/>
                <w:color w:val="000000"/>
                <w:lang w:val="en-GB" w:eastAsia="en-GB"/>
              </w:rPr>
            </w:pPr>
            <w:r>
              <w:rPr>
                <w:rFonts w:eastAsia="Times New Roman"/>
                <w:color w:val="000000"/>
                <w:lang w:val="en-GB" w:eastAsia="en-GB"/>
              </w:rPr>
              <w:pict>
                <v:rect id="_x0000_i1025" style="width:0;height:.75pt" o:hralign="center" o:hrstd="t" o:hrnoshade="t" o:hr="t" fillcolor="black" stroked="f"/>
              </w:pict>
            </w:r>
          </w:p>
          <w:p w:rsidR="00361913" w:rsidRPr="00AF3393" w:rsidRDefault="00361913" w:rsidP="00B5459B">
            <w:pPr>
              <w:spacing w:before="0" w:line="240" w:lineRule="auto"/>
              <w:jc w:val="center"/>
              <w:rPr>
                <w:rFonts w:eastAsia="Times New Roman"/>
                <w:color w:val="000000"/>
                <w:lang w:val="en-GB" w:eastAsia="en-GB"/>
              </w:rPr>
            </w:pPr>
            <w:proofErr w:type="gramStart"/>
            <w:r w:rsidRPr="00AF3393">
              <w:rPr>
                <w:rFonts w:eastAsia="Times New Roman"/>
                <w:color w:val="000000"/>
                <w:lang w:val="en-GB" w:eastAsia="en-GB"/>
              </w:rPr>
              <w:t>k</w:t>
            </w:r>
            <w:proofErr w:type="gramEnd"/>
            <w:r w:rsidRPr="00AF3393">
              <w:rPr>
                <w:rFonts w:eastAsia="Times New Roman"/>
                <w:color w:val="000000"/>
                <w:lang w:val="en-GB" w:eastAsia="en-GB"/>
              </w:rPr>
              <w:t>!(N-k)!</w:t>
            </w:r>
          </w:p>
        </w:tc>
        <w:tc>
          <w:tcPr>
            <w:tcW w:w="0" w:type="auto"/>
            <w:shd w:val="clear" w:color="auto" w:fill="FFFFFF"/>
            <w:noWrap/>
            <w:vAlign w:val="center"/>
            <w:hideMark/>
          </w:tcPr>
          <w:p w:rsidR="00361913" w:rsidRPr="00AF3393" w:rsidRDefault="00361913" w:rsidP="00B5459B">
            <w:pPr>
              <w:spacing w:before="0" w:line="240" w:lineRule="auto"/>
              <w:jc w:val="center"/>
              <w:rPr>
                <w:rFonts w:eastAsia="Times New Roman"/>
                <w:color w:val="000000"/>
                <w:lang w:val="en-GB" w:eastAsia="en-GB"/>
              </w:rPr>
            </w:pPr>
            <w:r w:rsidRPr="00AF3393">
              <w:rPr>
                <w:rFonts w:eastAsia="Times New Roman"/>
                <w:color w:val="000000"/>
                <w:lang w:val="en-GB" w:eastAsia="en-GB"/>
              </w:rPr>
              <w:t>(p</w:t>
            </w:r>
            <w:r w:rsidRPr="00AF3393">
              <w:rPr>
                <w:rFonts w:eastAsia="Times New Roman"/>
                <w:color w:val="000000"/>
                <w:vertAlign w:val="superscript"/>
                <w:lang w:val="en-GB" w:eastAsia="en-GB"/>
              </w:rPr>
              <w:t>k</w:t>
            </w:r>
            <w:r w:rsidRPr="00AF3393">
              <w:rPr>
                <w:rFonts w:eastAsia="Times New Roman"/>
                <w:color w:val="000000"/>
                <w:lang w:val="en-GB" w:eastAsia="en-GB"/>
              </w:rPr>
              <w:t>)(q</w:t>
            </w:r>
            <w:r w:rsidRPr="00AF3393">
              <w:rPr>
                <w:rFonts w:eastAsia="Times New Roman"/>
                <w:color w:val="000000"/>
                <w:vertAlign w:val="superscript"/>
                <w:lang w:val="en-GB" w:eastAsia="en-GB"/>
              </w:rPr>
              <w:t>N-k</w:t>
            </w:r>
            <w:r w:rsidRPr="00AF3393">
              <w:rPr>
                <w:rFonts w:eastAsia="Times New Roman"/>
                <w:color w:val="000000"/>
                <w:lang w:val="en-GB" w:eastAsia="en-GB"/>
              </w:rPr>
              <w:t>)</w:t>
            </w:r>
          </w:p>
        </w:tc>
      </w:tr>
    </w:tbl>
    <w:p w:rsidR="00361913" w:rsidRDefault="00361913" w:rsidP="00B5459B">
      <w:pPr>
        <w:rPr>
          <w:noProof/>
        </w:rPr>
      </w:pPr>
      <w:r>
        <w:rPr>
          <w:noProof/>
        </w:rPr>
        <w:t xml:space="preserve">In this instance, k refers to the number successes (minuses), N refers to the total number of trials (both pluses and minuses), and p/q refer to the probability of success and failure (in this case both are equally probable).  If </w:t>
      </w:r>
      <w:r w:rsidR="00BA1BBE">
        <w:rPr>
          <w:noProof/>
        </w:rPr>
        <w:t xml:space="preserve">it is </w:t>
      </w:r>
      <w:r>
        <w:rPr>
          <w:noProof/>
        </w:rPr>
        <w:t>assume</w:t>
      </w:r>
      <w:r w:rsidR="00BA1BBE">
        <w:rPr>
          <w:noProof/>
        </w:rPr>
        <w:t>d</w:t>
      </w:r>
      <w:r>
        <w:rPr>
          <w:noProof/>
        </w:rPr>
        <w:t xml:space="preserve"> that the probability of positive or negative values would be p/q</w:t>
      </w:r>
      <w:r w:rsidR="00180E43">
        <w:rPr>
          <w:noProof/>
        </w:rPr>
        <w:t xml:space="preserve"> </w:t>
      </w:r>
      <w:r>
        <w:rPr>
          <w:noProof/>
        </w:rPr>
        <w:t>=</w:t>
      </w:r>
      <w:r w:rsidR="00180E43">
        <w:rPr>
          <w:noProof/>
        </w:rPr>
        <w:t xml:space="preserve"> </w:t>
      </w:r>
      <w:r>
        <w:rPr>
          <w:noProof/>
        </w:rPr>
        <w:t>0.5, N</w:t>
      </w:r>
      <w:r w:rsidR="00180E43">
        <w:rPr>
          <w:noProof/>
        </w:rPr>
        <w:t xml:space="preserve"> </w:t>
      </w:r>
      <w:r>
        <w:rPr>
          <w:noProof/>
        </w:rPr>
        <w:t>=</w:t>
      </w:r>
      <w:r w:rsidR="00180E43">
        <w:rPr>
          <w:noProof/>
        </w:rPr>
        <w:t xml:space="preserve"> </w:t>
      </w:r>
      <w:r>
        <w:rPr>
          <w:noProof/>
        </w:rPr>
        <w:t>6 and k</w:t>
      </w:r>
      <w:r w:rsidR="00180E43">
        <w:rPr>
          <w:noProof/>
        </w:rPr>
        <w:t xml:space="preserve"> </w:t>
      </w:r>
      <w:r>
        <w:rPr>
          <w:noProof/>
        </w:rPr>
        <w:t>=</w:t>
      </w:r>
      <w:r w:rsidR="00180E43">
        <w:rPr>
          <w:noProof/>
        </w:rPr>
        <w:t xml:space="preserve"> </w:t>
      </w:r>
      <w:r>
        <w:rPr>
          <w:noProof/>
        </w:rPr>
        <w:t xml:space="preserve">5, then using the binomial probability equation our </w:t>
      </w:r>
      <w:proofErr w:type="gramStart"/>
      <w:r>
        <w:rPr>
          <w:color w:val="000000"/>
          <w:shd w:val="clear" w:color="auto" w:fill="FFFFFF"/>
        </w:rPr>
        <w:t>P</w:t>
      </w:r>
      <w:r w:rsidRPr="005C3409">
        <w:rPr>
          <w:color w:val="000000"/>
          <w:shd w:val="clear" w:color="auto" w:fill="FFFFFF"/>
          <w:vertAlign w:val="subscript"/>
        </w:rPr>
        <w:t>(</w:t>
      </w:r>
      <w:proofErr w:type="gramEnd"/>
      <w:r w:rsidRPr="005C3409">
        <w:rPr>
          <w:color w:val="000000"/>
          <w:shd w:val="clear" w:color="auto" w:fill="FFFFFF"/>
          <w:vertAlign w:val="subscript"/>
        </w:rPr>
        <w:t>k out of N)</w:t>
      </w:r>
      <w:r w:rsidRPr="005C3409">
        <w:rPr>
          <w:rStyle w:val="apple-converted-space"/>
          <w:color w:val="000000"/>
          <w:shd w:val="clear" w:color="auto" w:fill="FFFFFF"/>
        </w:rPr>
        <w:t> </w:t>
      </w:r>
      <w:r w:rsidRPr="005C3409">
        <w:rPr>
          <w:color w:val="000000"/>
          <w:shd w:val="clear" w:color="auto" w:fill="FFFFFF"/>
        </w:rPr>
        <w:t>=</w:t>
      </w:r>
      <w:r>
        <w:rPr>
          <w:color w:val="000000"/>
          <w:shd w:val="clear" w:color="auto" w:fill="FFFFFF"/>
        </w:rPr>
        <w:t xml:space="preserve"> </w:t>
      </w:r>
      <w:r w:rsidRPr="005C3409">
        <w:rPr>
          <w:noProof/>
        </w:rPr>
        <w:t>0.09375</w:t>
      </w:r>
      <w:r w:rsidR="009B279A">
        <w:rPr>
          <w:noProof/>
        </w:rPr>
        <w:t>.  I</w:t>
      </w:r>
      <w:r>
        <w:rPr>
          <w:noProof/>
        </w:rPr>
        <w:t xml:space="preserve">f </w:t>
      </w:r>
      <w:r w:rsidR="00AC5622">
        <w:rPr>
          <w:noProof/>
        </w:rPr>
        <w:t xml:space="preserve">the </w:t>
      </w:r>
      <w:r>
        <w:rPr>
          <w:noProof/>
        </w:rPr>
        <w:t xml:space="preserve">cut-off at </w:t>
      </w:r>
      <w:proofErr w:type="gramStart"/>
      <w:r>
        <w:rPr>
          <w:color w:val="000000"/>
          <w:shd w:val="clear" w:color="auto" w:fill="FFFFFF"/>
        </w:rPr>
        <w:t>P</w:t>
      </w:r>
      <w:r w:rsidRPr="005C3409">
        <w:rPr>
          <w:color w:val="000000"/>
          <w:shd w:val="clear" w:color="auto" w:fill="FFFFFF"/>
          <w:vertAlign w:val="subscript"/>
        </w:rPr>
        <w:t>(</w:t>
      </w:r>
      <w:proofErr w:type="gramEnd"/>
      <w:r w:rsidRPr="005C3409">
        <w:rPr>
          <w:color w:val="000000"/>
          <w:shd w:val="clear" w:color="auto" w:fill="FFFFFF"/>
          <w:vertAlign w:val="subscript"/>
        </w:rPr>
        <w:t>k out of N)</w:t>
      </w:r>
      <w:r w:rsidRPr="005C3409">
        <w:rPr>
          <w:rStyle w:val="apple-converted-space"/>
          <w:color w:val="000000"/>
          <w:shd w:val="clear" w:color="auto" w:fill="FFFFFF"/>
        </w:rPr>
        <w:t> </w:t>
      </w:r>
      <w:r w:rsidRPr="005C3409">
        <w:rPr>
          <w:color w:val="000000"/>
          <w:shd w:val="clear" w:color="auto" w:fill="FFFFFF"/>
        </w:rPr>
        <w:t>=</w:t>
      </w:r>
      <w:r w:rsidR="00180E43">
        <w:rPr>
          <w:color w:val="000000"/>
          <w:shd w:val="clear" w:color="auto" w:fill="FFFFFF"/>
        </w:rPr>
        <w:t xml:space="preserve"> </w:t>
      </w:r>
      <w:r w:rsidR="009B279A">
        <w:rPr>
          <w:color w:val="000000"/>
          <w:shd w:val="clear" w:color="auto" w:fill="FFFFFF"/>
        </w:rPr>
        <w:t xml:space="preserve">0.05 is set </w:t>
      </w:r>
      <w:r>
        <w:rPr>
          <w:color w:val="000000"/>
          <w:shd w:val="clear" w:color="auto" w:fill="FFFFFF"/>
        </w:rPr>
        <w:t>then we fail to reject the null hypothesis.</w:t>
      </w:r>
    </w:p>
    <w:p w:rsidR="00361913" w:rsidRPr="00CA0C96" w:rsidRDefault="00AB768E" w:rsidP="00B5459B">
      <w:pPr>
        <w:rPr>
          <w:b/>
          <w:i/>
          <w:noProof/>
        </w:rPr>
      </w:pPr>
      <w:r w:rsidRPr="00CA0C96">
        <w:rPr>
          <w:b/>
          <w:i/>
          <w:noProof/>
        </w:rPr>
        <w:t>3.</w:t>
      </w:r>
      <w:r w:rsidR="00967862" w:rsidRPr="00CA0C96">
        <w:rPr>
          <w:b/>
          <w:i/>
          <w:noProof/>
        </w:rPr>
        <w:t>3</w:t>
      </w:r>
      <w:r w:rsidRPr="00CA0C96">
        <w:rPr>
          <w:b/>
          <w:i/>
          <w:noProof/>
        </w:rPr>
        <w:t>.</w:t>
      </w:r>
      <w:r w:rsidR="00967862" w:rsidRPr="00CA0C96">
        <w:rPr>
          <w:b/>
          <w:i/>
          <w:noProof/>
        </w:rPr>
        <w:t>2</w:t>
      </w:r>
      <w:r w:rsidRPr="00CA0C96">
        <w:rPr>
          <w:b/>
          <w:i/>
          <w:noProof/>
        </w:rPr>
        <w:t>.c</w:t>
      </w:r>
      <w:r w:rsidRPr="00CA0C96">
        <w:rPr>
          <w:b/>
          <w:i/>
          <w:noProof/>
        </w:rPr>
        <w:tab/>
      </w:r>
      <w:r w:rsidR="00361913" w:rsidRPr="00CA0C96">
        <w:rPr>
          <w:b/>
          <w:i/>
          <w:noProof/>
        </w:rPr>
        <w:t>Conditions 2 and 3</w:t>
      </w:r>
    </w:p>
    <w:p w:rsidR="00361913" w:rsidRDefault="00361913" w:rsidP="00B5459B">
      <w:pPr>
        <w:rPr>
          <w:noProof/>
        </w:rPr>
      </w:pPr>
      <w:r>
        <w:rPr>
          <w:noProof/>
        </w:rPr>
        <w:t>For Condition 2, where only one side (left or right) had a complete score</w:t>
      </w:r>
      <w:r w:rsidR="00013142">
        <w:rPr>
          <w:noProof/>
        </w:rPr>
        <w:t>,</w:t>
      </w:r>
      <w:r>
        <w:rPr>
          <w:noProof/>
        </w:rPr>
        <w:t xml:space="preserve"> the only complete score present was simply placed in the final score variable.  For some individuals with mandibles in Condition 3 where neither left </w:t>
      </w:r>
      <w:r w:rsidR="0089371A">
        <w:rPr>
          <w:noProof/>
        </w:rPr>
        <w:t>n</w:t>
      </w:r>
      <w:r>
        <w:rPr>
          <w:noProof/>
        </w:rPr>
        <w:t>or right had complete dentition, there was the possibility of producing a ‘complete’quadrant by combining missing values from either left or right scores.  Dental scores were thus possible for individuals with a number of missing teeth.</w:t>
      </w:r>
      <w:r w:rsidR="0089371A">
        <w:rPr>
          <w:noProof/>
        </w:rPr>
        <w:t xml:space="preserve"> </w:t>
      </w:r>
      <w:r w:rsidRPr="00C77BD1">
        <w:rPr>
          <w:noProof/>
        </w:rPr>
        <w:t xml:space="preserve"> </w:t>
      </w:r>
      <w:r w:rsidR="008B2732">
        <w:rPr>
          <w:noProof/>
        </w:rPr>
        <w:t>Table 3.1</w:t>
      </w:r>
      <w:r w:rsidR="001E17D5">
        <w:rPr>
          <w:noProof/>
        </w:rPr>
        <w:t>3</w:t>
      </w:r>
      <w:r>
        <w:rPr>
          <w:noProof/>
        </w:rPr>
        <w:t xml:space="preserve"> shows the number of complete scores for both left and right quadrants by species.  Note that c</w:t>
      </w:r>
      <w:r w:rsidR="0089371A">
        <w:rPr>
          <w:noProof/>
        </w:rPr>
        <w:t>omposites included</w:t>
      </w:r>
      <w:r w:rsidRPr="00C54423">
        <w:rPr>
          <w:noProof/>
        </w:rPr>
        <w:t xml:space="preserve"> all individuals with a complete quadrant plus those with assembled quadrants</w:t>
      </w:r>
      <w:r>
        <w:rPr>
          <w:noProof/>
        </w:rPr>
        <w:t xml:space="preserve"> derived from individuals with Condition 3</w:t>
      </w:r>
      <w:r w:rsidR="00402D61">
        <w:rPr>
          <w:noProof/>
        </w:rPr>
        <w:t xml:space="preserve"> where</w:t>
      </w:r>
      <w:r w:rsidR="0090141C">
        <w:rPr>
          <w:noProof/>
        </w:rPr>
        <w:t xml:space="preserve"> left and right teeth </w:t>
      </w:r>
      <w:r w:rsidR="00402D61">
        <w:rPr>
          <w:noProof/>
        </w:rPr>
        <w:t xml:space="preserve">were combined </w:t>
      </w:r>
      <w:r w:rsidR="0090141C">
        <w:rPr>
          <w:noProof/>
        </w:rPr>
        <w:t>to make a full quadrant</w:t>
      </w:r>
      <w:r>
        <w:rPr>
          <w:noProof/>
        </w:rPr>
        <w:t>.</w:t>
      </w:r>
    </w:p>
    <w:p w:rsidR="00361913" w:rsidRPr="00A339FB" w:rsidRDefault="00A47CD2" w:rsidP="00A47CD2">
      <w:pPr>
        <w:pStyle w:val="Caption"/>
      </w:pPr>
      <w:bookmarkStart w:id="159" w:name="_Toc373180125"/>
      <w:proofErr w:type="gramStart"/>
      <w:r w:rsidRPr="00A47CD2">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13</w:t>
      </w:r>
      <w:r w:rsidR="008943E4">
        <w:rPr>
          <w:b/>
        </w:rPr>
        <w:fldChar w:fldCharType="end"/>
      </w:r>
      <w:r w:rsidR="00361913">
        <w:t xml:space="preserve"> N</w:t>
      </w:r>
      <w:r w:rsidR="00361913" w:rsidRPr="00E062EC">
        <w:t>umber of complete scores for both left and right quadrants by species</w:t>
      </w:r>
      <w:r w:rsidR="008B2732">
        <w:t>.</w:t>
      </w:r>
      <w:bookmarkEnd w:id="159"/>
    </w:p>
    <w:tbl>
      <w:tblPr>
        <w:tblW w:w="9640" w:type="dxa"/>
        <w:tblInd w:w="-176" w:type="dxa"/>
        <w:tblLook w:val="04A0" w:firstRow="1" w:lastRow="0" w:firstColumn="1" w:lastColumn="0" w:noHBand="0" w:noVBand="1"/>
      </w:tblPr>
      <w:tblGrid>
        <w:gridCol w:w="1985"/>
        <w:gridCol w:w="1134"/>
        <w:gridCol w:w="1985"/>
        <w:gridCol w:w="2268"/>
        <w:gridCol w:w="2268"/>
      </w:tblGrid>
      <w:tr w:rsidR="00361913" w:rsidRPr="00546C5B" w:rsidTr="00CA5FBB">
        <w:trPr>
          <w:trHeight w:val="680"/>
        </w:trPr>
        <w:tc>
          <w:tcPr>
            <w:tcW w:w="1985" w:type="dxa"/>
            <w:tcBorders>
              <w:top w:val="single" w:sz="4" w:space="0" w:color="auto"/>
              <w:bottom w:val="single" w:sz="4" w:space="0" w:color="auto"/>
            </w:tcBorders>
            <w:shd w:val="clear" w:color="auto" w:fill="auto"/>
            <w:noWrap/>
            <w:vAlign w:val="center"/>
            <w:hideMark/>
          </w:tcPr>
          <w:p w:rsidR="00361913" w:rsidRPr="00CA5FBB" w:rsidRDefault="005E5649" w:rsidP="00CF5DF4">
            <w:pPr>
              <w:spacing w:before="0" w:line="240" w:lineRule="auto"/>
              <w:jc w:val="center"/>
              <w:rPr>
                <w:b/>
                <w:lang w:val="en-GB" w:eastAsia="en-GB"/>
              </w:rPr>
            </w:pPr>
            <w:r>
              <w:rPr>
                <w:b/>
                <w:lang w:val="en-GB" w:eastAsia="en-GB"/>
              </w:rPr>
              <w:t>s</w:t>
            </w:r>
            <w:r w:rsidR="008943E4" w:rsidRPr="00CA5FBB">
              <w:rPr>
                <w:b/>
                <w:lang w:val="en-GB" w:eastAsia="en-GB"/>
              </w:rPr>
              <w:t>pecies/sub-species</w:t>
            </w:r>
          </w:p>
        </w:tc>
        <w:tc>
          <w:tcPr>
            <w:tcW w:w="1134" w:type="dxa"/>
            <w:tcBorders>
              <w:top w:val="single" w:sz="4" w:space="0" w:color="auto"/>
              <w:bottom w:val="single" w:sz="4" w:space="0" w:color="auto"/>
            </w:tcBorders>
            <w:shd w:val="clear" w:color="auto" w:fill="auto"/>
            <w:noWrap/>
            <w:vAlign w:val="center"/>
            <w:hideMark/>
          </w:tcPr>
          <w:p w:rsidR="00361913" w:rsidRPr="00CA5FBB" w:rsidRDefault="005E5649" w:rsidP="00CF5DF4">
            <w:pPr>
              <w:spacing w:before="0" w:line="240" w:lineRule="auto"/>
              <w:jc w:val="center"/>
              <w:rPr>
                <w:b/>
                <w:lang w:val="en-GB" w:eastAsia="en-GB"/>
              </w:rPr>
            </w:pPr>
            <w:r>
              <w:rPr>
                <w:b/>
                <w:lang w:val="en-GB" w:eastAsia="en-GB"/>
              </w:rPr>
              <w:t>t</w:t>
            </w:r>
            <w:r w:rsidR="008943E4" w:rsidRPr="00CA5FBB">
              <w:rPr>
                <w:b/>
                <w:lang w:val="en-GB" w:eastAsia="en-GB"/>
              </w:rPr>
              <w:t>otal sample</w:t>
            </w:r>
          </w:p>
        </w:tc>
        <w:tc>
          <w:tcPr>
            <w:tcW w:w="1985" w:type="dxa"/>
            <w:tcBorders>
              <w:top w:val="single" w:sz="4" w:space="0" w:color="auto"/>
              <w:bottom w:val="single" w:sz="4" w:space="0" w:color="auto"/>
            </w:tcBorders>
            <w:shd w:val="clear" w:color="auto" w:fill="auto"/>
            <w:noWrap/>
            <w:vAlign w:val="center"/>
            <w:hideMark/>
          </w:tcPr>
          <w:p w:rsidR="00361913" w:rsidRPr="00CA5FBB" w:rsidRDefault="005E5649" w:rsidP="00CF5DF4">
            <w:pPr>
              <w:spacing w:before="0" w:line="240" w:lineRule="auto"/>
              <w:jc w:val="center"/>
              <w:rPr>
                <w:b/>
                <w:lang w:val="en-GB" w:eastAsia="en-GB"/>
              </w:rPr>
            </w:pPr>
            <w:r>
              <w:rPr>
                <w:b/>
                <w:lang w:val="en-GB" w:eastAsia="en-GB"/>
              </w:rPr>
              <w:t>c</w:t>
            </w:r>
            <w:r w:rsidR="008943E4" w:rsidRPr="00CA5FBB">
              <w:rPr>
                <w:b/>
                <w:lang w:val="en-GB" w:eastAsia="en-GB"/>
              </w:rPr>
              <w:t>omplete right mandibles</w:t>
            </w:r>
          </w:p>
        </w:tc>
        <w:tc>
          <w:tcPr>
            <w:tcW w:w="2268" w:type="dxa"/>
            <w:tcBorders>
              <w:top w:val="single" w:sz="4" w:space="0" w:color="auto"/>
              <w:bottom w:val="single" w:sz="4" w:space="0" w:color="auto"/>
            </w:tcBorders>
            <w:shd w:val="clear" w:color="auto" w:fill="auto"/>
            <w:noWrap/>
            <w:vAlign w:val="center"/>
            <w:hideMark/>
          </w:tcPr>
          <w:p w:rsidR="00361913" w:rsidRPr="00CA5FBB" w:rsidRDefault="005E5649" w:rsidP="00CF5DF4">
            <w:pPr>
              <w:spacing w:before="0" w:line="240" w:lineRule="auto"/>
              <w:jc w:val="center"/>
              <w:rPr>
                <w:b/>
                <w:lang w:val="en-GB" w:eastAsia="en-GB"/>
              </w:rPr>
            </w:pPr>
            <w:r>
              <w:rPr>
                <w:b/>
                <w:lang w:val="en-GB" w:eastAsia="en-GB"/>
              </w:rPr>
              <w:t>c</w:t>
            </w:r>
            <w:r w:rsidR="008943E4" w:rsidRPr="00CA5FBB">
              <w:rPr>
                <w:b/>
                <w:lang w:val="en-GB" w:eastAsia="en-GB"/>
              </w:rPr>
              <w:t>omplete left mandibles</w:t>
            </w:r>
          </w:p>
        </w:tc>
        <w:tc>
          <w:tcPr>
            <w:tcW w:w="2268" w:type="dxa"/>
            <w:tcBorders>
              <w:top w:val="single" w:sz="4" w:space="0" w:color="auto"/>
              <w:bottom w:val="single" w:sz="4" w:space="0" w:color="auto"/>
            </w:tcBorders>
            <w:shd w:val="clear" w:color="auto" w:fill="auto"/>
            <w:noWrap/>
            <w:vAlign w:val="center"/>
            <w:hideMark/>
          </w:tcPr>
          <w:p w:rsidR="00361913" w:rsidRPr="00CA5FBB" w:rsidRDefault="005E5649" w:rsidP="00CF5DF4">
            <w:pPr>
              <w:spacing w:before="0" w:line="240" w:lineRule="auto"/>
              <w:jc w:val="center"/>
              <w:rPr>
                <w:b/>
                <w:lang w:val="en-GB" w:eastAsia="en-GB"/>
              </w:rPr>
            </w:pPr>
            <w:r>
              <w:rPr>
                <w:b/>
                <w:lang w:val="en-GB" w:eastAsia="en-GB"/>
              </w:rPr>
              <w:t>c</w:t>
            </w:r>
            <w:r w:rsidR="008943E4" w:rsidRPr="00CA5FBB">
              <w:rPr>
                <w:b/>
                <w:lang w:val="en-GB" w:eastAsia="en-GB"/>
              </w:rPr>
              <w:t>omplete composite mandibles</w:t>
            </w:r>
          </w:p>
        </w:tc>
      </w:tr>
      <w:tr w:rsidR="00361913" w:rsidRPr="00546C5B" w:rsidTr="00CA5FBB">
        <w:trPr>
          <w:trHeight w:val="315"/>
        </w:trPr>
        <w:tc>
          <w:tcPr>
            <w:tcW w:w="1985" w:type="dxa"/>
            <w:tcBorders>
              <w:top w:val="single" w:sz="4" w:space="0" w:color="auto"/>
            </w:tcBorders>
            <w:shd w:val="clear" w:color="auto" w:fill="auto"/>
            <w:noWrap/>
            <w:vAlign w:val="center"/>
            <w:hideMark/>
          </w:tcPr>
          <w:p w:rsidR="00361913" w:rsidRPr="00546C5B" w:rsidRDefault="00361913" w:rsidP="00CF5DF4">
            <w:pPr>
              <w:spacing w:before="0" w:line="240" w:lineRule="auto"/>
              <w:rPr>
                <w:rFonts w:eastAsia="Times New Roman"/>
                <w:i/>
                <w:iCs/>
                <w:color w:val="000000"/>
                <w:lang w:val="en-GB" w:eastAsia="en-GB"/>
              </w:rPr>
            </w:pPr>
            <w:r>
              <w:rPr>
                <w:rFonts w:eastAsia="Times New Roman"/>
                <w:i/>
                <w:iCs/>
                <w:color w:val="000000"/>
                <w:lang w:val="en-GB" w:eastAsia="en-GB"/>
              </w:rPr>
              <w:t>P</w:t>
            </w:r>
            <w:r w:rsidR="00013142">
              <w:rPr>
                <w:rFonts w:eastAsia="Times New Roman"/>
                <w:i/>
                <w:iCs/>
                <w:color w:val="000000"/>
                <w:lang w:val="en-GB" w:eastAsia="en-GB"/>
              </w:rPr>
              <w:t>.</w:t>
            </w:r>
            <w:r w:rsidRPr="00546C5B">
              <w:rPr>
                <w:rFonts w:eastAsia="Times New Roman"/>
                <w:i/>
                <w:iCs/>
                <w:color w:val="000000"/>
                <w:lang w:val="en-GB" w:eastAsia="en-GB"/>
              </w:rPr>
              <w:t xml:space="preserve"> </w:t>
            </w:r>
            <w:r>
              <w:rPr>
                <w:rFonts w:eastAsia="Times New Roman"/>
                <w:i/>
                <w:iCs/>
                <w:color w:val="000000"/>
                <w:lang w:val="en-GB" w:eastAsia="en-GB"/>
              </w:rPr>
              <w:t>p</w:t>
            </w:r>
            <w:r w:rsidRPr="00546C5B">
              <w:rPr>
                <w:rFonts w:eastAsia="Times New Roman"/>
                <w:i/>
                <w:iCs/>
                <w:color w:val="000000"/>
                <w:lang w:val="en-GB" w:eastAsia="en-GB"/>
              </w:rPr>
              <w:t>aniscus</w:t>
            </w:r>
          </w:p>
        </w:tc>
        <w:tc>
          <w:tcPr>
            <w:tcW w:w="1134" w:type="dxa"/>
            <w:tcBorders>
              <w:top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37</w:t>
            </w:r>
          </w:p>
        </w:tc>
        <w:tc>
          <w:tcPr>
            <w:tcW w:w="1985" w:type="dxa"/>
            <w:tcBorders>
              <w:top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14</w:t>
            </w:r>
          </w:p>
        </w:tc>
        <w:tc>
          <w:tcPr>
            <w:tcW w:w="2268" w:type="dxa"/>
            <w:tcBorders>
              <w:top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13</w:t>
            </w:r>
          </w:p>
        </w:tc>
        <w:tc>
          <w:tcPr>
            <w:tcW w:w="2268" w:type="dxa"/>
            <w:tcBorders>
              <w:top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22</w:t>
            </w:r>
          </w:p>
        </w:tc>
      </w:tr>
      <w:tr w:rsidR="00361913" w:rsidRPr="00546C5B" w:rsidTr="00CA5FBB">
        <w:trPr>
          <w:trHeight w:val="375"/>
        </w:trPr>
        <w:tc>
          <w:tcPr>
            <w:tcW w:w="1985" w:type="dxa"/>
            <w:shd w:val="clear" w:color="auto" w:fill="auto"/>
            <w:noWrap/>
            <w:vAlign w:val="center"/>
            <w:hideMark/>
          </w:tcPr>
          <w:p w:rsidR="00361913" w:rsidRPr="00546C5B" w:rsidRDefault="00361913" w:rsidP="00CF5DF4">
            <w:pPr>
              <w:spacing w:before="0" w:line="240" w:lineRule="auto"/>
              <w:rPr>
                <w:rFonts w:eastAsia="Times New Roman"/>
                <w:i/>
                <w:iCs/>
                <w:color w:val="000000"/>
                <w:lang w:val="en-GB" w:eastAsia="en-GB"/>
              </w:rPr>
            </w:pPr>
            <w:r>
              <w:rPr>
                <w:rFonts w:eastAsia="Times New Roman"/>
                <w:i/>
                <w:iCs/>
                <w:color w:val="000000"/>
                <w:lang w:val="en-GB" w:eastAsia="en-GB"/>
              </w:rPr>
              <w:t>P</w:t>
            </w:r>
            <w:r w:rsidR="00013142">
              <w:rPr>
                <w:rFonts w:eastAsia="Times New Roman"/>
                <w:i/>
                <w:iCs/>
                <w:color w:val="000000"/>
                <w:lang w:val="en-GB" w:eastAsia="en-GB"/>
              </w:rPr>
              <w:t>.</w:t>
            </w:r>
            <w:r w:rsidRPr="00546C5B">
              <w:rPr>
                <w:rFonts w:eastAsia="Times New Roman"/>
                <w:i/>
                <w:iCs/>
                <w:color w:val="000000"/>
                <w:lang w:val="en-GB" w:eastAsia="en-GB"/>
              </w:rPr>
              <w:t xml:space="preserve"> troglodytes</w:t>
            </w:r>
            <w:r>
              <w:rPr>
                <w:rFonts w:eastAsia="Times New Roman"/>
                <w:color w:val="000000"/>
                <w:vertAlign w:val="superscript"/>
                <w:lang w:val="en-GB" w:eastAsia="en-GB"/>
              </w:rPr>
              <w:t>1</w:t>
            </w:r>
          </w:p>
        </w:tc>
        <w:tc>
          <w:tcPr>
            <w:tcW w:w="1134" w:type="dxa"/>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177</w:t>
            </w:r>
          </w:p>
        </w:tc>
        <w:tc>
          <w:tcPr>
            <w:tcW w:w="1985" w:type="dxa"/>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116</w:t>
            </w:r>
          </w:p>
        </w:tc>
        <w:tc>
          <w:tcPr>
            <w:tcW w:w="2268" w:type="dxa"/>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130</w:t>
            </w:r>
          </w:p>
        </w:tc>
        <w:tc>
          <w:tcPr>
            <w:tcW w:w="2268" w:type="dxa"/>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145</w:t>
            </w:r>
          </w:p>
        </w:tc>
      </w:tr>
      <w:tr w:rsidR="00361913" w:rsidRPr="00546C5B" w:rsidTr="00CA5FBB">
        <w:trPr>
          <w:trHeight w:val="315"/>
        </w:trPr>
        <w:tc>
          <w:tcPr>
            <w:tcW w:w="1985" w:type="dxa"/>
            <w:tcBorders>
              <w:bottom w:val="single" w:sz="4" w:space="0" w:color="auto"/>
            </w:tcBorders>
            <w:shd w:val="clear" w:color="auto" w:fill="auto"/>
            <w:noWrap/>
            <w:vAlign w:val="center"/>
            <w:hideMark/>
          </w:tcPr>
          <w:p w:rsidR="00361913" w:rsidRPr="00546C5B" w:rsidRDefault="00361913" w:rsidP="00CF5DF4">
            <w:pPr>
              <w:spacing w:before="0" w:line="240" w:lineRule="auto"/>
              <w:rPr>
                <w:rFonts w:eastAsia="Times New Roman"/>
                <w:color w:val="000000"/>
                <w:lang w:val="en-GB" w:eastAsia="en-GB"/>
              </w:rPr>
            </w:pPr>
            <w:r w:rsidRPr="00546C5B">
              <w:rPr>
                <w:rFonts w:eastAsia="Times New Roman"/>
                <w:color w:val="000000"/>
                <w:lang w:val="en-GB" w:eastAsia="en-GB"/>
              </w:rPr>
              <w:t>unidentified</w:t>
            </w:r>
            <w:r w:rsidRPr="00546C5B">
              <w:rPr>
                <w:rFonts w:eastAsia="Times New Roman"/>
                <w:i/>
                <w:iCs/>
                <w:color w:val="000000"/>
                <w:lang w:val="en-GB" w:eastAsia="en-GB"/>
              </w:rPr>
              <w:t xml:space="preserve"> Pan</w:t>
            </w:r>
          </w:p>
        </w:tc>
        <w:tc>
          <w:tcPr>
            <w:tcW w:w="1134" w:type="dxa"/>
            <w:tcBorders>
              <w:bottom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5</w:t>
            </w:r>
          </w:p>
        </w:tc>
        <w:tc>
          <w:tcPr>
            <w:tcW w:w="1985" w:type="dxa"/>
            <w:tcBorders>
              <w:bottom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4</w:t>
            </w:r>
          </w:p>
        </w:tc>
        <w:tc>
          <w:tcPr>
            <w:tcW w:w="2268" w:type="dxa"/>
            <w:tcBorders>
              <w:bottom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4</w:t>
            </w:r>
          </w:p>
        </w:tc>
        <w:tc>
          <w:tcPr>
            <w:tcW w:w="2268" w:type="dxa"/>
            <w:tcBorders>
              <w:bottom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4</w:t>
            </w:r>
          </w:p>
        </w:tc>
      </w:tr>
      <w:tr w:rsidR="00361913" w:rsidRPr="00546C5B" w:rsidTr="00CA5FBB">
        <w:trPr>
          <w:trHeight w:val="315"/>
        </w:trPr>
        <w:tc>
          <w:tcPr>
            <w:tcW w:w="1985" w:type="dxa"/>
            <w:tcBorders>
              <w:top w:val="single" w:sz="4" w:space="0" w:color="auto"/>
              <w:bottom w:val="single" w:sz="4" w:space="0" w:color="auto"/>
            </w:tcBorders>
            <w:shd w:val="clear" w:color="auto" w:fill="auto"/>
            <w:noWrap/>
            <w:vAlign w:val="center"/>
            <w:hideMark/>
          </w:tcPr>
          <w:p w:rsidR="00361913" w:rsidRPr="00546C5B" w:rsidRDefault="005A52AF" w:rsidP="00CF5DF4">
            <w:pPr>
              <w:spacing w:before="0" w:line="240" w:lineRule="auto"/>
              <w:rPr>
                <w:rFonts w:eastAsia="Times New Roman"/>
                <w:color w:val="000000"/>
                <w:lang w:val="en-GB" w:eastAsia="en-GB"/>
              </w:rPr>
            </w:pPr>
            <w:r>
              <w:rPr>
                <w:rFonts w:eastAsia="Times New Roman"/>
                <w:color w:val="000000"/>
                <w:lang w:val="en-GB" w:eastAsia="en-GB"/>
              </w:rPr>
              <w:t>t</w:t>
            </w:r>
            <w:r w:rsidR="00361913">
              <w:rPr>
                <w:rFonts w:eastAsia="Times New Roman"/>
                <w:color w:val="000000"/>
                <w:lang w:val="en-GB" w:eastAsia="en-GB"/>
              </w:rPr>
              <w:t>otal</w:t>
            </w:r>
          </w:p>
        </w:tc>
        <w:tc>
          <w:tcPr>
            <w:tcW w:w="1134" w:type="dxa"/>
            <w:tcBorders>
              <w:top w:val="single" w:sz="4" w:space="0" w:color="auto"/>
              <w:bottom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219</w:t>
            </w:r>
          </w:p>
        </w:tc>
        <w:tc>
          <w:tcPr>
            <w:tcW w:w="1985" w:type="dxa"/>
            <w:tcBorders>
              <w:top w:val="single" w:sz="4" w:space="0" w:color="auto"/>
              <w:bottom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134</w:t>
            </w:r>
          </w:p>
        </w:tc>
        <w:tc>
          <w:tcPr>
            <w:tcW w:w="2268" w:type="dxa"/>
            <w:tcBorders>
              <w:top w:val="single" w:sz="4" w:space="0" w:color="auto"/>
              <w:bottom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147</w:t>
            </w:r>
          </w:p>
        </w:tc>
        <w:tc>
          <w:tcPr>
            <w:tcW w:w="2268" w:type="dxa"/>
            <w:tcBorders>
              <w:top w:val="single" w:sz="4" w:space="0" w:color="auto"/>
              <w:bottom w:val="single" w:sz="4" w:space="0" w:color="auto"/>
            </w:tcBorders>
            <w:shd w:val="clear" w:color="auto" w:fill="auto"/>
            <w:noWrap/>
            <w:vAlign w:val="center"/>
            <w:hideMark/>
          </w:tcPr>
          <w:p w:rsidR="00361913" w:rsidRPr="00546C5B" w:rsidRDefault="00361913" w:rsidP="00CF5DF4">
            <w:pPr>
              <w:spacing w:before="0" w:line="240" w:lineRule="auto"/>
              <w:jc w:val="center"/>
              <w:rPr>
                <w:rFonts w:eastAsia="Times New Roman"/>
                <w:color w:val="000000"/>
                <w:lang w:val="en-GB" w:eastAsia="en-GB"/>
              </w:rPr>
            </w:pPr>
            <w:r w:rsidRPr="00546C5B">
              <w:rPr>
                <w:rFonts w:eastAsia="Times New Roman"/>
                <w:color w:val="000000"/>
                <w:lang w:val="en-GB" w:eastAsia="en-GB"/>
              </w:rPr>
              <w:t>171</w:t>
            </w:r>
          </w:p>
        </w:tc>
      </w:tr>
    </w:tbl>
    <w:p w:rsidR="00A35CA0" w:rsidRDefault="00A47CD2" w:rsidP="00CA5FBB">
      <w:pPr>
        <w:tabs>
          <w:tab w:val="left" w:pos="360"/>
        </w:tabs>
        <w:spacing w:before="120" w:line="240" w:lineRule="auto"/>
        <w:ind w:left="992" w:hanging="1276"/>
        <w:rPr>
          <w:noProof/>
          <w:sz w:val="20"/>
          <w:szCs w:val="20"/>
        </w:rPr>
      </w:pPr>
      <w:r>
        <w:rPr>
          <w:noProof/>
          <w:sz w:val="20"/>
          <w:szCs w:val="20"/>
        </w:rPr>
        <w:t xml:space="preserve">1. </w:t>
      </w:r>
      <w:r w:rsidR="00B5459B" w:rsidRPr="00A47CD2">
        <w:rPr>
          <w:noProof/>
          <w:sz w:val="20"/>
          <w:szCs w:val="20"/>
        </w:rPr>
        <w:t xml:space="preserve">combined </w:t>
      </w:r>
      <w:r w:rsidR="00B5459B" w:rsidRPr="00A47CD2">
        <w:rPr>
          <w:i/>
          <w:noProof/>
          <w:sz w:val="20"/>
          <w:szCs w:val="20"/>
        </w:rPr>
        <w:t>Pan troglodytes</w:t>
      </w:r>
      <w:r w:rsidR="00B5459B" w:rsidRPr="00A47CD2">
        <w:rPr>
          <w:noProof/>
          <w:sz w:val="20"/>
          <w:szCs w:val="20"/>
        </w:rPr>
        <w:t xml:space="preserve"> includes all sub-species</w:t>
      </w:r>
    </w:p>
    <w:p w:rsidR="00361913" w:rsidRDefault="00361913" w:rsidP="00B5459B">
      <w:pPr>
        <w:rPr>
          <w:noProof/>
        </w:rPr>
      </w:pPr>
      <w:r>
        <w:rPr>
          <w:noProof/>
        </w:rPr>
        <w:lastRenderedPageBreak/>
        <w:t xml:space="preserve">Complete composite mandibles make up a </w:t>
      </w:r>
      <w:r w:rsidR="0089371A">
        <w:rPr>
          <w:noProof/>
        </w:rPr>
        <w:t>large</w:t>
      </w:r>
      <w:r>
        <w:rPr>
          <w:noProof/>
        </w:rPr>
        <w:t xml:space="preserve"> proportion of the total sample size with 78% (171 of 219) present but there still remained missing individuals.  There were 15 individuals that had no skull present, these being a single bonobo and fourteen chimpanzees.</w:t>
      </w:r>
    </w:p>
    <w:p w:rsidR="00361913" w:rsidRPr="00D433CE" w:rsidRDefault="00361913" w:rsidP="00D263E8">
      <w:pPr>
        <w:pStyle w:val="Heading3"/>
      </w:pPr>
      <w:bookmarkStart w:id="160" w:name="_Toc373477768"/>
      <w:bookmarkStart w:id="161" w:name="_Toc373480766"/>
      <w:r>
        <w:t>Incomplete quadrants and imputed data</w:t>
      </w:r>
      <w:bookmarkEnd w:id="160"/>
      <w:bookmarkEnd w:id="161"/>
    </w:p>
    <w:p w:rsidR="00361913" w:rsidRDefault="00553ED3" w:rsidP="00D433CE">
      <w:pPr>
        <w:rPr>
          <w:noProof/>
          <w:color w:val="000000" w:themeColor="text1"/>
        </w:rPr>
      </w:pPr>
      <w:r>
        <w:rPr>
          <w:noProof/>
        </w:rPr>
        <w:t>In the sample there were 47</w:t>
      </w:r>
      <w:r w:rsidR="00361913">
        <w:rPr>
          <w:noProof/>
        </w:rPr>
        <w:t xml:space="preserve"> individuals with mandibles that did not have complete </w:t>
      </w:r>
      <w:r>
        <w:rPr>
          <w:noProof/>
        </w:rPr>
        <w:t>composite dental scores.  For 19</w:t>
      </w:r>
      <w:r w:rsidR="00361913">
        <w:rPr>
          <w:noProof/>
        </w:rPr>
        <w:t xml:space="preserve"> of these individuals there was no skull present and a score was not possible </w:t>
      </w:r>
      <w:r w:rsidR="00AB768E">
        <w:rPr>
          <w:noProof/>
        </w:rPr>
        <w:t>to calculate</w:t>
      </w:r>
      <w:r>
        <w:rPr>
          <w:noProof/>
        </w:rPr>
        <w:t>.  However, for 28</w:t>
      </w:r>
      <w:r w:rsidR="00B62E81">
        <w:rPr>
          <w:noProof/>
        </w:rPr>
        <w:t xml:space="preserve"> of the individuals</w:t>
      </w:r>
      <w:r w:rsidR="00AB768E">
        <w:rPr>
          <w:noProof/>
        </w:rPr>
        <w:t xml:space="preserve"> </w:t>
      </w:r>
      <w:r w:rsidR="00361913">
        <w:rPr>
          <w:noProof/>
        </w:rPr>
        <w:t xml:space="preserve">there were at least </w:t>
      </w:r>
      <w:r>
        <w:rPr>
          <w:noProof/>
        </w:rPr>
        <w:t>some teeth present.  Of those 28</w:t>
      </w:r>
      <w:r w:rsidR="00361913">
        <w:rPr>
          <w:noProof/>
        </w:rPr>
        <w:t xml:space="preserve"> individuals, the mean number of teeth present was 11.63</w:t>
      </w:r>
      <w:r w:rsidR="00CF5DF4">
        <w:rPr>
          <w:noProof/>
        </w:rPr>
        <w:t xml:space="preserve"> </w:t>
      </w:r>
      <w:r w:rsidR="00AB768E">
        <w:rPr>
          <w:noProof/>
        </w:rPr>
        <w:t>±</w:t>
      </w:r>
      <w:r w:rsidR="00CF5DF4">
        <w:rPr>
          <w:noProof/>
        </w:rPr>
        <w:t xml:space="preserve"> </w:t>
      </w:r>
      <w:r w:rsidR="00AB768E">
        <w:rPr>
          <w:noProof/>
        </w:rPr>
        <w:t>2.6</w:t>
      </w:r>
      <w:r w:rsidR="00361913">
        <w:rPr>
          <w:noProof/>
        </w:rPr>
        <w:t xml:space="preserve"> out of total possible sample of 16</w:t>
      </w:r>
      <w:r>
        <w:rPr>
          <w:noProof/>
        </w:rPr>
        <w:t xml:space="preserve"> (two quadrants of 8)</w:t>
      </w:r>
      <w:r w:rsidR="00361913">
        <w:rPr>
          <w:noProof/>
        </w:rPr>
        <w:t xml:space="preserve">.  </w:t>
      </w:r>
      <w:r w:rsidR="00021010">
        <w:rPr>
          <w:noProof/>
        </w:rPr>
        <w:t>T</w:t>
      </w:r>
      <w:r w:rsidR="00361913">
        <w:rPr>
          <w:noProof/>
        </w:rPr>
        <w:t xml:space="preserve">his figure does not </w:t>
      </w:r>
      <w:r w:rsidR="00021010">
        <w:rPr>
          <w:noProof/>
        </w:rPr>
        <w:t>indicate</w:t>
      </w:r>
      <w:r w:rsidR="00361913">
        <w:rPr>
          <w:noProof/>
        </w:rPr>
        <w:t xml:space="preserve"> the distribution o</w:t>
      </w:r>
      <w:r w:rsidR="00A16FEC">
        <w:rPr>
          <w:noProof/>
        </w:rPr>
        <w:t>f m</w:t>
      </w:r>
      <w:r w:rsidR="00AB768E">
        <w:rPr>
          <w:noProof/>
        </w:rPr>
        <w:t xml:space="preserve">issing teeth </w:t>
      </w:r>
      <w:r w:rsidR="006220C6">
        <w:rPr>
          <w:noProof/>
        </w:rPr>
        <w:t>but</w:t>
      </w:r>
      <w:r w:rsidR="00AB768E">
        <w:rPr>
          <w:noProof/>
        </w:rPr>
        <w:t xml:space="preserve"> it is</w:t>
      </w:r>
      <w:r w:rsidR="00361913">
        <w:rPr>
          <w:noProof/>
        </w:rPr>
        <w:t xml:space="preserve"> infer</w:t>
      </w:r>
      <w:r w:rsidR="00AB768E">
        <w:rPr>
          <w:noProof/>
        </w:rPr>
        <w:t>red</w:t>
      </w:r>
      <w:r w:rsidR="00361913">
        <w:rPr>
          <w:noProof/>
        </w:rPr>
        <w:t xml:space="preserve"> that each of these individuals would be missing at least one tooth category.  This amounts to at least 2 out of 16 missing </w:t>
      </w:r>
      <w:r w:rsidR="00066876">
        <w:rPr>
          <w:noProof/>
        </w:rPr>
        <w:t xml:space="preserve">with </w:t>
      </w:r>
      <w:r w:rsidR="0057546F">
        <w:rPr>
          <w:noProof/>
        </w:rPr>
        <w:t>the</w:t>
      </w:r>
      <w:r w:rsidR="00361913">
        <w:rPr>
          <w:noProof/>
        </w:rPr>
        <w:t xml:space="preserve"> highest complet</w:t>
      </w:r>
      <w:r w:rsidR="003508FD">
        <w:rPr>
          <w:noProof/>
        </w:rPr>
        <w:t xml:space="preserve">eness value for any individual </w:t>
      </w:r>
      <w:r w:rsidR="00361913">
        <w:rPr>
          <w:noProof/>
        </w:rPr>
        <w:t>of 87.5%.  Provided that not all individuals were only missing one tooth and a small number of individuals were missing many, this would suggest that for most individuals the m</w:t>
      </w:r>
      <w:r w:rsidR="00077B72">
        <w:rPr>
          <w:noProof/>
        </w:rPr>
        <w:t>ajority of teeth were present.</w:t>
      </w:r>
      <w:r w:rsidR="00202624">
        <w:rPr>
          <w:noProof/>
        </w:rPr>
        <w:t xml:space="preserve">  Table 3.14</w:t>
      </w:r>
      <w:r w:rsidR="00361913">
        <w:rPr>
          <w:noProof/>
        </w:rPr>
        <w:t xml:space="preserve"> demonstrates number of teeth present by tooth category.  The pattern of missing</w:t>
      </w:r>
      <w:r w:rsidR="004C7A51">
        <w:rPr>
          <w:noProof/>
        </w:rPr>
        <w:t xml:space="preserve"> teeth</w:t>
      </w:r>
      <w:r w:rsidR="00361913">
        <w:rPr>
          <w:noProof/>
        </w:rPr>
        <w:t xml:space="preserve"> is typical of tooth loss in osteological collection</w:t>
      </w:r>
      <w:r w:rsidR="00766EE0">
        <w:rPr>
          <w:noProof/>
        </w:rPr>
        <w:t>s</w:t>
      </w:r>
      <w:r w:rsidR="00361913">
        <w:rPr>
          <w:noProof/>
        </w:rPr>
        <w:t xml:space="preserve"> with incisors frequently missing and molars most often present.</w:t>
      </w:r>
    </w:p>
    <w:p w:rsidR="00361913" w:rsidRPr="00D433CE" w:rsidRDefault="00A47CD2" w:rsidP="00A47CD2">
      <w:pPr>
        <w:pStyle w:val="Caption"/>
      </w:pPr>
      <w:bookmarkStart w:id="162" w:name="_Toc373180126"/>
      <w:proofErr w:type="gramStart"/>
      <w:r w:rsidRPr="00A47CD2">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14</w:t>
      </w:r>
      <w:r w:rsidR="008943E4">
        <w:rPr>
          <w:b/>
        </w:rPr>
        <w:fldChar w:fldCharType="end"/>
      </w:r>
      <w:r w:rsidR="00A17646">
        <w:t xml:space="preserve"> </w:t>
      </w:r>
      <w:r w:rsidR="00361913" w:rsidRPr="00110170">
        <w:t>Missing tooth frequency analysis</w:t>
      </w:r>
      <w:r w:rsidR="00030CA3">
        <w:t xml:space="preserve"> for individuals with incomplete quadrants</w:t>
      </w:r>
      <w:r w:rsidR="008B186E">
        <w:t>.</w:t>
      </w:r>
      <w:bookmarkEnd w:id="162"/>
    </w:p>
    <w:tbl>
      <w:tblPr>
        <w:tblW w:w="7477" w:type="dxa"/>
        <w:jc w:val="center"/>
        <w:tblInd w:w="93" w:type="dxa"/>
        <w:tblBorders>
          <w:top w:val="single" w:sz="4" w:space="0" w:color="auto"/>
          <w:bottom w:val="single" w:sz="4" w:space="0" w:color="auto"/>
        </w:tblBorders>
        <w:tblLook w:val="04A0" w:firstRow="1" w:lastRow="0" w:firstColumn="1" w:lastColumn="0" w:noHBand="0" w:noVBand="1"/>
      </w:tblPr>
      <w:tblGrid>
        <w:gridCol w:w="2000"/>
        <w:gridCol w:w="1236"/>
        <w:gridCol w:w="2114"/>
        <w:gridCol w:w="2127"/>
      </w:tblGrid>
      <w:tr w:rsidR="00361913" w:rsidRPr="00110170" w:rsidTr="00CA5FBB">
        <w:trPr>
          <w:trHeight w:val="300"/>
          <w:jc w:val="center"/>
        </w:trPr>
        <w:tc>
          <w:tcPr>
            <w:tcW w:w="2000" w:type="dxa"/>
            <w:tcBorders>
              <w:top w:val="single" w:sz="4" w:space="0" w:color="auto"/>
              <w:bottom w:val="single" w:sz="4" w:space="0" w:color="auto"/>
            </w:tcBorders>
            <w:shd w:val="clear" w:color="auto" w:fill="auto"/>
            <w:noWrap/>
            <w:vAlign w:val="center"/>
            <w:hideMark/>
          </w:tcPr>
          <w:p w:rsidR="00361913" w:rsidRPr="00CA5FBB" w:rsidRDefault="00963A2C" w:rsidP="00963A2C">
            <w:pPr>
              <w:spacing w:before="0" w:line="240" w:lineRule="auto"/>
              <w:jc w:val="center"/>
              <w:rPr>
                <w:rFonts w:eastAsia="Times New Roman"/>
                <w:b/>
                <w:color w:val="000000"/>
                <w:lang w:val="en-GB" w:eastAsia="en-GB"/>
              </w:rPr>
            </w:pPr>
            <w:r>
              <w:rPr>
                <w:rFonts w:eastAsia="Times New Roman"/>
                <w:b/>
                <w:color w:val="000000"/>
                <w:lang w:val="en-GB" w:eastAsia="en-GB"/>
              </w:rPr>
              <w:t>q</w:t>
            </w:r>
            <w:r w:rsidR="008943E4" w:rsidRPr="00CA5FBB">
              <w:rPr>
                <w:rFonts w:eastAsia="Times New Roman"/>
                <w:b/>
                <w:color w:val="000000"/>
                <w:lang w:val="en-GB" w:eastAsia="en-GB"/>
              </w:rPr>
              <w:t>uadrant</w:t>
            </w:r>
          </w:p>
        </w:tc>
        <w:tc>
          <w:tcPr>
            <w:tcW w:w="1236" w:type="dxa"/>
            <w:tcBorders>
              <w:top w:val="single" w:sz="4" w:space="0" w:color="auto"/>
              <w:bottom w:val="single" w:sz="4" w:space="0" w:color="auto"/>
            </w:tcBorders>
            <w:shd w:val="clear" w:color="auto" w:fill="auto"/>
            <w:noWrap/>
            <w:vAlign w:val="center"/>
            <w:hideMark/>
          </w:tcPr>
          <w:p w:rsidR="00361913" w:rsidRPr="00CA5FBB" w:rsidRDefault="00963A2C" w:rsidP="00963A2C">
            <w:pPr>
              <w:spacing w:before="0" w:line="240" w:lineRule="auto"/>
              <w:jc w:val="center"/>
              <w:rPr>
                <w:rFonts w:eastAsia="Times New Roman"/>
                <w:b/>
                <w:color w:val="000000"/>
                <w:lang w:val="en-GB" w:eastAsia="en-GB"/>
              </w:rPr>
            </w:pPr>
            <w:r>
              <w:rPr>
                <w:rFonts w:eastAsia="Times New Roman"/>
                <w:b/>
                <w:color w:val="000000"/>
                <w:lang w:val="en-GB" w:eastAsia="en-GB"/>
              </w:rPr>
              <w:t>t</w:t>
            </w:r>
            <w:r w:rsidR="008943E4" w:rsidRPr="00CA5FBB">
              <w:rPr>
                <w:rFonts w:eastAsia="Times New Roman"/>
                <w:b/>
                <w:color w:val="000000"/>
                <w:lang w:val="en-GB" w:eastAsia="en-GB"/>
              </w:rPr>
              <w:t>ooth</w:t>
            </w:r>
          </w:p>
        </w:tc>
        <w:tc>
          <w:tcPr>
            <w:tcW w:w="2114" w:type="dxa"/>
            <w:tcBorders>
              <w:top w:val="single" w:sz="4" w:space="0" w:color="auto"/>
              <w:bottom w:val="single" w:sz="4" w:space="0" w:color="auto"/>
            </w:tcBorders>
            <w:shd w:val="clear" w:color="auto" w:fill="auto"/>
            <w:noWrap/>
            <w:vAlign w:val="center"/>
            <w:hideMark/>
          </w:tcPr>
          <w:p w:rsidR="00361913" w:rsidRPr="00CA5FBB" w:rsidRDefault="00963A2C" w:rsidP="00963A2C">
            <w:pPr>
              <w:spacing w:before="0" w:line="240" w:lineRule="auto"/>
              <w:jc w:val="center"/>
              <w:rPr>
                <w:rFonts w:eastAsia="Times New Roman"/>
                <w:b/>
                <w:color w:val="000000"/>
                <w:lang w:val="en-GB" w:eastAsia="en-GB"/>
              </w:rPr>
            </w:pPr>
            <w:r>
              <w:rPr>
                <w:rFonts w:eastAsia="Times New Roman"/>
                <w:b/>
                <w:color w:val="000000"/>
                <w:lang w:val="en-GB" w:eastAsia="en-GB"/>
              </w:rPr>
              <w:t>n</w:t>
            </w:r>
            <w:r w:rsidR="008943E4" w:rsidRPr="00CA5FBB">
              <w:rPr>
                <w:rFonts w:eastAsia="Times New Roman"/>
                <w:b/>
                <w:color w:val="000000"/>
                <w:lang w:val="en-GB" w:eastAsia="en-GB"/>
              </w:rPr>
              <w:t>umber present</w:t>
            </w:r>
          </w:p>
        </w:tc>
        <w:tc>
          <w:tcPr>
            <w:tcW w:w="2127" w:type="dxa"/>
            <w:tcBorders>
              <w:top w:val="single" w:sz="4" w:space="0" w:color="auto"/>
              <w:bottom w:val="single" w:sz="4" w:space="0" w:color="auto"/>
            </w:tcBorders>
            <w:shd w:val="clear" w:color="auto" w:fill="auto"/>
            <w:noWrap/>
            <w:vAlign w:val="center"/>
            <w:hideMark/>
          </w:tcPr>
          <w:p w:rsidR="00361913" w:rsidRPr="00CA5FBB" w:rsidRDefault="00963A2C" w:rsidP="00963A2C">
            <w:pPr>
              <w:spacing w:before="0" w:line="240" w:lineRule="auto"/>
              <w:jc w:val="center"/>
              <w:rPr>
                <w:rFonts w:eastAsia="Times New Roman"/>
                <w:b/>
                <w:color w:val="000000"/>
                <w:lang w:val="en-GB" w:eastAsia="en-GB"/>
              </w:rPr>
            </w:pPr>
            <w:proofErr w:type="gramStart"/>
            <w:r>
              <w:rPr>
                <w:rFonts w:eastAsia="Times New Roman"/>
                <w:b/>
                <w:color w:val="000000"/>
                <w:lang w:val="en-GB" w:eastAsia="en-GB"/>
              </w:rPr>
              <w:t>p</w:t>
            </w:r>
            <w:r w:rsidR="008943E4" w:rsidRPr="00CA5FBB">
              <w:rPr>
                <w:rFonts w:eastAsia="Times New Roman"/>
                <w:b/>
                <w:color w:val="000000"/>
                <w:lang w:val="en-GB" w:eastAsia="en-GB"/>
              </w:rPr>
              <w:t>ercentage</w:t>
            </w:r>
            <w:proofErr w:type="gramEnd"/>
            <w:r w:rsidR="008943E4" w:rsidRPr="00CA5FBB">
              <w:rPr>
                <w:rFonts w:eastAsia="Times New Roman"/>
                <w:b/>
                <w:color w:val="000000"/>
                <w:lang w:val="en-GB" w:eastAsia="en-GB"/>
              </w:rPr>
              <w:t xml:space="preserve"> present</w:t>
            </w:r>
            <w:r w:rsidR="008943E4" w:rsidRPr="00CA5FBB">
              <w:rPr>
                <w:rFonts w:eastAsia="Times New Roman"/>
                <w:b/>
                <w:color w:val="000000"/>
                <w:vertAlign w:val="superscript"/>
                <w:lang w:val="en-GB" w:eastAsia="en-GB"/>
              </w:rPr>
              <w:t>1.</w:t>
            </w:r>
          </w:p>
        </w:tc>
      </w:tr>
      <w:tr w:rsidR="008D4790" w:rsidRPr="00110170" w:rsidTr="00CA5FBB">
        <w:trPr>
          <w:trHeight w:val="300"/>
          <w:jc w:val="center"/>
        </w:trPr>
        <w:tc>
          <w:tcPr>
            <w:tcW w:w="2000" w:type="dxa"/>
            <w:vMerge w:val="restart"/>
            <w:tcBorders>
              <w:top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r</w:t>
            </w:r>
            <w:r w:rsidRPr="00110170">
              <w:rPr>
                <w:rFonts w:eastAsia="Times New Roman"/>
                <w:color w:val="000000"/>
                <w:lang w:val="en-GB" w:eastAsia="en-GB"/>
              </w:rPr>
              <w:t>ight mandible</w:t>
            </w:r>
          </w:p>
        </w:tc>
        <w:tc>
          <w:tcPr>
            <w:tcW w:w="1236" w:type="dxa"/>
            <w:tcBorders>
              <w:top w:val="single" w:sz="4" w:space="0" w:color="auto"/>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incisor </w:t>
            </w:r>
            <w:r w:rsidRPr="00110170">
              <w:rPr>
                <w:rFonts w:eastAsia="Times New Roman"/>
                <w:color w:val="000000"/>
                <w:lang w:val="en-GB" w:eastAsia="en-GB"/>
              </w:rPr>
              <w:t>1</w:t>
            </w:r>
          </w:p>
        </w:tc>
        <w:tc>
          <w:tcPr>
            <w:tcW w:w="2114" w:type="dxa"/>
            <w:tcBorders>
              <w:top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10</w:t>
            </w:r>
          </w:p>
        </w:tc>
        <w:tc>
          <w:tcPr>
            <w:tcW w:w="2127" w:type="dxa"/>
            <w:tcBorders>
              <w:top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33.3%</w:t>
            </w:r>
          </w:p>
        </w:tc>
      </w:tr>
      <w:tr w:rsidR="008D4790" w:rsidRPr="00110170" w:rsidTr="00CA5FBB">
        <w:trPr>
          <w:trHeight w:val="300"/>
          <w:jc w:val="center"/>
        </w:trPr>
        <w:tc>
          <w:tcPr>
            <w:tcW w:w="2000" w:type="dxa"/>
            <w:vMerge/>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incisor </w:t>
            </w:r>
            <w:r w:rsidRPr="00110170">
              <w:rPr>
                <w:rFonts w:eastAsia="Times New Roman"/>
                <w:color w:val="000000"/>
                <w:lang w:val="en-GB" w:eastAsia="en-GB"/>
              </w:rPr>
              <w:t>2</w:t>
            </w:r>
          </w:p>
        </w:tc>
        <w:tc>
          <w:tcPr>
            <w:tcW w:w="2114"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18</w:t>
            </w:r>
          </w:p>
        </w:tc>
        <w:tc>
          <w:tcPr>
            <w:tcW w:w="2127"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60.0%</w:t>
            </w:r>
          </w:p>
        </w:tc>
      </w:tr>
      <w:tr w:rsidR="008D4790" w:rsidRPr="00110170" w:rsidTr="00CA5FBB">
        <w:trPr>
          <w:trHeight w:val="300"/>
          <w:jc w:val="center"/>
        </w:trPr>
        <w:tc>
          <w:tcPr>
            <w:tcW w:w="2000" w:type="dxa"/>
            <w:vMerge/>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canine</w:t>
            </w:r>
          </w:p>
        </w:tc>
        <w:tc>
          <w:tcPr>
            <w:tcW w:w="2114"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23</w:t>
            </w:r>
          </w:p>
        </w:tc>
        <w:tc>
          <w:tcPr>
            <w:tcW w:w="2127"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76.7%</w:t>
            </w:r>
          </w:p>
        </w:tc>
      </w:tr>
      <w:tr w:rsidR="008D4790" w:rsidRPr="00110170" w:rsidTr="00CA5FBB">
        <w:trPr>
          <w:trHeight w:val="300"/>
          <w:jc w:val="center"/>
        </w:trPr>
        <w:tc>
          <w:tcPr>
            <w:tcW w:w="2000" w:type="dxa"/>
            <w:vMerge/>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premolar </w:t>
            </w:r>
            <w:r w:rsidRPr="00110170">
              <w:rPr>
                <w:rFonts w:eastAsia="Times New Roman"/>
                <w:color w:val="000000"/>
                <w:lang w:val="en-GB" w:eastAsia="en-GB"/>
              </w:rPr>
              <w:t>3</w:t>
            </w:r>
          </w:p>
        </w:tc>
        <w:tc>
          <w:tcPr>
            <w:tcW w:w="2114"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27</w:t>
            </w:r>
          </w:p>
        </w:tc>
        <w:tc>
          <w:tcPr>
            <w:tcW w:w="2127"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90.0%</w:t>
            </w:r>
          </w:p>
        </w:tc>
      </w:tr>
      <w:tr w:rsidR="008D4790" w:rsidRPr="00110170" w:rsidTr="00CA5FBB">
        <w:trPr>
          <w:trHeight w:val="300"/>
          <w:jc w:val="center"/>
        </w:trPr>
        <w:tc>
          <w:tcPr>
            <w:tcW w:w="2000" w:type="dxa"/>
            <w:vMerge/>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premolar </w:t>
            </w:r>
            <w:r w:rsidRPr="00110170">
              <w:rPr>
                <w:rFonts w:eastAsia="Times New Roman"/>
                <w:color w:val="000000"/>
                <w:lang w:val="en-GB" w:eastAsia="en-GB"/>
              </w:rPr>
              <w:t>4</w:t>
            </w:r>
          </w:p>
        </w:tc>
        <w:tc>
          <w:tcPr>
            <w:tcW w:w="2114"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26</w:t>
            </w:r>
          </w:p>
        </w:tc>
        <w:tc>
          <w:tcPr>
            <w:tcW w:w="2127"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86.7%</w:t>
            </w:r>
          </w:p>
        </w:tc>
      </w:tr>
      <w:tr w:rsidR="008D4790" w:rsidRPr="00110170" w:rsidTr="00CA5FBB">
        <w:trPr>
          <w:trHeight w:val="300"/>
          <w:jc w:val="center"/>
        </w:trPr>
        <w:tc>
          <w:tcPr>
            <w:tcW w:w="2000" w:type="dxa"/>
            <w:vMerge/>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molar </w:t>
            </w:r>
            <w:r w:rsidRPr="00110170">
              <w:rPr>
                <w:rFonts w:eastAsia="Times New Roman"/>
                <w:color w:val="000000"/>
                <w:lang w:val="en-GB" w:eastAsia="en-GB"/>
              </w:rPr>
              <w:t>1</w:t>
            </w:r>
          </w:p>
        </w:tc>
        <w:tc>
          <w:tcPr>
            <w:tcW w:w="2114"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23</w:t>
            </w:r>
          </w:p>
        </w:tc>
        <w:tc>
          <w:tcPr>
            <w:tcW w:w="2127"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76.7%</w:t>
            </w:r>
          </w:p>
        </w:tc>
      </w:tr>
      <w:tr w:rsidR="008D4790" w:rsidRPr="00110170" w:rsidTr="00CA5FBB">
        <w:trPr>
          <w:trHeight w:val="300"/>
          <w:jc w:val="center"/>
        </w:trPr>
        <w:tc>
          <w:tcPr>
            <w:tcW w:w="2000" w:type="dxa"/>
            <w:vMerge/>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molar </w:t>
            </w:r>
            <w:r w:rsidRPr="00110170">
              <w:rPr>
                <w:rFonts w:eastAsia="Times New Roman"/>
                <w:color w:val="000000"/>
                <w:lang w:val="en-GB" w:eastAsia="en-GB"/>
              </w:rPr>
              <w:t>2</w:t>
            </w:r>
          </w:p>
        </w:tc>
        <w:tc>
          <w:tcPr>
            <w:tcW w:w="2114"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25</w:t>
            </w:r>
          </w:p>
        </w:tc>
        <w:tc>
          <w:tcPr>
            <w:tcW w:w="2127" w:type="dxa"/>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83.3%</w:t>
            </w:r>
          </w:p>
        </w:tc>
      </w:tr>
      <w:tr w:rsidR="008D4790" w:rsidRPr="00110170" w:rsidTr="00CA5FBB">
        <w:trPr>
          <w:trHeight w:val="300"/>
          <w:jc w:val="center"/>
        </w:trPr>
        <w:tc>
          <w:tcPr>
            <w:tcW w:w="2000" w:type="dxa"/>
            <w:vMerge/>
            <w:tcBorders>
              <w:bottom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tcBorders>
              <w:bottom w:val="single" w:sz="4" w:space="0" w:color="auto"/>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molar </w:t>
            </w:r>
            <w:r w:rsidRPr="00110170">
              <w:rPr>
                <w:rFonts w:eastAsia="Times New Roman"/>
                <w:color w:val="000000"/>
                <w:lang w:val="en-GB" w:eastAsia="en-GB"/>
              </w:rPr>
              <w:t>3</w:t>
            </w:r>
          </w:p>
        </w:tc>
        <w:tc>
          <w:tcPr>
            <w:tcW w:w="2114" w:type="dxa"/>
            <w:tcBorders>
              <w:bottom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21</w:t>
            </w:r>
          </w:p>
        </w:tc>
        <w:tc>
          <w:tcPr>
            <w:tcW w:w="2127" w:type="dxa"/>
            <w:tcBorders>
              <w:bottom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70.0%</w:t>
            </w:r>
          </w:p>
        </w:tc>
      </w:tr>
      <w:tr w:rsidR="008D4790" w:rsidRPr="00110170" w:rsidTr="00CA5FBB">
        <w:trPr>
          <w:trHeight w:val="300"/>
          <w:jc w:val="center"/>
        </w:trPr>
        <w:tc>
          <w:tcPr>
            <w:tcW w:w="2000" w:type="dxa"/>
            <w:vMerge w:val="restart"/>
            <w:tcBorders>
              <w:top w:val="single" w:sz="4" w:space="0" w:color="auto"/>
              <w:bottom w:val="nil"/>
            </w:tcBorders>
            <w:shd w:val="clear" w:color="auto" w:fill="auto"/>
            <w:noWrap/>
            <w:vAlign w:val="center"/>
            <w:hideMark/>
          </w:tcPr>
          <w:p w:rsidR="00A35CA0" w:rsidRDefault="008D4790" w:rsidP="00CA5FBB">
            <w:pPr>
              <w:spacing w:before="0" w:line="240" w:lineRule="auto"/>
              <w:jc w:val="center"/>
              <w:rPr>
                <w:rFonts w:eastAsia="Times New Roman"/>
                <w:color w:val="000000"/>
                <w:lang w:val="en-GB" w:eastAsia="en-GB"/>
              </w:rPr>
            </w:pPr>
            <w:r>
              <w:rPr>
                <w:rFonts w:eastAsia="Times New Roman"/>
                <w:color w:val="000000"/>
                <w:lang w:val="en-GB" w:eastAsia="en-GB"/>
              </w:rPr>
              <w:t>l</w:t>
            </w:r>
            <w:r w:rsidRPr="00110170">
              <w:rPr>
                <w:rFonts w:eastAsia="Times New Roman"/>
                <w:color w:val="000000"/>
                <w:lang w:val="en-GB" w:eastAsia="en-GB"/>
              </w:rPr>
              <w:t>eft mandible</w:t>
            </w:r>
          </w:p>
        </w:tc>
        <w:tc>
          <w:tcPr>
            <w:tcW w:w="1236" w:type="dxa"/>
            <w:tcBorders>
              <w:top w:val="single" w:sz="4" w:space="0" w:color="auto"/>
              <w:bottom w:val="nil"/>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incisor </w:t>
            </w:r>
            <w:r w:rsidRPr="00110170">
              <w:rPr>
                <w:rFonts w:eastAsia="Times New Roman"/>
                <w:color w:val="000000"/>
                <w:lang w:val="en-GB" w:eastAsia="en-GB"/>
              </w:rPr>
              <w:t>1</w:t>
            </w:r>
          </w:p>
        </w:tc>
        <w:tc>
          <w:tcPr>
            <w:tcW w:w="2114" w:type="dxa"/>
            <w:tcBorders>
              <w:top w:val="single" w:sz="4" w:space="0" w:color="auto"/>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11</w:t>
            </w:r>
          </w:p>
        </w:tc>
        <w:tc>
          <w:tcPr>
            <w:tcW w:w="2127" w:type="dxa"/>
            <w:tcBorders>
              <w:top w:val="single" w:sz="4" w:space="0" w:color="auto"/>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36.7%</w:t>
            </w:r>
          </w:p>
        </w:tc>
      </w:tr>
      <w:tr w:rsidR="008D4790" w:rsidRPr="00110170" w:rsidTr="00CA5FBB">
        <w:trPr>
          <w:trHeight w:val="300"/>
          <w:jc w:val="center"/>
        </w:trPr>
        <w:tc>
          <w:tcPr>
            <w:tcW w:w="2000" w:type="dxa"/>
            <w:vMerge/>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tcBorders>
              <w:top w:val="nil"/>
              <w:bottom w:val="nil"/>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incisor </w:t>
            </w:r>
            <w:r w:rsidRPr="00110170">
              <w:rPr>
                <w:rFonts w:eastAsia="Times New Roman"/>
                <w:color w:val="000000"/>
                <w:lang w:val="en-GB" w:eastAsia="en-GB"/>
              </w:rPr>
              <w:t>2</w:t>
            </w:r>
          </w:p>
        </w:tc>
        <w:tc>
          <w:tcPr>
            <w:tcW w:w="2114"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23</w:t>
            </w:r>
          </w:p>
        </w:tc>
        <w:tc>
          <w:tcPr>
            <w:tcW w:w="2127"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76.7%</w:t>
            </w:r>
          </w:p>
        </w:tc>
      </w:tr>
      <w:tr w:rsidR="008D4790" w:rsidRPr="00110170" w:rsidTr="00CA5FBB">
        <w:trPr>
          <w:trHeight w:val="300"/>
          <w:jc w:val="center"/>
        </w:trPr>
        <w:tc>
          <w:tcPr>
            <w:tcW w:w="2000" w:type="dxa"/>
            <w:vMerge/>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tcBorders>
              <w:top w:val="nil"/>
              <w:bottom w:val="nil"/>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canine</w:t>
            </w:r>
          </w:p>
        </w:tc>
        <w:tc>
          <w:tcPr>
            <w:tcW w:w="2114"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23</w:t>
            </w:r>
          </w:p>
        </w:tc>
        <w:tc>
          <w:tcPr>
            <w:tcW w:w="2127"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76.7%</w:t>
            </w:r>
          </w:p>
        </w:tc>
      </w:tr>
      <w:tr w:rsidR="008D4790" w:rsidRPr="00110170" w:rsidTr="00CA5FBB">
        <w:trPr>
          <w:trHeight w:val="300"/>
          <w:jc w:val="center"/>
        </w:trPr>
        <w:tc>
          <w:tcPr>
            <w:tcW w:w="2000" w:type="dxa"/>
            <w:vMerge/>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tcBorders>
              <w:top w:val="nil"/>
              <w:bottom w:val="nil"/>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premolar </w:t>
            </w:r>
            <w:r w:rsidRPr="00110170">
              <w:rPr>
                <w:rFonts w:eastAsia="Times New Roman"/>
                <w:color w:val="000000"/>
                <w:lang w:val="en-GB" w:eastAsia="en-GB"/>
              </w:rPr>
              <w:t>3</w:t>
            </w:r>
          </w:p>
        </w:tc>
        <w:tc>
          <w:tcPr>
            <w:tcW w:w="2114"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21</w:t>
            </w:r>
          </w:p>
        </w:tc>
        <w:tc>
          <w:tcPr>
            <w:tcW w:w="2127"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70.0%</w:t>
            </w:r>
          </w:p>
        </w:tc>
      </w:tr>
      <w:tr w:rsidR="008D4790" w:rsidRPr="00110170" w:rsidTr="00CA5FBB">
        <w:trPr>
          <w:trHeight w:val="300"/>
          <w:jc w:val="center"/>
        </w:trPr>
        <w:tc>
          <w:tcPr>
            <w:tcW w:w="2000" w:type="dxa"/>
            <w:vMerge/>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tcBorders>
              <w:top w:val="nil"/>
              <w:bottom w:val="nil"/>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premolar </w:t>
            </w:r>
            <w:r w:rsidRPr="00110170">
              <w:rPr>
                <w:rFonts w:eastAsia="Times New Roman"/>
                <w:color w:val="000000"/>
                <w:lang w:val="en-GB" w:eastAsia="en-GB"/>
              </w:rPr>
              <w:t>4</w:t>
            </w:r>
          </w:p>
        </w:tc>
        <w:tc>
          <w:tcPr>
            <w:tcW w:w="2114"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23</w:t>
            </w:r>
          </w:p>
        </w:tc>
        <w:tc>
          <w:tcPr>
            <w:tcW w:w="2127"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76.7%</w:t>
            </w:r>
          </w:p>
        </w:tc>
      </w:tr>
      <w:tr w:rsidR="008D4790" w:rsidRPr="00110170" w:rsidTr="00CA5FBB">
        <w:trPr>
          <w:trHeight w:val="300"/>
          <w:jc w:val="center"/>
        </w:trPr>
        <w:tc>
          <w:tcPr>
            <w:tcW w:w="2000" w:type="dxa"/>
            <w:vMerge/>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tcBorders>
              <w:top w:val="nil"/>
              <w:bottom w:val="nil"/>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molar </w:t>
            </w:r>
            <w:r w:rsidRPr="00110170">
              <w:rPr>
                <w:rFonts w:eastAsia="Times New Roman"/>
                <w:color w:val="000000"/>
                <w:lang w:val="en-GB" w:eastAsia="en-GB"/>
              </w:rPr>
              <w:t>1</w:t>
            </w:r>
          </w:p>
        </w:tc>
        <w:tc>
          <w:tcPr>
            <w:tcW w:w="2114"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25</w:t>
            </w:r>
          </w:p>
        </w:tc>
        <w:tc>
          <w:tcPr>
            <w:tcW w:w="2127"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83.3%</w:t>
            </w:r>
          </w:p>
        </w:tc>
      </w:tr>
      <w:tr w:rsidR="008D4790" w:rsidRPr="00110170" w:rsidTr="00CA5FBB">
        <w:trPr>
          <w:trHeight w:val="300"/>
          <w:jc w:val="center"/>
        </w:trPr>
        <w:tc>
          <w:tcPr>
            <w:tcW w:w="2000" w:type="dxa"/>
            <w:vMerge/>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tcBorders>
              <w:top w:val="nil"/>
              <w:bottom w:val="nil"/>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molar </w:t>
            </w:r>
            <w:r w:rsidRPr="00110170">
              <w:rPr>
                <w:rFonts w:eastAsia="Times New Roman"/>
                <w:color w:val="000000"/>
                <w:lang w:val="en-GB" w:eastAsia="en-GB"/>
              </w:rPr>
              <w:t>2</w:t>
            </w:r>
          </w:p>
        </w:tc>
        <w:tc>
          <w:tcPr>
            <w:tcW w:w="2114"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27</w:t>
            </w:r>
          </w:p>
        </w:tc>
        <w:tc>
          <w:tcPr>
            <w:tcW w:w="2127" w:type="dxa"/>
            <w:tcBorders>
              <w:top w:val="nil"/>
              <w:bottom w:val="nil"/>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90.0%</w:t>
            </w:r>
          </w:p>
        </w:tc>
      </w:tr>
      <w:tr w:rsidR="008D4790" w:rsidRPr="00110170" w:rsidTr="00CA5FBB">
        <w:trPr>
          <w:trHeight w:val="300"/>
          <w:jc w:val="center"/>
        </w:trPr>
        <w:tc>
          <w:tcPr>
            <w:tcW w:w="2000" w:type="dxa"/>
            <w:vMerge/>
            <w:tcBorders>
              <w:top w:val="nil"/>
              <w:bottom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p>
        </w:tc>
        <w:tc>
          <w:tcPr>
            <w:tcW w:w="1236" w:type="dxa"/>
            <w:tcBorders>
              <w:top w:val="nil"/>
              <w:bottom w:val="single" w:sz="4" w:space="0" w:color="auto"/>
            </w:tcBorders>
            <w:shd w:val="clear" w:color="000000" w:fill="FFFFFF"/>
            <w:noWrap/>
            <w:vAlign w:val="center"/>
            <w:hideMark/>
          </w:tcPr>
          <w:p w:rsidR="008D4790" w:rsidRPr="00110170" w:rsidRDefault="008D4790" w:rsidP="00963A2C">
            <w:pPr>
              <w:spacing w:before="0" w:line="240" w:lineRule="auto"/>
              <w:jc w:val="center"/>
              <w:rPr>
                <w:rFonts w:eastAsia="Times New Roman"/>
                <w:color w:val="000000"/>
                <w:lang w:val="en-GB" w:eastAsia="en-GB"/>
              </w:rPr>
            </w:pPr>
            <w:r>
              <w:rPr>
                <w:rFonts w:eastAsia="Times New Roman"/>
                <w:color w:val="000000"/>
                <w:lang w:val="en-GB" w:eastAsia="en-GB"/>
              </w:rPr>
              <w:t xml:space="preserve">molar </w:t>
            </w:r>
            <w:r w:rsidRPr="00110170">
              <w:rPr>
                <w:rFonts w:eastAsia="Times New Roman"/>
                <w:color w:val="000000"/>
                <w:lang w:val="en-GB" w:eastAsia="en-GB"/>
              </w:rPr>
              <w:t>3</w:t>
            </w:r>
          </w:p>
        </w:tc>
        <w:tc>
          <w:tcPr>
            <w:tcW w:w="2114" w:type="dxa"/>
            <w:tcBorders>
              <w:top w:val="nil"/>
              <w:bottom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23</w:t>
            </w:r>
          </w:p>
        </w:tc>
        <w:tc>
          <w:tcPr>
            <w:tcW w:w="2127" w:type="dxa"/>
            <w:tcBorders>
              <w:top w:val="nil"/>
              <w:bottom w:val="single" w:sz="4" w:space="0" w:color="auto"/>
            </w:tcBorders>
            <w:shd w:val="clear" w:color="auto" w:fill="auto"/>
            <w:noWrap/>
            <w:vAlign w:val="center"/>
            <w:hideMark/>
          </w:tcPr>
          <w:p w:rsidR="008D4790" w:rsidRPr="00110170" w:rsidRDefault="008D4790" w:rsidP="00963A2C">
            <w:pPr>
              <w:spacing w:before="0" w:line="240" w:lineRule="auto"/>
              <w:jc w:val="center"/>
              <w:rPr>
                <w:rFonts w:eastAsia="Times New Roman"/>
                <w:color w:val="000000"/>
                <w:lang w:val="en-GB" w:eastAsia="en-GB"/>
              </w:rPr>
            </w:pPr>
            <w:r w:rsidRPr="00110170">
              <w:rPr>
                <w:rFonts w:eastAsia="Times New Roman"/>
                <w:color w:val="000000"/>
                <w:lang w:val="en-GB" w:eastAsia="en-GB"/>
              </w:rPr>
              <w:t>76.7%</w:t>
            </w:r>
          </w:p>
        </w:tc>
      </w:tr>
    </w:tbl>
    <w:p w:rsidR="00A35CA0" w:rsidRDefault="00A47CD2" w:rsidP="00CA5FBB">
      <w:pPr>
        <w:pStyle w:val="ListParagraph"/>
        <w:tabs>
          <w:tab w:val="left" w:pos="360"/>
        </w:tabs>
        <w:spacing w:before="120" w:line="240" w:lineRule="auto"/>
        <w:ind w:left="709" w:right="615"/>
        <w:rPr>
          <w:noProof/>
          <w:sz w:val="20"/>
          <w:szCs w:val="20"/>
        </w:rPr>
      </w:pPr>
      <w:r>
        <w:rPr>
          <w:noProof/>
          <w:sz w:val="20"/>
          <w:szCs w:val="20"/>
        </w:rPr>
        <w:t xml:space="preserve">1. </w:t>
      </w:r>
      <w:r w:rsidR="00D433CE" w:rsidRPr="00472ED8">
        <w:rPr>
          <w:noProof/>
          <w:sz w:val="20"/>
          <w:szCs w:val="20"/>
        </w:rPr>
        <w:t>This is the percentage present out of the total number of individuals with present skulls that have dentition (n=30).</w:t>
      </w:r>
    </w:p>
    <w:p w:rsidR="00361913" w:rsidRDefault="00361913" w:rsidP="00D433CE">
      <w:pPr>
        <w:rPr>
          <w:noProof/>
        </w:rPr>
      </w:pPr>
      <w:r>
        <w:rPr>
          <w:noProof/>
        </w:rPr>
        <w:lastRenderedPageBreak/>
        <w:t>With the majority of teeth present for most individuals, it is possible to confidently predict what the missing value</w:t>
      </w:r>
      <w:r w:rsidR="001919C6">
        <w:rPr>
          <w:noProof/>
        </w:rPr>
        <w:t>s</w:t>
      </w:r>
      <w:r>
        <w:rPr>
          <w:noProof/>
        </w:rPr>
        <w:t xml:space="preserve"> should be based on </w:t>
      </w:r>
      <w:r w:rsidR="00CA4E82">
        <w:rPr>
          <w:noProof/>
        </w:rPr>
        <w:t xml:space="preserve">patterns of the data </w:t>
      </w:r>
      <w:r w:rsidR="009C32D1">
        <w:rPr>
          <w:noProof/>
        </w:rPr>
        <w:t>available</w:t>
      </w:r>
      <w:r>
        <w:rPr>
          <w:noProof/>
        </w:rPr>
        <w:t>. The statistical methodology to be used here is multiple imputation (Schafer 2000).  Multiple imputation is an algorithm-based method that determines patterning in the data set and then produces a most-likely value for a missing data e</w:t>
      </w:r>
      <w:r w:rsidR="001E7D7F">
        <w:rPr>
          <w:noProof/>
        </w:rPr>
        <w:t>ntry based on the teeth that were</w:t>
      </w:r>
      <w:r>
        <w:rPr>
          <w:noProof/>
        </w:rPr>
        <w:t xml:space="preserve"> present.  With many incomplete quadrants missing only a small number of teeth and with the sample being relatively large (204 skulls with teeth present), it would be expected that the application of this method would be robust.</w:t>
      </w:r>
    </w:p>
    <w:p w:rsidR="00157E73" w:rsidRPr="00CA0C96" w:rsidRDefault="002C0866" w:rsidP="00D433CE">
      <w:pPr>
        <w:rPr>
          <w:b/>
          <w:i/>
          <w:noProof/>
        </w:rPr>
      </w:pPr>
      <w:r>
        <w:rPr>
          <w:b/>
          <w:i/>
          <w:noProof/>
        </w:rPr>
        <w:t>3.3.3</w:t>
      </w:r>
      <w:r w:rsidR="006F2BF8" w:rsidRPr="00CA0C96">
        <w:rPr>
          <w:b/>
          <w:i/>
          <w:noProof/>
        </w:rPr>
        <w:t>.a</w:t>
      </w:r>
      <w:r w:rsidR="006F2BF8" w:rsidRPr="00CA0C96">
        <w:rPr>
          <w:b/>
          <w:i/>
          <w:noProof/>
        </w:rPr>
        <w:tab/>
      </w:r>
      <w:r w:rsidR="00157E73" w:rsidRPr="00CA0C96">
        <w:rPr>
          <w:b/>
          <w:i/>
          <w:noProof/>
        </w:rPr>
        <w:t>Preparation of too</w:t>
      </w:r>
      <w:r w:rsidR="00262EEC" w:rsidRPr="00CA0C96">
        <w:rPr>
          <w:b/>
          <w:i/>
          <w:noProof/>
        </w:rPr>
        <w:t>th data for multiple imputation</w:t>
      </w:r>
    </w:p>
    <w:p w:rsidR="00DF470C" w:rsidRDefault="00361913" w:rsidP="0057345A">
      <w:pPr>
        <w:spacing w:before="180"/>
        <w:rPr>
          <w:noProof/>
        </w:rPr>
      </w:pPr>
      <w:r>
        <w:rPr>
          <w:noProof/>
        </w:rPr>
        <w:t xml:space="preserve">There existed the potential for developmental </w:t>
      </w:r>
      <w:r w:rsidR="006F2BF8">
        <w:rPr>
          <w:noProof/>
        </w:rPr>
        <w:t xml:space="preserve">inter-specific </w:t>
      </w:r>
      <w:r>
        <w:rPr>
          <w:noProof/>
        </w:rPr>
        <w:t xml:space="preserve">differences </w:t>
      </w:r>
      <w:r w:rsidR="006F2BF8">
        <w:rPr>
          <w:noProof/>
        </w:rPr>
        <w:t>as well as intra-specific differences</w:t>
      </w:r>
      <w:r>
        <w:rPr>
          <w:noProof/>
        </w:rPr>
        <w:t xml:space="preserve"> between males and females.  </w:t>
      </w:r>
      <w:r w:rsidR="0017192A">
        <w:rPr>
          <w:noProof/>
        </w:rPr>
        <w:t xml:space="preserve">Males and females were </w:t>
      </w:r>
      <w:r>
        <w:rPr>
          <w:noProof/>
        </w:rPr>
        <w:t>analysed separately</w:t>
      </w:r>
      <w:r w:rsidR="0017192A">
        <w:rPr>
          <w:noProof/>
        </w:rPr>
        <w:t xml:space="preserve"> for </w:t>
      </w:r>
      <w:r w:rsidR="0017192A">
        <w:rPr>
          <w:i/>
          <w:noProof/>
        </w:rPr>
        <w:t>Pan troglodytes</w:t>
      </w:r>
      <w:r w:rsidR="00340802">
        <w:rPr>
          <w:noProof/>
        </w:rPr>
        <w:t xml:space="preserve"> while a</w:t>
      </w:r>
      <w:r w:rsidR="0017192A">
        <w:rPr>
          <w:noProof/>
        </w:rPr>
        <w:t xml:space="preserve"> mixed-sex sample was used for </w:t>
      </w:r>
      <w:r w:rsidR="0017192A">
        <w:rPr>
          <w:i/>
          <w:noProof/>
        </w:rPr>
        <w:t>Pan paniscus</w:t>
      </w:r>
      <w:r w:rsidR="00340802">
        <w:rPr>
          <w:noProof/>
        </w:rPr>
        <w:t xml:space="preserve"> </w:t>
      </w:r>
      <w:r w:rsidR="00C356FE">
        <w:rPr>
          <w:noProof/>
        </w:rPr>
        <w:t xml:space="preserve">due to </w:t>
      </w:r>
      <w:r w:rsidR="00DF470C">
        <w:rPr>
          <w:noProof/>
        </w:rPr>
        <w:t xml:space="preserve">sample sizes </w:t>
      </w:r>
      <w:r w:rsidR="00C356FE">
        <w:rPr>
          <w:noProof/>
        </w:rPr>
        <w:t xml:space="preserve">being </w:t>
      </w:r>
      <w:r w:rsidR="00DF470C">
        <w:rPr>
          <w:noProof/>
        </w:rPr>
        <w:t>too small for</w:t>
      </w:r>
      <w:r w:rsidR="00D059DB">
        <w:rPr>
          <w:noProof/>
        </w:rPr>
        <w:t xml:space="preserve"> independent analysis of</w:t>
      </w:r>
      <w:r w:rsidR="00DF470C">
        <w:rPr>
          <w:noProof/>
        </w:rPr>
        <w:t xml:space="preserve"> </w:t>
      </w:r>
      <w:r w:rsidR="00DF470C">
        <w:rPr>
          <w:i/>
          <w:noProof/>
        </w:rPr>
        <w:t xml:space="preserve">Pan </w:t>
      </w:r>
      <w:r w:rsidR="00DF470C" w:rsidRPr="00CB6D3C">
        <w:rPr>
          <w:i/>
          <w:noProof/>
        </w:rPr>
        <w:t>paniscus</w:t>
      </w:r>
      <w:r w:rsidR="00DF470C">
        <w:rPr>
          <w:noProof/>
        </w:rPr>
        <w:t xml:space="preserve"> males and females.  </w:t>
      </w:r>
      <w:r w:rsidR="005D5ED7">
        <w:rPr>
          <w:noProof/>
        </w:rPr>
        <w:t>For this species males, females, and unsexed individuals</w:t>
      </w:r>
      <w:r w:rsidR="00DF470C">
        <w:rPr>
          <w:noProof/>
        </w:rPr>
        <w:t xml:space="preserve"> were pooled and imp</w:t>
      </w:r>
      <w:r w:rsidR="005D5ED7">
        <w:rPr>
          <w:noProof/>
        </w:rPr>
        <w:t>utation carried out using all 33</w:t>
      </w:r>
      <w:r w:rsidR="00DF470C">
        <w:rPr>
          <w:noProof/>
        </w:rPr>
        <w:t xml:space="preserve"> individuals</w:t>
      </w:r>
      <w:r w:rsidR="002647B5">
        <w:rPr>
          <w:noProof/>
        </w:rPr>
        <w:t xml:space="preserve"> (</w:t>
      </w:r>
      <w:r w:rsidR="005D5ED7">
        <w:rPr>
          <w:noProof/>
        </w:rPr>
        <w:t>4</w:t>
      </w:r>
      <w:r w:rsidR="002647B5">
        <w:rPr>
          <w:noProof/>
        </w:rPr>
        <w:t xml:space="preserve"> individuals did not have teeth)</w:t>
      </w:r>
      <w:r w:rsidR="00DF470C">
        <w:rPr>
          <w:noProof/>
        </w:rPr>
        <w:t>.  There is a risk of this method being unreliable if there existed significant differences in patterning (as opposed to timing) of dental maturation</w:t>
      </w:r>
      <w:r w:rsidR="00515706">
        <w:rPr>
          <w:noProof/>
        </w:rPr>
        <w:t xml:space="preserve"> between sexes</w:t>
      </w:r>
      <w:r w:rsidR="00DF470C">
        <w:rPr>
          <w:noProof/>
        </w:rPr>
        <w:t xml:space="preserve">.  Given the results of Boughner </w:t>
      </w:r>
      <w:r w:rsidR="00DF470C">
        <w:rPr>
          <w:i/>
          <w:noProof/>
        </w:rPr>
        <w:t>et al</w:t>
      </w:r>
      <w:r w:rsidR="002647B5">
        <w:rPr>
          <w:i/>
          <w:noProof/>
        </w:rPr>
        <w:t>.</w:t>
      </w:r>
      <w:r w:rsidR="00DF470C">
        <w:rPr>
          <w:noProof/>
        </w:rPr>
        <w:t xml:space="preserve"> (2012) showing high degrees of similarity, this seems unlikely.  In chimpanzees and humans it is known that the overall pattern of maturation does not </w:t>
      </w:r>
      <w:r w:rsidR="002647B5">
        <w:rPr>
          <w:noProof/>
        </w:rPr>
        <w:t>show major</w:t>
      </w:r>
      <w:r w:rsidR="00DF470C">
        <w:rPr>
          <w:noProof/>
        </w:rPr>
        <w:t xml:space="preserve"> </w:t>
      </w:r>
      <w:r w:rsidR="002647B5">
        <w:rPr>
          <w:noProof/>
        </w:rPr>
        <w:t xml:space="preserve">deviations </w:t>
      </w:r>
      <w:r w:rsidR="00DF470C">
        <w:rPr>
          <w:noProof/>
        </w:rPr>
        <w:t xml:space="preserve">between males and females.  The assumption is made that this </w:t>
      </w:r>
      <w:r w:rsidR="00050831">
        <w:rPr>
          <w:noProof/>
        </w:rPr>
        <w:t xml:space="preserve">should be true for </w:t>
      </w:r>
      <w:r w:rsidR="00DF470C">
        <w:rPr>
          <w:noProof/>
        </w:rPr>
        <w:t>this sample as well.</w:t>
      </w:r>
    </w:p>
    <w:p w:rsidR="00596387" w:rsidRDefault="00F06445" w:rsidP="0057345A">
      <w:pPr>
        <w:spacing w:before="180"/>
        <w:rPr>
          <w:noProof/>
          <w:color w:val="000000" w:themeColor="text1"/>
        </w:rPr>
      </w:pPr>
      <w:r>
        <w:rPr>
          <w:noProof/>
        </w:rPr>
        <w:t>I</w:t>
      </w:r>
      <w:r w:rsidR="00361913">
        <w:rPr>
          <w:noProof/>
        </w:rPr>
        <w:t>nclud</w:t>
      </w:r>
      <w:r w:rsidR="009107CC">
        <w:rPr>
          <w:noProof/>
        </w:rPr>
        <w:t>ed</w:t>
      </w:r>
      <w:r w:rsidR="00361913">
        <w:rPr>
          <w:noProof/>
        </w:rPr>
        <w:t xml:space="preserve"> </w:t>
      </w:r>
      <w:r>
        <w:rPr>
          <w:noProof/>
        </w:rPr>
        <w:t>in this analysis were also individuals</w:t>
      </w:r>
      <w:r w:rsidR="00361913">
        <w:rPr>
          <w:noProof/>
        </w:rPr>
        <w:t xml:space="preserve"> </w:t>
      </w:r>
      <w:r>
        <w:rPr>
          <w:noProof/>
        </w:rPr>
        <w:t xml:space="preserve">with </w:t>
      </w:r>
      <w:r w:rsidR="00361913">
        <w:rPr>
          <w:noProof/>
        </w:rPr>
        <w:t>complete quadrants, those with teeth missing from one side or the other but having a complete composite score, and those individuals with incomplete composite scores.  These data were loaded into SPS</w:t>
      </w:r>
      <w:r w:rsidR="003D71E2">
        <w:rPr>
          <w:noProof/>
        </w:rPr>
        <w:t xml:space="preserve">S </w:t>
      </w:r>
      <w:r w:rsidR="002514A6">
        <w:rPr>
          <w:noProof/>
        </w:rPr>
        <w:t>S</w:t>
      </w:r>
      <w:r w:rsidR="003D71E2">
        <w:rPr>
          <w:noProof/>
        </w:rPr>
        <w:t>tatistics 21</w:t>
      </w:r>
      <w:r w:rsidR="00361913">
        <w:rPr>
          <w:noProof/>
        </w:rPr>
        <w:t xml:space="preserve">.  Variables were first analysed to look at the distribution and patterns of completeness.  </w:t>
      </w:r>
      <w:r w:rsidR="00022488">
        <w:rPr>
          <w:noProof/>
        </w:rPr>
        <w:t>Both left and right quadrants were analysed in parallel within the same analysis.  Based on the premise that there is no statistical</w:t>
      </w:r>
      <w:r w:rsidR="0004566A">
        <w:rPr>
          <w:noProof/>
        </w:rPr>
        <w:t>ly significant</w:t>
      </w:r>
      <w:r w:rsidR="00022488">
        <w:rPr>
          <w:noProof/>
        </w:rPr>
        <w:t xml:space="preserve"> difference between sides (Kuykendall </w:t>
      </w:r>
      <w:r w:rsidR="00022488">
        <w:rPr>
          <w:i/>
          <w:noProof/>
        </w:rPr>
        <w:t>et al.</w:t>
      </w:r>
      <w:r w:rsidR="00022488">
        <w:rPr>
          <w:noProof/>
        </w:rPr>
        <w:t xml:space="preserve"> 1992), this approach made more sense than running each quadrant separately due to more complete data being present.  Five iterations were run on each quadrant and these results were then compiled into an imputed data set.  Imputed values were produced for all missing teeth from both left and right sides.  Summary dental scores were taken for all individuals.  </w:t>
      </w:r>
      <w:r w:rsidR="00206D0B">
        <w:rPr>
          <w:noProof/>
        </w:rPr>
        <w:t>Full imputation results are available in section 8.1 of the digital appendix.</w:t>
      </w:r>
      <w:r w:rsidR="00FA37E5">
        <w:rPr>
          <w:noProof/>
        </w:rPr>
        <w:t xml:space="preserve">  </w:t>
      </w:r>
      <w:r w:rsidR="00361913">
        <w:rPr>
          <w:noProof/>
        </w:rPr>
        <w:t xml:space="preserve">The resulting </w:t>
      </w:r>
      <w:r w:rsidR="002F7A87">
        <w:rPr>
          <w:noProof/>
        </w:rPr>
        <w:t>analysis of missing values</w:t>
      </w:r>
      <w:r w:rsidR="00361913">
        <w:rPr>
          <w:noProof/>
        </w:rPr>
        <w:t xml:space="preserve"> are available </w:t>
      </w:r>
      <w:r w:rsidR="001F6F56">
        <w:rPr>
          <w:noProof/>
        </w:rPr>
        <w:t>in section</w:t>
      </w:r>
      <w:r w:rsidR="002C2E66">
        <w:rPr>
          <w:noProof/>
        </w:rPr>
        <w:t xml:space="preserve"> 8.2 of the appendix</w:t>
      </w:r>
      <w:r w:rsidR="002F7A87">
        <w:rPr>
          <w:noProof/>
        </w:rPr>
        <w:t xml:space="preserve"> for all three species</w:t>
      </w:r>
      <w:r w:rsidR="002C2E66">
        <w:rPr>
          <w:noProof/>
        </w:rPr>
        <w:t>.</w:t>
      </w:r>
      <w:r w:rsidR="008C50E8">
        <w:rPr>
          <w:noProof/>
        </w:rPr>
        <w:t xml:space="preserve">  </w:t>
      </w:r>
      <w:r w:rsidR="00361913" w:rsidRPr="00983115">
        <w:rPr>
          <w:noProof/>
          <w:color w:val="000000" w:themeColor="text1"/>
        </w:rPr>
        <w:t>Th</w:t>
      </w:r>
      <w:r w:rsidR="00361913">
        <w:rPr>
          <w:noProof/>
          <w:color w:val="000000" w:themeColor="text1"/>
        </w:rPr>
        <w:t>e total number of ind</w:t>
      </w:r>
      <w:r w:rsidR="008B27CC">
        <w:rPr>
          <w:noProof/>
          <w:color w:val="000000" w:themeColor="text1"/>
        </w:rPr>
        <w:t xml:space="preserve">ividuals with mandibular scores evaluated </w:t>
      </w:r>
      <w:r w:rsidR="00361913">
        <w:rPr>
          <w:noProof/>
          <w:color w:val="000000" w:themeColor="text1"/>
        </w:rPr>
        <w:t>in the analysis is sh</w:t>
      </w:r>
      <w:r w:rsidR="008B27CC">
        <w:rPr>
          <w:noProof/>
          <w:color w:val="000000" w:themeColor="text1"/>
        </w:rPr>
        <w:t xml:space="preserve">own </w:t>
      </w:r>
      <w:r w:rsidR="00206D0B">
        <w:rPr>
          <w:noProof/>
          <w:color w:val="000000" w:themeColor="text1"/>
        </w:rPr>
        <w:t xml:space="preserve">in </w:t>
      </w:r>
      <w:r w:rsidR="00A17646">
        <w:rPr>
          <w:noProof/>
          <w:color w:val="000000" w:themeColor="text1"/>
        </w:rPr>
        <w:t>T</w:t>
      </w:r>
      <w:r w:rsidR="008B27CC">
        <w:rPr>
          <w:noProof/>
          <w:color w:val="000000" w:themeColor="text1"/>
        </w:rPr>
        <w:t>able 3.1</w:t>
      </w:r>
      <w:r w:rsidR="00202624">
        <w:rPr>
          <w:noProof/>
          <w:color w:val="000000" w:themeColor="text1"/>
        </w:rPr>
        <w:t>5</w:t>
      </w:r>
      <w:r w:rsidR="00361913">
        <w:rPr>
          <w:noProof/>
          <w:color w:val="000000" w:themeColor="text1"/>
        </w:rPr>
        <w:t xml:space="preserve">.  </w:t>
      </w:r>
      <w:r w:rsidR="007D1CC2">
        <w:rPr>
          <w:noProof/>
          <w:color w:val="000000" w:themeColor="text1"/>
        </w:rPr>
        <w:t xml:space="preserve">It is evident that all of the incomplete individuals that could be added for </w:t>
      </w:r>
      <w:r w:rsidR="007D1CC2">
        <w:rPr>
          <w:i/>
          <w:noProof/>
          <w:color w:val="000000" w:themeColor="text1"/>
        </w:rPr>
        <w:t>Pan paniscus</w:t>
      </w:r>
      <w:r w:rsidR="007D1CC2">
        <w:rPr>
          <w:noProof/>
          <w:color w:val="000000" w:themeColor="text1"/>
        </w:rPr>
        <w:t xml:space="preserve"> and </w:t>
      </w:r>
      <w:r w:rsidR="007D1CC2">
        <w:rPr>
          <w:i/>
          <w:noProof/>
          <w:color w:val="000000" w:themeColor="text1"/>
        </w:rPr>
        <w:t>Pan troglodytes</w:t>
      </w:r>
      <w:r w:rsidR="002E1044">
        <w:rPr>
          <w:i/>
          <w:noProof/>
          <w:color w:val="000000" w:themeColor="text1"/>
        </w:rPr>
        <w:t xml:space="preserve"> </w:t>
      </w:r>
      <w:r w:rsidR="002E1044">
        <w:rPr>
          <w:noProof/>
          <w:color w:val="000000" w:themeColor="text1"/>
        </w:rPr>
        <w:t>were added</w:t>
      </w:r>
      <w:r w:rsidR="009C405A">
        <w:rPr>
          <w:noProof/>
          <w:color w:val="000000" w:themeColor="text1"/>
        </w:rPr>
        <w:t>.</w:t>
      </w:r>
      <w:r w:rsidR="00596387">
        <w:rPr>
          <w:noProof/>
          <w:color w:val="000000" w:themeColor="text1"/>
        </w:rPr>
        <w:t xml:space="preserve">  It should be noted that the one bonobo that could not be added by imputation</w:t>
      </w:r>
      <w:r w:rsidR="00B9004C">
        <w:rPr>
          <w:noProof/>
          <w:color w:val="000000" w:themeColor="text1"/>
        </w:rPr>
        <w:t xml:space="preserve"> </w:t>
      </w:r>
      <w:r w:rsidR="00596387">
        <w:rPr>
          <w:noProof/>
          <w:color w:val="000000" w:themeColor="text1"/>
        </w:rPr>
        <w:t>had only two teeth pr</w:t>
      </w:r>
      <w:r w:rsidR="00C36E60">
        <w:rPr>
          <w:noProof/>
          <w:color w:val="000000" w:themeColor="text1"/>
        </w:rPr>
        <w:t>e</w:t>
      </w:r>
      <w:r w:rsidR="00596387">
        <w:rPr>
          <w:noProof/>
          <w:color w:val="000000" w:themeColor="text1"/>
        </w:rPr>
        <w:t>sent, the left and the right I2, bo</w:t>
      </w:r>
      <w:r w:rsidR="00062CAF">
        <w:rPr>
          <w:noProof/>
          <w:color w:val="000000" w:themeColor="text1"/>
        </w:rPr>
        <w:t>th of which were fully mature.</w:t>
      </w:r>
    </w:p>
    <w:p w:rsidR="00277E1F" w:rsidRPr="007655B9" w:rsidRDefault="00A47CD2" w:rsidP="00A47CD2">
      <w:pPr>
        <w:pStyle w:val="Caption"/>
      </w:pPr>
      <w:bookmarkStart w:id="163" w:name="_Toc373180127"/>
      <w:proofErr w:type="gramStart"/>
      <w:r w:rsidRPr="00A47CD2">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15</w:t>
      </w:r>
      <w:r w:rsidR="008943E4">
        <w:rPr>
          <w:b/>
        </w:rPr>
        <w:fldChar w:fldCharType="end"/>
      </w:r>
      <w:r w:rsidR="00A17646">
        <w:t xml:space="preserve"> </w:t>
      </w:r>
      <w:r w:rsidR="00277E1F">
        <w:t>Number of</w:t>
      </w:r>
      <w:r w:rsidR="00361913" w:rsidRPr="00277E1F">
        <w:t xml:space="preserve"> individuals</w:t>
      </w:r>
      <w:r w:rsidR="00277E1F">
        <w:t xml:space="preserve"> brought forward for analysis</w:t>
      </w:r>
      <w:r w:rsidR="003A2F0D">
        <w:t xml:space="preserve"> by the use of multiple </w:t>
      </w:r>
      <w:proofErr w:type="gramStart"/>
      <w:r w:rsidR="003A2F0D">
        <w:t>imputation</w:t>
      </w:r>
      <w:proofErr w:type="gramEnd"/>
      <w:r w:rsidR="00277E1F">
        <w:t>.</w:t>
      </w:r>
      <w:bookmarkEnd w:id="163"/>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5738"/>
        <w:gridCol w:w="1634"/>
        <w:gridCol w:w="1984"/>
      </w:tblGrid>
      <w:tr w:rsidR="0044778F" w:rsidRPr="008D55DC" w:rsidTr="00CA5FBB">
        <w:trPr>
          <w:trHeight w:val="315"/>
        </w:trPr>
        <w:tc>
          <w:tcPr>
            <w:tcW w:w="5738" w:type="dxa"/>
            <w:tcBorders>
              <w:top w:val="single" w:sz="4" w:space="0" w:color="auto"/>
              <w:bottom w:val="single" w:sz="4" w:space="0" w:color="auto"/>
            </w:tcBorders>
            <w:shd w:val="clear" w:color="auto" w:fill="auto"/>
            <w:noWrap/>
            <w:vAlign w:val="center"/>
            <w:hideMark/>
          </w:tcPr>
          <w:p w:rsidR="0044778F" w:rsidRPr="00CA5FBB" w:rsidRDefault="00FC7848" w:rsidP="00A35CA0">
            <w:pPr>
              <w:jc w:val="center"/>
              <w:rPr>
                <w:b/>
                <w:lang w:val="en-GB" w:eastAsia="en-GB"/>
              </w:rPr>
            </w:pPr>
            <w:r>
              <w:rPr>
                <w:b/>
                <w:lang w:val="en-GB" w:eastAsia="en-GB"/>
              </w:rPr>
              <w:t>d</w:t>
            </w:r>
            <w:r w:rsidR="008943E4" w:rsidRPr="00CA5FBB">
              <w:rPr>
                <w:b/>
                <w:lang w:val="en-GB" w:eastAsia="en-GB"/>
              </w:rPr>
              <w:t>ata type</w:t>
            </w:r>
          </w:p>
        </w:tc>
        <w:tc>
          <w:tcPr>
            <w:tcW w:w="1634" w:type="dxa"/>
            <w:tcBorders>
              <w:top w:val="single" w:sz="4" w:space="0" w:color="auto"/>
              <w:bottom w:val="single" w:sz="4" w:space="0" w:color="auto"/>
            </w:tcBorders>
            <w:shd w:val="clear" w:color="auto" w:fill="auto"/>
            <w:noWrap/>
            <w:vAlign w:val="center"/>
            <w:hideMark/>
          </w:tcPr>
          <w:p w:rsidR="0044778F" w:rsidRDefault="0098078A" w:rsidP="00471884">
            <w:pPr>
              <w:spacing w:before="0" w:line="240" w:lineRule="auto"/>
              <w:jc w:val="center"/>
              <w:rPr>
                <w:rFonts w:eastAsia="Times New Roman"/>
                <w:b/>
                <w:i/>
                <w:color w:val="000000"/>
                <w:lang w:val="en-GB" w:eastAsia="en-GB"/>
              </w:rPr>
            </w:pPr>
            <w:r w:rsidRPr="008D55DC">
              <w:rPr>
                <w:rFonts w:eastAsia="Times New Roman"/>
                <w:b/>
                <w:i/>
                <w:color w:val="000000"/>
                <w:lang w:val="en-GB" w:eastAsia="en-GB"/>
              </w:rPr>
              <w:t>P.</w:t>
            </w:r>
            <w:r w:rsidR="008943E4" w:rsidRPr="00CA5FBB">
              <w:rPr>
                <w:rFonts w:eastAsia="Times New Roman"/>
                <w:b/>
                <w:i/>
                <w:color w:val="000000"/>
                <w:lang w:val="en-GB" w:eastAsia="en-GB"/>
              </w:rPr>
              <w:t xml:space="preserve"> paniscus</w:t>
            </w:r>
          </w:p>
          <w:p w:rsidR="00471884" w:rsidRPr="00CA5FBB" w:rsidRDefault="00471884" w:rsidP="00471884">
            <w:pPr>
              <w:spacing w:before="0" w:line="240" w:lineRule="auto"/>
              <w:jc w:val="center"/>
              <w:rPr>
                <w:rFonts w:eastAsia="Times New Roman"/>
                <w:b/>
                <w:color w:val="000000"/>
                <w:lang w:val="en-GB" w:eastAsia="en-GB"/>
              </w:rPr>
            </w:pPr>
            <w:r>
              <w:rPr>
                <w:rFonts w:eastAsia="Times New Roman"/>
                <w:b/>
                <w:i/>
                <w:color w:val="000000"/>
                <w:lang w:val="en-GB" w:eastAsia="en-GB"/>
              </w:rPr>
              <w:t>N</w:t>
            </w:r>
          </w:p>
        </w:tc>
        <w:tc>
          <w:tcPr>
            <w:tcW w:w="1984" w:type="dxa"/>
            <w:tcBorders>
              <w:top w:val="single" w:sz="4" w:space="0" w:color="auto"/>
              <w:bottom w:val="single" w:sz="4" w:space="0" w:color="auto"/>
            </w:tcBorders>
            <w:shd w:val="clear" w:color="auto" w:fill="auto"/>
            <w:noWrap/>
            <w:vAlign w:val="center"/>
            <w:hideMark/>
          </w:tcPr>
          <w:p w:rsidR="0044778F" w:rsidRDefault="008943E4" w:rsidP="00471884">
            <w:pPr>
              <w:spacing w:before="0" w:line="240" w:lineRule="auto"/>
              <w:jc w:val="center"/>
              <w:rPr>
                <w:rFonts w:eastAsia="Times New Roman"/>
                <w:b/>
                <w:i/>
                <w:color w:val="000000"/>
                <w:lang w:val="en-GB" w:eastAsia="en-GB"/>
              </w:rPr>
            </w:pPr>
            <w:r w:rsidRPr="00CA5FBB">
              <w:rPr>
                <w:rFonts w:eastAsia="Times New Roman"/>
                <w:b/>
                <w:i/>
                <w:color w:val="000000"/>
                <w:lang w:val="en-GB" w:eastAsia="en-GB"/>
              </w:rPr>
              <w:t>P</w:t>
            </w:r>
            <w:r w:rsidR="0098078A" w:rsidRPr="008D55DC">
              <w:rPr>
                <w:rFonts w:eastAsia="Times New Roman"/>
                <w:b/>
                <w:i/>
                <w:color w:val="000000"/>
                <w:lang w:val="en-GB" w:eastAsia="en-GB"/>
              </w:rPr>
              <w:t>.</w:t>
            </w:r>
            <w:r w:rsidRPr="00CA5FBB">
              <w:rPr>
                <w:rFonts w:eastAsia="Times New Roman"/>
                <w:b/>
                <w:i/>
                <w:color w:val="000000"/>
                <w:lang w:val="en-GB" w:eastAsia="en-GB"/>
              </w:rPr>
              <w:t xml:space="preserve"> troglodytes</w:t>
            </w:r>
          </w:p>
          <w:p w:rsidR="00471884" w:rsidRPr="00CA5FBB" w:rsidRDefault="00471884" w:rsidP="00471884">
            <w:pPr>
              <w:spacing w:before="0" w:line="240" w:lineRule="auto"/>
              <w:jc w:val="center"/>
              <w:rPr>
                <w:rFonts w:eastAsia="Times New Roman"/>
                <w:b/>
                <w:color w:val="000000"/>
                <w:lang w:val="en-GB" w:eastAsia="en-GB"/>
              </w:rPr>
            </w:pPr>
            <w:r>
              <w:rPr>
                <w:rFonts w:eastAsia="Times New Roman"/>
                <w:b/>
                <w:i/>
                <w:color w:val="000000"/>
                <w:lang w:val="en-GB" w:eastAsia="en-GB"/>
              </w:rPr>
              <w:t>N</w:t>
            </w:r>
          </w:p>
        </w:tc>
      </w:tr>
      <w:tr w:rsidR="0044778F" w:rsidRPr="0044778F" w:rsidTr="00CA5FBB">
        <w:trPr>
          <w:trHeight w:val="360"/>
        </w:trPr>
        <w:tc>
          <w:tcPr>
            <w:tcW w:w="5738" w:type="dxa"/>
            <w:tcBorders>
              <w:top w:val="single" w:sz="4" w:space="0" w:color="auto"/>
            </w:tcBorders>
            <w:shd w:val="clear" w:color="auto" w:fill="auto"/>
            <w:noWrap/>
            <w:vAlign w:val="center"/>
            <w:hideMark/>
          </w:tcPr>
          <w:p w:rsidR="0044778F" w:rsidRPr="0044778F" w:rsidRDefault="0044778F" w:rsidP="007655B9">
            <w:pPr>
              <w:spacing w:before="0" w:line="240" w:lineRule="auto"/>
              <w:rPr>
                <w:rFonts w:eastAsia="Times New Roman"/>
                <w:color w:val="000000"/>
                <w:lang w:val="en-GB" w:eastAsia="en-GB"/>
              </w:rPr>
            </w:pPr>
            <w:proofErr w:type="gramStart"/>
            <w:r w:rsidRPr="0044778F">
              <w:rPr>
                <w:rFonts w:eastAsia="Times New Roman"/>
                <w:color w:val="000000"/>
                <w:lang w:val="en-GB" w:eastAsia="en-GB"/>
              </w:rPr>
              <w:t>total</w:t>
            </w:r>
            <w:proofErr w:type="gramEnd"/>
            <w:r w:rsidRPr="0044778F">
              <w:rPr>
                <w:rFonts w:eastAsia="Times New Roman"/>
                <w:color w:val="000000"/>
                <w:lang w:val="en-GB" w:eastAsia="en-GB"/>
              </w:rPr>
              <w:t xml:space="preserve"> individuals</w:t>
            </w:r>
            <w:r w:rsidRPr="0044778F">
              <w:rPr>
                <w:rFonts w:eastAsia="Times New Roman"/>
                <w:color w:val="000000"/>
                <w:vertAlign w:val="superscript"/>
                <w:lang w:val="en-GB" w:eastAsia="en-GB"/>
              </w:rPr>
              <w:t>1.</w:t>
            </w:r>
          </w:p>
        </w:tc>
        <w:tc>
          <w:tcPr>
            <w:tcW w:w="1634" w:type="dxa"/>
            <w:tcBorders>
              <w:top w:val="single" w:sz="4" w:space="0" w:color="auto"/>
            </w:tcBorders>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37</w:t>
            </w:r>
          </w:p>
        </w:tc>
        <w:tc>
          <w:tcPr>
            <w:tcW w:w="1984" w:type="dxa"/>
            <w:tcBorders>
              <w:top w:val="single" w:sz="4" w:space="0" w:color="auto"/>
            </w:tcBorders>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171</w:t>
            </w:r>
          </w:p>
        </w:tc>
      </w:tr>
      <w:tr w:rsidR="0044778F" w:rsidRPr="0044778F" w:rsidTr="00CA5FBB">
        <w:trPr>
          <w:trHeight w:val="315"/>
        </w:trPr>
        <w:tc>
          <w:tcPr>
            <w:tcW w:w="5738" w:type="dxa"/>
            <w:shd w:val="clear" w:color="auto" w:fill="auto"/>
            <w:noWrap/>
            <w:vAlign w:val="center"/>
            <w:hideMark/>
          </w:tcPr>
          <w:p w:rsidR="0044778F" w:rsidRPr="0044778F" w:rsidRDefault="0044778F" w:rsidP="007655B9">
            <w:pPr>
              <w:spacing w:before="0" w:line="240" w:lineRule="auto"/>
              <w:rPr>
                <w:rFonts w:eastAsia="Times New Roman"/>
                <w:color w:val="000000"/>
                <w:lang w:val="en-GB" w:eastAsia="en-GB"/>
              </w:rPr>
            </w:pPr>
            <w:r w:rsidRPr="0044778F">
              <w:rPr>
                <w:rFonts w:eastAsia="Times New Roman"/>
                <w:color w:val="000000"/>
                <w:lang w:val="en-GB" w:eastAsia="en-GB"/>
              </w:rPr>
              <w:t>missing skulls</w:t>
            </w:r>
          </w:p>
        </w:tc>
        <w:tc>
          <w:tcPr>
            <w:tcW w:w="163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4</w:t>
            </w:r>
          </w:p>
        </w:tc>
        <w:tc>
          <w:tcPr>
            <w:tcW w:w="198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15</w:t>
            </w:r>
          </w:p>
        </w:tc>
      </w:tr>
      <w:tr w:rsidR="0044778F" w:rsidRPr="0044778F" w:rsidTr="00CA5FBB">
        <w:trPr>
          <w:trHeight w:val="315"/>
        </w:trPr>
        <w:tc>
          <w:tcPr>
            <w:tcW w:w="5738" w:type="dxa"/>
            <w:shd w:val="clear" w:color="auto" w:fill="auto"/>
            <w:noWrap/>
            <w:vAlign w:val="center"/>
            <w:hideMark/>
          </w:tcPr>
          <w:p w:rsidR="0044778F" w:rsidRPr="0044778F" w:rsidRDefault="0044778F" w:rsidP="009A5335">
            <w:pPr>
              <w:spacing w:before="0" w:line="240" w:lineRule="auto"/>
              <w:rPr>
                <w:rFonts w:eastAsia="Times New Roman"/>
                <w:color w:val="000000"/>
                <w:lang w:val="en-GB" w:eastAsia="en-GB"/>
              </w:rPr>
            </w:pPr>
            <w:r w:rsidRPr="0044778F">
              <w:rPr>
                <w:rFonts w:eastAsia="Times New Roman"/>
                <w:color w:val="000000"/>
                <w:lang w:val="en-GB" w:eastAsia="en-GB"/>
              </w:rPr>
              <w:t>individuals with a</w:t>
            </w:r>
            <w:r w:rsidR="009A5335">
              <w:rPr>
                <w:rFonts w:eastAsia="Times New Roman"/>
                <w:color w:val="000000"/>
                <w:lang w:val="en-GB" w:eastAsia="en-GB"/>
              </w:rPr>
              <w:t xml:space="preserve">t least one </w:t>
            </w:r>
            <w:r w:rsidR="008E1099">
              <w:rPr>
                <w:rFonts w:eastAsia="Times New Roman"/>
                <w:color w:val="000000"/>
                <w:lang w:val="en-GB" w:eastAsia="en-GB"/>
              </w:rPr>
              <w:t xml:space="preserve">permanent </w:t>
            </w:r>
            <w:r w:rsidR="009A5335">
              <w:rPr>
                <w:rFonts w:eastAsia="Times New Roman"/>
                <w:color w:val="000000"/>
                <w:lang w:val="en-GB" w:eastAsia="en-GB"/>
              </w:rPr>
              <w:t>tooth</w:t>
            </w:r>
          </w:p>
        </w:tc>
        <w:tc>
          <w:tcPr>
            <w:tcW w:w="163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33</w:t>
            </w:r>
          </w:p>
        </w:tc>
        <w:tc>
          <w:tcPr>
            <w:tcW w:w="198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156</w:t>
            </w:r>
          </w:p>
        </w:tc>
      </w:tr>
      <w:tr w:rsidR="0044778F" w:rsidRPr="0044778F" w:rsidTr="00CA5FBB">
        <w:trPr>
          <w:trHeight w:val="360"/>
        </w:trPr>
        <w:tc>
          <w:tcPr>
            <w:tcW w:w="5738" w:type="dxa"/>
            <w:shd w:val="clear" w:color="auto" w:fill="auto"/>
            <w:noWrap/>
            <w:vAlign w:val="center"/>
            <w:hideMark/>
          </w:tcPr>
          <w:p w:rsidR="0044778F" w:rsidRPr="0044778F" w:rsidRDefault="0044778F" w:rsidP="007655B9">
            <w:pPr>
              <w:spacing w:before="0" w:line="240" w:lineRule="auto"/>
              <w:rPr>
                <w:rFonts w:eastAsia="Times New Roman"/>
                <w:color w:val="000000"/>
                <w:lang w:val="en-GB" w:eastAsia="en-GB"/>
              </w:rPr>
            </w:pPr>
            <w:r w:rsidRPr="0044778F">
              <w:rPr>
                <w:rFonts w:eastAsia="Times New Roman"/>
                <w:color w:val="000000"/>
                <w:lang w:val="en-GB" w:eastAsia="en-GB"/>
              </w:rPr>
              <w:t>composite or complete mandible scores</w:t>
            </w:r>
          </w:p>
        </w:tc>
        <w:tc>
          <w:tcPr>
            <w:tcW w:w="163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19</w:t>
            </w:r>
          </w:p>
        </w:tc>
        <w:tc>
          <w:tcPr>
            <w:tcW w:w="198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131</w:t>
            </w:r>
          </w:p>
        </w:tc>
      </w:tr>
      <w:tr w:rsidR="0044778F" w:rsidRPr="0044778F" w:rsidTr="00CA5FBB">
        <w:trPr>
          <w:trHeight w:val="315"/>
        </w:trPr>
        <w:tc>
          <w:tcPr>
            <w:tcW w:w="5738" w:type="dxa"/>
            <w:shd w:val="clear" w:color="auto" w:fill="auto"/>
            <w:noWrap/>
            <w:vAlign w:val="center"/>
            <w:hideMark/>
          </w:tcPr>
          <w:p w:rsidR="0044778F" w:rsidRPr="0044778F" w:rsidRDefault="0044778F" w:rsidP="007655B9">
            <w:pPr>
              <w:spacing w:before="0" w:line="240" w:lineRule="auto"/>
              <w:rPr>
                <w:rFonts w:eastAsia="Times New Roman"/>
                <w:color w:val="000000"/>
                <w:lang w:val="en-GB" w:eastAsia="en-GB"/>
              </w:rPr>
            </w:pPr>
            <w:r w:rsidRPr="0044778F">
              <w:rPr>
                <w:rFonts w:eastAsia="Times New Roman"/>
                <w:color w:val="000000"/>
                <w:lang w:val="en-GB" w:eastAsia="en-GB"/>
              </w:rPr>
              <w:t>incomplete individuals</w:t>
            </w:r>
            <w:r w:rsidR="00753622">
              <w:rPr>
                <w:rFonts w:eastAsia="Times New Roman"/>
                <w:color w:val="000000"/>
                <w:lang w:val="en-GB" w:eastAsia="en-GB"/>
              </w:rPr>
              <w:t xml:space="preserve"> (sexed and unsexed)</w:t>
            </w:r>
          </w:p>
        </w:tc>
        <w:tc>
          <w:tcPr>
            <w:tcW w:w="163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12</w:t>
            </w:r>
          </w:p>
        </w:tc>
        <w:tc>
          <w:tcPr>
            <w:tcW w:w="198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25</w:t>
            </w:r>
          </w:p>
        </w:tc>
      </w:tr>
      <w:tr w:rsidR="0044778F" w:rsidRPr="0044778F" w:rsidTr="00CA5FBB">
        <w:trPr>
          <w:trHeight w:val="315"/>
        </w:trPr>
        <w:tc>
          <w:tcPr>
            <w:tcW w:w="5738" w:type="dxa"/>
            <w:shd w:val="clear" w:color="auto" w:fill="FFFFFF" w:themeFill="background1"/>
            <w:noWrap/>
            <w:vAlign w:val="center"/>
            <w:hideMark/>
          </w:tcPr>
          <w:p w:rsidR="0044778F" w:rsidRPr="0044778F" w:rsidRDefault="0044778F" w:rsidP="007655B9">
            <w:pPr>
              <w:spacing w:before="0" w:line="240" w:lineRule="auto"/>
              <w:rPr>
                <w:rFonts w:eastAsia="Times New Roman"/>
                <w:color w:val="000000"/>
                <w:lang w:val="en-GB" w:eastAsia="en-GB"/>
              </w:rPr>
            </w:pPr>
            <w:proofErr w:type="gramStart"/>
            <w:r w:rsidRPr="0044778F">
              <w:rPr>
                <w:rFonts w:eastAsia="Times New Roman"/>
                <w:color w:val="000000"/>
                <w:lang w:val="en-GB" w:eastAsia="en-GB"/>
              </w:rPr>
              <w:t>incomplete</w:t>
            </w:r>
            <w:proofErr w:type="gramEnd"/>
            <w:r w:rsidRPr="0044778F">
              <w:rPr>
                <w:rFonts w:eastAsia="Times New Roman"/>
                <w:color w:val="000000"/>
                <w:lang w:val="en-GB" w:eastAsia="en-GB"/>
              </w:rPr>
              <w:t xml:space="preserve"> individuals for male and female </w:t>
            </w:r>
            <w:r w:rsidRPr="0044778F">
              <w:rPr>
                <w:rFonts w:eastAsia="Times New Roman"/>
                <w:i/>
                <w:color w:val="000000"/>
                <w:lang w:val="en-GB" w:eastAsia="en-GB"/>
              </w:rPr>
              <w:t>Pan troglodytes</w:t>
            </w:r>
            <w:r w:rsidRPr="0044778F">
              <w:rPr>
                <w:rFonts w:eastAsia="Times New Roman"/>
                <w:color w:val="000000"/>
                <w:lang w:val="en-GB" w:eastAsia="en-GB"/>
              </w:rPr>
              <w:t xml:space="preserve"> </w:t>
            </w:r>
            <w:r w:rsidRPr="0044778F">
              <w:rPr>
                <w:rFonts w:eastAsia="Times New Roman"/>
                <w:color w:val="000000"/>
                <w:vertAlign w:val="superscript"/>
                <w:lang w:val="en-GB" w:eastAsia="en-GB"/>
              </w:rPr>
              <w:t>2.</w:t>
            </w:r>
          </w:p>
        </w:tc>
        <w:tc>
          <w:tcPr>
            <w:tcW w:w="1634" w:type="dxa"/>
            <w:shd w:val="clear" w:color="auto" w:fill="FFFFFF" w:themeFill="background1"/>
            <w:noWrap/>
            <w:vAlign w:val="center"/>
            <w:hideMark/>
          </w:tcPr>
          <w:p w:rsidR="0044778F" w:rsidRPr="0044778F" w:rsidRDefault="009A1325" w:rsidP="009A1325">
            <w:pPr>
              <w:spacing w:before="0" w:line="240" w:lineRule="auto"/>
              <w:jc w:val="center"/>
              <w:rPr>
                <w:rFonts w:eastAsia="Times New Roman"/>
                <w:color w:val="000000"/>
                <w:lang w:val="en-GB" w:eastAsia="en-GB"/>
              </w:rPr>
            </w:pPr>
            <w:r>
              <w:rPr>
                <w:rFonts w:eastAsia="Times New Roman"/>
                <w:color w:val="000000"/>
                <w:lang w:val="en-GB" w:eastAsia="en-GB"/>
              </w:rPr>
              <w:t>-</w:t>
            </w:r>
          </w:p>
        </w:tc>
        <w:tc>
          <w:tcPr>
            <w:tcW w:w="1984" w:type="dxa"/>
            <w:shd w:val="clear" w:color="auto" w:fill="FFFFFF" w:themeFill="background1"/>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16</w:t>
            </w:r>
          </w:p>
        </w:tc>
      </w:tr>
      <w:tr w:rsidR="0044778F" w:rsidRPr="0044778F" w:rsidTr="00CA5FBB">
        <w:trPr>
          <w:trHeight w:val="360"/>
        </w:trPr>
        <w:tc>
          <w:tcPr>
            <w:tcW w:w="5738" w:type="dxa"/>
            <w:shd w:val="clear" w:color="auto" w:fill="auto"/>
            <w:noWrap/>
            <w:vAlign w:val="center"/>
            <w:hideMark/>
          </w:tcPr>
          <w:p w:rsidR="0044778F" w:rsidRPr="0044778F" w:rsidRDefault="00FC7848" w:rsidP="007655B9">
            <w:pPr>
              <w:spacing w:before="0" w:line="240" w:lineRule="auto"/>
              <w:rPr>
                <w:rFonts w:eastAsia="Times New Roman"/>
                <w:color w:val="000000"/>
                <w:lang w:val="en-GB" w:eastAsia="en-GB"/>
              </w:rPr>
            </w:pPr>
            <w:proofErr w:type="gramStart"/>
            <w:r>
              <w:rPr>
                <w:rFonts w:eastAsia="Times New Roman"/>
                <w:color w:val="000000"/>
                <w:lang w:val="en-GB" w:eastAsia="en-GB"/>
              </w:rPr>
              <w:t>i</w:t>
            </w:r>
            <w:r w:rsidR="0044778F" w:rsidRPr="0044778F">
              <w:rPr>
                <w:rFonts w:eastAsia="Times New Roman"/>
                <w:color w:val="000000"/>
                <w:lang w:val="en-GB" w:eastAsia="en-GB"/>
              </w:rPr>
              <w:t>ndividuals</w:t>
            </w:r>
            <w:proofErr w:type="gramEnd"/>
            <w:r w:rsidR="0044778F" w:rsidRPr="0044778F">
              <w:rPr>
                <w:rFonts w:eastAsia="Times New Roman"/>
                <w:color w:val="000000"/>
                <w:lang w:val="en-GB" w:eastAsia="en-GB"/>
              </w:rPr>
              <w:t xml:space="preserve"> added by imputation</w:t>
            </w:r>
            <w:r w:rsidR="0044778F" w:rsidRPr="0044778F">
              <w:rPr>
                <w:rFonts w:eastAsia="Times New Roman"/>
                <w:color w:val="000000"/>
                <w:vertAlign w:val="superscript"/>
                <w:lang w:val="en-GB" w:eastAsia="en-GB"/>
              </w:rPr>
              <w:t>2.</w:t>
            </w:r>
          </w:p>
        </w:tc>
        <w:tc>
          <w:tcPr>
            <w:tcW w:w="1634" w:type="dxa"/>
            <w:shd w:val="clear" w:color="auto" w:fill="auto"/>
            <w:noWrap/>
            <w:vAlign w:val="center"/>
            <w:hideMark/>
          </w:tcPr>
          <w:p w:rsidR="0044778F" w:rsidRPr="0044778F" w:rsidRDefault="00596387" w:rsidP="007655B9">
            <w:pPr>
              <w:spacing w:before="0" w:line="240" w:lineRule="auto"/>
              <w:jc w:val="center"/>
              <w:rPr>
                <w:rFonts w:eastAsia="Times New Roman"/>
                <w:color w:val="000000"/>
                <w:lang w:val="en-GB" w:eastAsia="en-GB"/>
              </w:rPr>
            </w:pPr>
            <w:r>
              <w:rPr>
                <w:rFonts w:eastAsia="Times New Roman"/>
                <w:color w:val="000000"/>
                <w:lang w:val="en-GB" w:eastAsia="en-GB"/>
              </w:rPr>
              <w:t>11</w:t>
            </w:r>
          </w:p>
        </w:tc>
        <w:tc>
          <w:tcPr>
            <w:tcW w:w="198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16</w:t>
            </w:r>
          </w:p>
        </w:tc>
      </w:tr>
      <w:tr w:rsidR="0044778F" w:rsidRPr="0044778F" w:rsidTr="00CA5FBB">
        <w:trPr>
          <w:trHeight w:val="315"/>
        </w:trPr>
        <w:tc>
          <w:tcPr>
            <w:tcW w:w="5738" w:type="dxa"/>
            <w:shd w:val="clear" w:color="auto" w:fill="auto"/>
            <w:noWrap/>
            <w:vAlign w:val="center"/>
            <w:hideMark/>
          </w:tcPr>
          <w:p w:rsidR="0044778F" w:rsidRPr="0044778F" w:rsidRDefault="0044778F" w:rsidP="007655B9">
            <w:pPr>
              <w:spacing w:before="0" w:line="240" w:lineRule="auto"/>
              <w:rPr>
                <w:rFonts w:eastAsia="Times New Roman"/>
                <w:color w:val="000000"/>
                <w:lang w:val="en-GB" w:eastAsia="en-GB"/>
              </w:rPr>
            </w:pPr>
            <w:r w:rsidRPr="0044778F">
              <w:rPr>
                <w:rFonts w:eastAsia="Times New Roman"/>
                <w:color w:val="000000"/>
                <w:lang w:val="en-GB" w:eastAsia="en-GB"/>
              </w:rPr>
              <w:t>final no. individuals for analysis</w:t>
            </w:r>
          </w:p>
        </w:tc>
        <w:tc>
          <w:tcPr>
            <w:tcW w:w="1634" w:type="dxa"/>
            <w:shd w:val="clear" w:color="auto" w:fill="auto"/>
            <w:noWrap/>
            <w:vAlign w:val="center"/>
            <w:hideMark/>
          </w:tcPr>
          <w:p w:rsidR="0044778F" w:rsidRPr="0044778F" w:rsidRDefault="00596387" w:rsidP="007655B9">
            <w:pPr>
              <w:spacing w:before="0" w:line="240" w:lineRule="auto"/>
              <w:jc w:val="center"/>
              <w:rPr>
                <w:rFonts w:eastAsia="Times New Roman"/>
                <w:color w:val="000000"/>
                <w:lang w:val="en-GB" w:eastAsia="en-GB"/>
              </w:rPr>
            </w:pPr>
            <w:r>
              <w:rPr>
                <w:rFonts w:eastAsia="Times New Roman"/>
                <w:color w:val="000000"/>
                <w:lang w:val="en-GB" w:eastAsia="en-GB"/>
              </w:rPr>
              <w:t>32</w:t>
            </w:r>
          </w:p>
        </w:tc>
        <w:tc>
          <w:tcPr>
            <w:tcW w:w="1984" w:type="dxa"/>
            <w:shd w:val="clear" w:color="auto" w:fill="auto"/>
            <w:noWrap/>
            <w:vAlign w:val="center"/>
            <w:hideMark/>
          </w:tcPr>
          <w:p w:rsidR="0044778F" w:rsidRPr="0044778F" w:rsidRDefault="0044778F" w:rsidP="007655B9">
            <w:pPr>
              <w:spacing w:before="0" w:line="240" w:lineRule="auto"/>
              <w:jc w:val="center"/>
              <w:rPr>
                <w:rFonts w:eastAsia="Times New Roman"/>
                <w:color w:val="000000"/>
                <w:lang w:val="en-GB" w:eastAsia="en-GB"/>
              </w:rPr>
            </w:pPr>
            <w:r w:rsidRPr="0044778F">
              <w:rPr>
                <w:rFonts w:eastAsia="Times New Roman"/>
                <w:color w:val="000000"/>
                <w:lang w:val="en-GB" w:eastAsia="en-GB"/>
              </w:rPr>
              <w:t>147</w:t>
            </w:r>
          </w:p>
        </w:tc>
      </w:tr>
    </w:tbl>
    <w:p w:rsidR="00A35CA0" w:rsidRDefault="00024D2E" w:rsidP="00CA5FBB">
      <w:pPr>
        <w:pStyle w:val="ListParagraph"/>
        <w:numPr>
          <w:ilvl w:val="0"/>
          <w:numId w:val="15"/>
        </w:numPr>
        <w:tabs>
          <w:tab w:val="left" w:pos="360"/>
        </w:tabs>
        <w:spacing w:before="120" w:line="240" w:lineRule="auto"/>
        <w:ind w:left="284" w:hanging="284"/>
        <w:rPr>
          <w:noProof/>
          <w:color w:val="000000" w:themeColor="text1"/>
          <w:sz w:val="20"/>
          <w:szCs w:val="20"/>
        </w:rPr>
      </w:pPr>
      <w:r w:rsidRPr="00277E1F">
        <w:rPr>
          <w:noProof/>
          <w:color w:val="000000" w:themeColor="text1"/>
          <w:sz w:val="20"/>
          <w:szCs w:val="20"/>
        </w:rPr>
        <w:t xml:space="preserve">This is the total number of individuals </w:t>
      </w:r>
      <w:r w:rsidRPr="0044778F">
        <w:rPr>
          <w:noProof/>
          <w:color w:val="000000" w:themeColor="text1"/>
          <w:sz w:val="20"/>
          <w:szCs w:val="20"/>
        </w:rPr>
        <w:t xml:space="preserve">in the study sample. </w:t>
      </w:r>
    </w:p>
    <w:p w:rsidR="00A35CA0" w:rsidRDefault="00024D2E" w:rsidP="00CA5FBB">
      <w:pPr>
        <w:pStyle w:val="ListParagraph"/>
        <w:numPr>
          <w:ilvl w:val="0"/>
          <w:numId w:val="15"/>
        </w:numPr>
        <w:tabs>
          <w:tab w:val="left" w:pos="360"/>
        </w:tabs>
        <w:spacing w:line="240" w:lineRule="auto"/>
        <w:ind w:left="284" w:hanging="284"/>
        <w:rPr>
          <w:noProof/>
          <w:color w:val="000000" w:themeColor="text1"/>
          <w:sz w:val="20"/>
          <w:szCs w:val="20"/>
        </w:rPr>
      </w:pPr>
      <w:r w:rsidRPr="0044778F">
        <w:rPr>
          <w:noProof/>
          <w:color w:val="000000" w:themeColor="text1"/>
          <w:sz w:val="20"/>
          <w:szCs w:val="20"/>
        </w:rPr>
        <w:t>This excl</w:t>
      </w:r>
      <w:r w:rsidRPr="00024D2E">
        <w:rPr>
          <w:noProof/>
          <w:color w:val="000000" w:themeColor="text1"/>
          <w:sz w:val="20"/>
          <w:szCs w:val="20"/>
        </w:rPr>
        <w:t>udes unsexed individuals.</w:t>
      </w:r>
    </w:p>
    <w:p w:rsidR="00361913" w:rsidRPr="00024D2E" w:rsidRDefault="00361913" w:rsidP="00D263E8">
      <w:pPr>
        <w:pStyle w:val="Heading3"/>
      </w:pPr>
      <w:bookmarkStart w:id="164" w:name="_Toc373477769"/>
      <w:bookmarkStart w:id="165" w:name="_Toc373480767"/>
      <w:r w:rsidRPr="00024D2E">
        <w:t>Distribution of dental scores</w:t>
      </w:r>
      <w:bookmarkEnd w:id="164"/>
      <w:bookmarkEnd w:id="165"/>
    </w:p>
    <w:p w:rsidR="00361913" w:rsidRDefault="00361913" w:rsidP="00024D2E">
      <w:pPr>
        <w:rPr>
          <w:noProof/>
        </w:rPr>
      </w:pPr>
      <w:r w:rsidRPr="00024D2E">
        <w:rPr>
          <w:noProof/>
        </w:rPr>
        <w:t>With the final d</w:t>
      </w:r>
      <w:r>
        <w:rPr>
          <w:noProof/>
        </w:rPr>
        <w:t>ental scores now produced</w:t>
      </w:r>
      <w:r w:rsidRPr="00A50DEF">
        <w:rPr>
          <w:noProof/>
        </w:rPr>
        <w:t xml:space="preserve"> </w:t>
      </w:r>
      <w:r>
        <w:rPr>
          <w:noProof/>
        </w:rPr>
        <w:t xml:space="preserve">it is necessary to consider the distribution of scores as these will provide the range of development to be considered.  It would be </w:t>
      </w:r>
      <w:r w:rsidR="00532148">
        <w:rPr>
          <w:noProof/>
        </w:rPr>
        <w:t xml:space="preserve">desirable </w:t>
      </w:r>
      <w:r>
        <w:rPr>
          <w:noProof/>
        </w:rPr>
        <w:t>to have a</w:t>
      </w:r>
      <w:r w:rsidR="002859EE">
        <w:rPr>
          <w:noProof/>
        </w:rPr>
        <w:t>n even</w:t>
      </w:r>
      <w:r>
        <w:rPr>
          <w:noProof/>
        </w:rPr>
        <w:t xml:space="preserve"> spread of scores across a wide range of ages</w:t>
      </w:r>
      <w:r w:rsidR="00975E10">
        <w:rPr>
          <w:noProof/>
        </w:rPr>
        <w:t>,</w:t>
      </w:r>
      <w:r>
        <w:rPr>
          <w:noProof/>
        </w:rPr>
        <w:t xml:space="preserve"> although </w:t>
      </w:r>
      <w:r w:rsidR="002859EE">
        <w:rPr>
          <w:noProof/>
        </w:rPr>
        <w:t>this may not be achievable</w:t>
      </w:r>
      <w:r>
        <w:rPr>
          <w:noProof/>
        </w:rPr>
        <w:t>.  This study measured both long bone length and epiphyseal fusion and the distributions of data required for each are not analagous.  Epiphyseal fusion requires a large group of individuals between the ages in which fusion begins to occur and completes</w:t>
      </w:r>
      <w:r w:rsidR="00011E3B">
        <w:rPr>
          <w:noProof/>
        </w:rPr>
        <w:t>.  These events occur</w:t>
      </w:r>
      <w:r>
        <w:rPr>
          <w:noProof/>
        </w:rPr>
        <w:t xml:space="preserve"> relatively later in development</w:t>
      </w:r>
      <w:r w:rsidR="00011E3B">
        <w:rPr>
          <w:noProof/>
        </w:rPr>
        <w:t>, often completing at the end of the growth</w:t>
      </w:r>
      <w:r>
        <w:rPr>
          <w:noProof/>
        </w:rPr>
        <w:t>.  Conversely, long-bone length is continuous throughout the entire process of growth from birth</w:t>
      </w:r>
      <w:r w:rsidR="002859EE">
        <w:rPr>
          <w:noProof/>
        </w:rPr>
        <w:t xml:space="preserve"> to maturity</w:t>
      </w:r>
      <w:r>
        <w:rPr>
          <w:noProof/>
        </w:rPr>
        <w:t>.  Prior studies of human epiphyseal closure have shown that this growth parameter can be quite variable.  Whether it is more variable than long-bone growth rates is not a question that can be easily answered at this juncture</w:t>
      </w:r>
      <w:r w:rsidR="008F4D80">
        <w:rPr>
          <w:noProof/>
        </w:rPr>
        <w:t xml:space="preserve">.  However, </w:t>
      </w:r>
      <w:r>
        <w:rPr>
          <w:noProof/>
        </w:rPr>
        <w:t xml:space="preserve">it </w:t>
      </w:r>
      <w:r w:rsidR="002859EE">
        <w:rPr>
          <w:noProof/>
        </w:rPr>
        <w:t>is</w:t>
      </w:r>
      <w:r>
        <w:rPr>
          <w:noProof/>
        </w:rPr>
        <w:t xml:space="preserve"> desired to have a large sample size for epiphyseal fusion ages as this variable is quite critical for this study.  Table 3.</w:t>
      </w:r>
      <w:r w:rsidR="00686C43">
        <w:rPr>
          <w:noProof/>
        </w:rPr>
        <w:t>1</w:t>
      </w:r>
      <w:r w:rsidR="00C5059B">
        <w:rPr>
          <w:noProof/>
        </w:rPr>
        <w:t>6</w:t>
      </w:r>
      <w:r>
        <w:rPr>
          <w:noProof/>
        </w:rPr>
        <w:t xml:space="preserve"> provides numbers of individuals presented in dental score intervals of 10.</w:t>
      </w:r>
    </w:p>
    <w:p w:rsidR="00563BDE" w:rsidRDefault="00563BDE">
      <w:pPr>
        <w:spacing w:before="0" w:after="200" w:line="276" w:lineRule="auto"/>
        <w:jc w:val="left"/>
        <w:rPr>
          <w:b/>
          <w:bCs/>
          <w:szCs w:val="18"/>
        </w:rPr>
      </w:pPr>
      <w:r>
        <w:rPr>
          <w:b/>
        </w:rPr>
        <w:br w:type="page"/>
      </w:r>
    </w:p>
    <w:p w:rsidR="00361913" w:rsidRPr="00024D2E" w:rsidRDefault="005F1843" w:rsidP="005F1843">
      <w:pPr>
        <w:pStyle w:val="Caption"/>
      </w:pPr>
      <w:bookmarkStart w:id="166" w:name="_Toc373180128"/>
      <w:proofErr w:type="gramStart"/>
      <w:r w:rsidRPr="005F1843">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16</w:t>
      </w:r>
      <w:r w:rsidR="008943E4">
        <w:rPr>
          <w:b/>
        </w:rPr>
        <w:fldChar w:fldCharType="end"/>
      </w:r>
      <w:r>
        <w:t xml:space="preserve"> </w:t>
      </w:r>
      <w:r w:rsidR="00361913">
        <w:t xml:space="preserve">Distribution of dental scores </w:t>
      </w:r>
      <w:r w:rsidR="009E0EE4">
        <w:t xml:space="preserve">sorted by </w:t>
      </w:r>
      <w:r w:rsidR="00361913">
        <w:t>intervals of 10 for both species and sex</w:t>
      </w:r>
      <w:r w:rsidR="003E145A">
        <w:t>es</w:t>
      </w:r>
      <w:r w:rsidR="00361913">
        <w:t>.</w:t>
      </w:r>
      <w:bookmarkEnd w:id="166"/>
    </w:p>
    <w:tbl>
      <w:tblPr>
        <w:tblW w:w="4930" w:type="pct"/>
        <w:jc w:val="center"/>
        <w:tblBorders>
          <w:top w:val="single" w:sz="4" w:space="0" w:color="auto"/>
          <w:bottom w:val="single" w:sz="4" w:space="0" w:color="auto"/>
        </w:tblBorders>
        <w:tblLook w:val="04A0" w:firstRow="1" w:lastRow="0" w:firstColumn="1" w:lastColumn="0" w:noHBand="0" w:noVBand="1"/>
      </w:tblPr>
      <w:tblGrid>
        <w:gridCol w:w="1533"/>
        <w:gridCol w:w="1950"/>
        <w:gridCol w:w="1952"/>
        <w:gridCol w:w="1950"/>
        <w:gridCol w:w="1821"/>
      </w:tblGrid>
      <w:tr w:rsidR="00BB4DE3" w:rsidRPr="00DA31DC" w:rsidTr="00CA5FBB">
        <w:trPr>
          <w:trHeight w:hRule="exact" w:val="284"/>
          <w:jc w:val="center"/>
        </w:trPr>
        <w:tc>
          <w:tcPr>
            <w:tcW w:w="5000" w:type="pct"/>
            <w:gridSpan w:val="5"/>
            <w:tcBorders>
              <w:top w:val="single" w:sz="4" w:space="0" w:color="auto"/>
              <w:bottom w:val="nil"/>
            </w:tcBorders>
            <w:shd w:val="clear" w:color="auto" w:fill="auto"/>
            <w:noWrap/>
            <w:vAlign w:val="center"/>
            <w:hideMark/>
          </w:tcPr>
          <w:p w:rsidR="00A35CA0" w:rsidRDefault="008943E4" w:rsidP="00CA5FBB">
            <w:pPr>
              <w:spacing w:before="0" w:line="240" w:lineRule="auto"/>
              <w:jc w:val="center"/>
              <w:rPr>
                <w:rFonts w:eastAsia="Times New Roman"/>
                <w:color w:val="000000"/>
                <w:lang w:val="en-GB" w:eastAsia="en-GB"/>
              </w:rPr>
            </w:pPr>
            <w:r w:rsidRPr="00CA5FBB">
              <w:rPr>
                <w:rFonts w:eastAsia="Times New Roman"/>
                <w:b/>
                <w:i/>
                <w:iCs/>
                <w:color w:val="000000"/>
                <w:lang w:val="en-GB" w:eastAsia="en-GB"/>
              </w:rPr>
              <w:t>Pan paniscus</w:t>
            </w:r>
          </w:p>
        </w:tc>
      </w:tr>
      <w:tr w:rsidR="00F248A8" w:rsidRPr="00BB1D57" w:rsidTr="00CA5FBB">
        <w:trPr>
          <w:trHeight w:hRule="exact" w:val="284"/>
          <w:jc w:val="center"/>
        </w:trPr>
        <w:tc>
          <w:tcPr>
            <w:tcW w:w="833" w:type="pct"/>
            <w:tcBorders>
              <w:top w:val="nil"/>
              <w:bottom w:val="single" w:sz="4" w:space="0" w:color="auto"/>
            </w:tcBorders>
            <w:shd w:val="clear" w:color="auto" w:fill="auto"/>
            <w:noWrap/>
            <w:vAlign w:val="center"/>
            <w:hideMark/>
          </w:tcPr>
          <w:p w:rsidR="00EF7D90" w:rsidRPr="00CA5FBB" w:rsidRDefault="009A2970" w:rsidP="00C521EA">
            <w:pPr>
              <w:spacing w:before="0" w:line="240" w:lineRule="auto"/>
              <w:jc w:val="center"/>
              <w:rPr>
                <w:rFonts w:eastAsia="Times New Roman"/>
                <w:b/>
                <w:color w:val="000000"/>
                <w:lang w:val="en-GB" w:eastAsia="en-GB"/>
              </w:rPr>
            </w:pPr>
            <w:r>
              <w:rPr>
                <w:rFonts w:eastAsia="Times New Roman"/>
                <w:b/>
                <w:color w:val="000000"/>
                <w:lang w:val="en-GB" w:eastAsia="en-GB"/>
              </w:rPr>
              <w:t>d</w:t>
            </w:r>
            <w:r w:rsidR="008943E4" w:rsidRPr="00CA5FBB">
              <w:rPr>
                <w:rFonts w:eastAsia="Times New Roman"/>
                <w:b/>
                <w:color w:val="000000"/>
                <w:lang w:val="en-GB" w:eastAsia="en-GB"/>
              </w:rPr>
              <w:t>ental score</w:t>
            </w:r>
          </w:p>
        </w:tc>
        <w:tc>
          <w:tcPr>
            <w:tcW w:w="1059" w:type="pct"/>
            <w:tcBorders>
              <w:top w:val="nil"/>
              <w:bottom w:val="single" w:sz="4" w:space="0" w:color="auto"/>
            </w:tcBorders>
            <w:shd w:val="clear" w:color="auto" w:fill="auto"/>
            <w:noWrap/>
            <w:vAlign w:val="center"/>
            <w:hideMark/>
          </w:tcPr>
          <w:p w:rsidR="00EF7D90" w:rsidRPr="00CA5FBB" w:rsidRDefault="009A2970" w:rsidP="00C521EA">
            <w:pPr>
              <w:spacing w:before="0" w:beforeAutospacing="1" w:afterAutospacing="1" w:line="240" w:lineRule="auto"/>
              <w:jc w:val="center"/>
              <w:rPr>
                <w:rFonts w:eastAsia="Times New Roman"/>
                <w:b/>
                <w:color w:val="000000"/>
                <w:lang w:val="en-GB" w:eastAsia="en-GB"/>
              </w:rPr>
            </w:pPr>
            <w:r>
              <w:rPr>
                <w:rFonts w:eastAsia="Times New Roman"/>
                <w:b/>
                <w:color w:val="000000"/>
                <w:lang w:val="en-GB" w:eastAsia="en-GB"/>
              </w:rPr>
              <w:t>m</w:t>
            </w:r>
            <w:r w:rsidR="008943E4" w:rsidRPr="00CA5FBB">
              <w:rPr>
                <w:rFonts w:eastAsia="Times New Roman"/>
                <w:b/>
                <w:color w:val="000000"/>
                <w:lang w:val="en-GB" w:eastAsia="en-GB"/>
              </w:rPr>
              <w:t>ale</w:t>
            </w:r>
          </w:p>
        </w:tc>
        <w:tc>
          <w:tcPr>
            <w:tcW w:w="1060" w:type="pct"/>
            <w:tcBorders>
              <w:top w:val="nil"/>
              <w:bottom w:val="single" w:sz="4" w:space="0" w:color="auto"/>
            </w:tcBorders>
            <w:shd w:val="clear" w:color="auto" w:fill="auto"/>
            <w:noWrap/>
            <w:vAlign w:val="center"/>
            <w:hideMark/>
          </w:tcPr>
          <w:p w:rsidR="00EF7D90" w:rsidRPr="00CA5FBB" w:rsidRDefault="009A2970" w:rsidP="00C521EA">
            <w:pPr>
              <w:spacing w:before="0" w:line="240" w:lineRule="auto"/>
              <w:jc w:val="center"/>
              <w:rPr>
                <w:rFonts w:eastAsia="Times New Roman"/>
                <w:b/>
                <w:color w:val="000000"/>
                <w:lang w:val="en-GB" w:eastAsia="en-GB"/>
              </w:rPr>
            </w:pPr>
            <w:r>
              <w:rPr>
                <w:rFonts w:eastAsia="Times New Roman"/>
                <w:b/>
                <w:color w:val="000000"/>
                <w:lang w:val="en-GB" w:eastAsia="en-GB"/>
              </w:rPr>
              <w:t>f</w:t>
            </w:r>
            <w:r w:rsidR="008943E4" w:rsidRPr="00CA5FBB">
              <w:rPr>
                <w:rFonts w:eastAsia="Times New Roman"/>
                <w:b/>
                <w:color w:val="000000"/>
                <w:lang w:val="en-GB" w:eastAsia="en-GB"/>
              </w:rPr>
              <w:t>emale</w:t>
            </w:r>
          </w:p>
        </w:tc>
        <w:tc>
          <w:tcPr>
            <w:tcW w:w="1059" w:type="pct"/>
            <w:tcBorders>
              <w:top w:val="nil"/>
              <w:bottom w:val="single" w:sz="4" w:space="0" w:color="auto"/>
            </w:tcBorders>
            <w:shd w:val="clear" w:color="auto" w:fill="auto"/>
            <w:noWrap/>
            <w:vAlign w:val="center"/>
            <w:hideMark/>
          </w:tcPr>
          <w:p w:rsidR="00EF7D90" w:rsidRPr="00CA5FBB" w:rsidRDefault="009A2970" w:rsidP="00C521EA">
            <w:pPr>
              <w:spacing w:before="0" w:line="240" w:lineRule="auto"/>
              <w:jc w:val="center"/>
              <w:rPr>
                <w:rFonts w:eastAsia="Times New Roman"/>
                <w:b/>
                <w:color w:val="000000"/>
                <w:lang w:val="en-GB" w:eastAsia="en-GB"/>
              </w:rPr>
            </w:pPr>
            <w:r>
              <w:rPr>
                <w:rFonts w:eastAsia="Times New Roman"/>
                <w:b/>
                <w:color w:val="000000"/>
                <w:lang w:val="en-GB" w:eastAsia="en-GB"/>
              </w:rPr>
              <w:t>n</w:t>
            </w:r>
            <w:r w:rsidR="008943E4" w:rsidRPr="00CA5FBB">
              <w:rPr>
                <w:rFonts w:eastAsia="Times New Roman"/>
                <w:b/>
                <w:color w:val="000000"/>
                <w:lang w:val="en-GB" w:eastAsia="en-GB"/>
              </w:rPr>
              <w:t>o sex</w:t>
            </w:r>
          </w:p>
        </w:tc>
        <w:tc>
          <w:tcPr>
            <w:tcW w:w="990" w:type="pct"/>
            <w:tcBorders>
              <w:top w:val="nil"/>
              <w:bottom w:val="single" w:sz="4" w:space="0" w:color="auto"/>
            </w:tcBorders>
            <w:shd w:val="clear" w:color="auto" w:fill="auto"/>
            <w:noWrap/>
            <w:vAlign w:val="center"/>
            <w:hideMark/>
          </w:tcPr>
          <w:p w:rsidR="00EF7D90" w:rsidRPr="00CA5FBB" w:rsidRDefault="009A2970" w:rsidP="00C521EA">
            <w:pPr>
              <w:spacing w:before="0" w:line="240" w:lineRule="auto"/>
              <w:jc w:val="center"/>
              <w:rPr>
                <w:rFonts w:eastAsia="Times New Roman"/>
                <w:b/>
                <w:color w:val="000000"/>
                <w:lang w:val="en-GB" w:eastAsia="en-GB"/>
              </w:rPr>
            </w:pPr>
            <w:r>
              <w:rPr>
                <w:rFonts w:eastAsia="Times New Roman"/>
                <w:b/>
                <w:color w:val="000000"/>
                <w:lang w:val="en-GB" w:eastAsia="en-GB"/>
              </w:rPr>
              <w:t>a</w:t>
            </w:r>
            <w:r w:rsidR="008943E4" w:rsidRPr="00CA5FBB">
              <w:rPr>
                <w:rFonts w:eastAsia="Times New Roman"/>
                <w:b/>
                <w:color w:val="000000"/>
                <w:lang w:val="en-GB" w:eastAsia="en-GB"/>
              </w:rPr>
              <w:t>ll individuals</w:t>
            </w:r>
          </w:p>
        </w:tc>
      </w:tr>
      <w:tr w:rsidR="00F248A8" w:rsidRPr="00DA31DC" w:rsidTr="00CA5FBB">
        <w:trPr>
          <w:trHeight w:hRule="exact" w:val="284"/>
          <w:jc w:val="center"/>
        </w:trPr>
        <w:tc>
          <w:tcPr>
            <w:tcW w:w="833"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Pr>
                <w:rFonts w:eastAsia="Times New Roman"/>
                <w:color w:val="000000"/>
                <w:lang w:val="en-GB" w:eastAsia="en-GB"/>
              </w:rPr>
              <w:t>0 to 10</w:t>
            </w:r>
          </w:p>
        </w:tc>
        <w:tc>
          <w:tcPr>
            <w:tcW w:w="1059"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1060"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1059"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990"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10 to 20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21 to 30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5</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31 to 40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4</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41 to 50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51 to 60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4</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4</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9</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61 +</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4</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5</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9</w:t>
            </w:r>
          </w:p>
        </w:tc>
      </w:tr>
      <w:tr w:rsidR="00F248A8" w:rsidRPr="00DA31DC" w:rsidTr="00CA5FBB">
        <w:trPr>
          <w:trHeight w:hRule="exact" w:val="284"/>
          <w:jc w:val="center"/>
        </w:trPr>
        <w:tc>
          <w:tcPr>
            <w:tcW w:w="833" w:type="pct"/>
            <w:tcBorders>
              <w:bottom w:val="single" w:sz="4" w:space="0" w:color="auto"/>
            </w:tcBorders>
            <w:shd w:val="clear" w:color="auto" w:fill="auto"/>
            <w:noWrap/>
            <w:vAlign w:val="center"/>
            <w:hideMark/>
          </w:tcPr>
          <w:p w:rsidR="00EF7D90" w:rsidRDefault="009A2970" w:rsidP="00C521EA">
            <w:pPr>
              <w:spacing w:before="0" w:line="240" w:lineRule="auto"/>
              <w:jc w:val="center"/>
              <w:rPr>
                <w:rFonts w:eastAsia="Times New Roman"/>
                <w:color w:val="000000"/>
                <w:lang w:val="en-GB" w:eastAsia="en-GB"/>
              </w:rPr>
            </w:pPr>
            <w:r>
              <w:rPr>
                <w:rFonts w:eastAsia="Times New Roman"/>
                <w:color w:val="000000"/>
                <w:lang w:val="en-GB" w:eastAsia="en-GB"/>
              </w:rPr>
              <w:t>s</w:t>
            </w:r>
            <w:r w:rsidR="00361913" w:rsidRPr="00DA31DC">
              <w:rPr>
                <w:rFonts w:eastAsia="Times New Roman"/>
                <w:color w:val="000000"/>
                <w:lang w:val="en-GB" w:eastAsia="en-GB"/>
              </w:rPr>
              <w:t>um</w:t>
            </w:r>
          </w:p>
        </w:tc>
        <w:tc>
          <w:tcPr>
            <w:tcW w:w="1059" w:type="pct"/>
            <w:tcBorders>
              <w:bottom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17</w:t>
            </w:r>
          </w:p>
        </w:tc>
        <w:tc>
          <w:tcPr>
            <w:tcW w:w="1060" w:type="pct"/>
            <w:tcBorders>
              <w:bottom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11</w:t>
            </w:r>
          </w:p>
        </w:tc>
        <w:tc>
          <w:tcPr>
            <w:tcW w:w="1059" w:type="pct"/>
            <w:tcBorders>
              <w:bottom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4</w:t>
            </w:r>
          </w:p>
        </w:tc>
        <w:tc>
          <w:tcPr>
            <w:tcW w:w="990" w:type="pct"/>
            <w:tcBorders>
              <w:bottom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32</w:t>
            </w:r>
          </w:p>
        </w:tc>
      </w:tr>
      <w:tr w:rsidR="00F248A8" w:rsidRPr="00DA31DC" w:rsidTr="00C521EA">
        <w:trPr>
          <w:trHeight w:hRule="exact" w:val="284"/>
          <w:jc w:val="center"/>
        </w:trPr>
        <w:tc>
          <w:tcPr>
            <w:tcW w:w="5000" w:type="pct"/>
            <w:gridSpan w:val="5"/>
            <w:tcBorders>
              <w:top w:val="single" w:sz="4" w:space="0" w:color="auto"/>
              <w:bottom w:val="nil"/>
            </w:tcBorders>
            <w:shd w:val="clear" w:color="auto" w:fill="auto"/>
            <w:noWrap/>
            <w:vAlign w:val="center"/>
            <w:hideMark/>
          </w:tcPr>
          <w:p w:rsidR="00A35CA0" w:rsidRDefault="008943E4" w:rsidP="00CA5FBB">
            <w:pPr>
              <w:spacing w:before="0" w:line="240" w:lineRule="auto"/>
              <w:jc w:val="center"/>
              <w:rPr>
                <w:rFonts w:eastAsia="Times New Roman"/>
                <w:color w:val="000000"/>
                <w:lang w:val="en-GB" w:eastAsia="en-GB"/>
              </w:rPr>
            </w:pPr>
            <w:r w:rsidRPr="00CA5FBB">
              <w:rPr>
                <w:rFonts w:eastAsia="Times New Roman"/>
                <w:b/>
                <w:i/>
                <w:iCs/>
                <w:color w:val="000000"/>
                <w:lang w:val="en-GB" w:eastAsia="en-GB"/>
              </w:rPr>
              <w:t>Pan troglodytes</w:t>
            </w:r>
          </w:p>
        </w:tc>
      </w:tr>
      <w:tr w:rsidR="00F248A8" w:rsidRPr="00DA31DC" w:rsidTr="00CA5FBB">
        <w:trPr>
          <w:trHeight w:hRule="exact" w:val="284"/>
          <w:jc w:val="center"/>
        </w:trPr>
        <w:tc>
          <w:tcPr>
            <w:tcW w:w="833" w:type="pct"/>
            <w:tcBorders>
              <w:top w:val="nil"/>
              <w:bottom w:val="single" w:sz="4" w:space="0" w:color="auto"/>
            </w:tcBorders>
            <w:shd w:val="clear" w:color="auto" w:fill="auto"/>
            <w:noWrap/>
            <w:vAlign w:val="center"/>
            <w:hideMark/>
          </w:tcPr>
          <w:p w:rsidR="00EF7D90" w:rsidRPr="00CA5FBB" w:rsidRDefault="009A2970" w:rsidP="00C521EA">
            <w:pPr>
              <w:spacing w:before="0" w:beforeAutospacing="1" w:afterAutospacing="1" w:line="240" w:lineRule="auto"/>
              <w:jc w:val="center"/>
              <w:rPr>
                <w:rFonts w:eastAsia="Times New Roman"/>
                <w:b/>
                <w:color w:val="000000"/>
                <w:lang w:val="en-GB" w:eastAsia="en-GB"/>
              </w:rPr>
            </w:pPr>
            <w:r>
              <w:rPr>
                <w:rFonts w:eastAsia="Times New Roman"/>
                <w:b/>
                <w:color w:val="000000"/>
                <w:lang w:val="en-GB" w:eastAsia="en-GB"/>
              </w:rPr>
              <w:t>d</w:t>
            </w:r>
            <w:r w:rsidR="008943E4" w:rsidRPr="00CA5FBB">
              <w:rPr>
                <w:rFonts w:eastAsia="Times New Roman"/>
                <w:b/>
                <w:color w:val="000000"/>
                <w:lang w:val="en-GB" w:eastAsia="en-GB"/>
              </w:rPr>
              <w:t>ental score</w:t>
            </w:r>
          </w:p>
        </w:tc>
        <w:tc>
          <w:tcPr>
            <w:tcW w:w="1059" w:type="pct"/>
            <w:tcBorders>
              <w:top w:val="nil"/>
              <w:bottom w:val="single" w:sz="4" w:space="0" w:color="auto"/>
            </w:tcBorders>
            <w:shd w:val="clear" w:color="auto" w:fill="auto"/>
            <w:noWrap/>
            <w:vAlign w:val="center"/>
            <w:hideMark/>
          </w:tcPr>
          <w:p w:rsidR="00EF7D90" w:rsidRPr="00CA5FBB" w:rsidRDefault="009A2970" w:rsidP="00C521EA">
            <w:pPr>
              <w:spacing w:before="0" w:beforeAutospacing="1" w:afterAutospacing="1" w:line="240" w:lineRule="auto"/>
              <w:jc w:val="center"/>
              <w:rPr>
                <w:rFonts w:eastAsia="Times New Roman"/>
                <w:b/>
                <w:color w:val="000000"/>
                <w:lang w:val="en-GB" w:eastAsia="en-GB"/>
              </w:rPr>
            </w:pPr>
            <w:r>
              <w:rPr>
                <w:rFonts w:eastAsia="Times New Roman"/>
                <w:b/>
                <w:color w:val="000000"/>
                <w:lang w:val="en-GB" w:eastAsia="en-GB"/>
              </w:rPr>
              <w:t>m</w:t>
            </w:r>
            <w:r w:rsidR="008943E4" w:rsidRPr="00CA5FBB">
              <w:rPr>
                <w:rFonts w:eastAsia="Times New Roman"/>
                <w:b/>
                <w:color w:val="000000"/>
                <w:lang w:val="en-GB" w:eastAsia="en-GB"/>
              </w:rPr>
              <w:t>ale</w:t>
            </w:r>
          </w:p>
        </w:tc>
        <w:tc>
          <w:tcPr>
            <w:tcW w:w="1060" w:type="pct"/>
            <w:tcBorders>
              <w:top w:val="nil"/>
              <w:bottom w:val="single" w:sz="4" w:space="0" w:color="auto"/>
            </w:tcBorders>
            <w:shd w:val="clear" w:color="auto" w:fill="auto"/>
            <w:noWrap/>
            <w:vAlign w:val="center"/>
            <w:hideMark/>
          </w:tcPr>
          <w:p w:rsidR="00EF7D90" w:rsidRPr="00CA5FBB" w:rsidRDefault="009A2970" w:rsidP="00C521EA">
            <w:pPr>
              <w:spacing w:before="0" w:beforeAutospacing="1" w:afterAutospacing="1" w:line="240" w:lineRule="auto"/>
              <w:jc w:val="center"/>
              <w:rPr>
                <w:rFonts w:eastAsia="Times New Roman"/>
                <w:b/>
                <w:color w:val="000000"/>
                <w:lang w:val="en-GB" w:eastAsia="en-GB"/>
              </w:rPr>
            </w:pPr>
            <w:r>
              <w:rPr>
                <w:rFonts w:eastAsia="Times New Roman"/>
                <w:b/>
                <w:color w:val="000000"/>
                <w:lang w:val="en-GB" w:eastAsia="en-GB"/>
              </w:rPr>
              <w:t>f</w:t>
            </w:r>
            <w:r w:rsidR="008943E4" w:rsidRPr="00CA5FBB">
              <w:rPr>
                <w:rFonts w:eastAsia="Times New Roman"/>
                <w:b/>
                <w:color w:val="000000"/>
                <w:lang w:val="en-GB" w:eastAsia="en-GB"/>
              </w:rPr>
              <w:t>emale</w:t>
            </w:r>
          </w:p>
        </w:tc>
        <w:tc>
          <w:tcPr>
            <w:tcW w:w="1059" w:type="pct"/>
            <w:tcBorders>
              <w:top w:val="nil"/>
              <w:bottom w:val="single" w:sz="4" w:space="0" w:color="auto"/>
            </w:tcBorders>
            <w:shd w:val="clear" w:color="auto" w:fill="auto"/>
            <w:noWrap/>
            <w:vAlign w:val="center"/>
            <w:hideMark/>
          </w:tcPr>
          <w:p w:rsidR="00EF7D90" w:rsidRPr="00CA5FBB" w:rsidRDefault="009A2970" w:rsidP="00C521EA">
            <w:pPr>
              <w:spacing w:before="0" w:beforeAutospacing="1" w:afterAutospacing="1" w:line="240" w:lineRule="auto"/>
              <w:jc w:val="center"/>
              <w:rPr>
                <w:rFonts w:eastAsia="Times New Roman"/>
                <w:b/>
                <w:color w:val="000000"/>
                <w:lang w:val="en-GB" w:eastAsia="en-GB"/>
              </w:rPr>
            </w:pPr>
            <w:r>
              <w:rPr>
                <w:rFonts w:eastAsia="Times New Roman"/>
                <w:b/>
                <w:color w:val="000000"/>
                <w:lang w:val="en-GB" w:eastAsia="en-GB"/>
              </w:rPr>
              <w:t>n</w:t>
            </w:r>
            <w:r w:rsidR="008943E4" w:rsidRPr="00CA5FBB">
              <w:rPr>
                <w:rFonts w:eastAsia="Times New Roman"/>
                <w:b/>
                <w:color w:val="000000"/>
                <w:lang w:val="en-GB" w:eastAsia="en-GB"/>
              </w:rPr>
              <w:t>o sex</w:t>
            </w:r>
          </w:p>
        </w:tc>
        <w:tc>
          <w:tcPr>
            <w:tcW w:w="990" w:type="pct"/>
            <w:tcBorders>
              <w:top w:val="nil"/>
              <w:bottom w:val="single" w:sz="4" w:space="0" w:color="auto"/>
            </w:tcBorders>
            <w:shd w:val="clear" w:color="auto" w:fill="auto"/>
            <w:noWrap/>
            <w:vAlign w:val="center"/>
            <w:hideMark/>
          </w:tcPr>
          <w:p w:rsidR="00EF7D90" w:rsidRPr="00CA5FBB" w:rsidRDefault="009A2970" w:rsidP="00C521EA">
            <w:pPr>
              <w:spacing w:before="0" w:beforeAutospacing="1" w:afterAutospacing="1" w:line="240" w:lineRule="auto"/>
              <w:jc w:val="center"/>
              <w:rPr>
                <w:rFonts w:eastAsia="Times New Roman"/>
                <w:b/>
                <w:color w:val="000000"/>
                <w:lang w:val="en-GB" w:eastAsia="en-GB"/>
              </w:rPr>
            </w:pPr>
            <w:r>
              <w:rPr>
                <w:rFonts w:eastAsia="Times New Roman"/>
                <w:b/>
                <w:color w:val="000000"/>
                <w:lang w:val="en-GB" w:eastAsia="en-GB"/>
              </w:rPr>
              <w:t>a</w:t>
            </w:r>
            <w:r w:rsidR="008943E4" w:rsidRPr="00CA5FBB">
              <w:rPr>
                <w:rFonts w:eastAsia="Times New Roman"/>
                <w:b/>
                <w:color w:val="000000"/>
                <w:lang w:val="en-GB" w:eastAsia="en-GB"/>
              </w:rPr>
              <w:t>ll individuals</w:t>
            </w:r>
          </w:p>
        </w:tc>
      </w:tr>
      <w:tr w:rsidR="00F248A8" w:rsidRPr="00DA31DC" w:rsidTr="00CA5FBB">
        <w:trPr>
          <w:trHeight w:hRule="exact" w:val="284"/>
          <w:jc w:val="center"/>
        </w:trPr>
        <w:tc>
          <w:tcPr>
            <w:tcW w:w="833"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 to 10</w:t>
            </w:r>
          </w:p>
        </w:tc>
        <w:tc>
          <w:tcPr>
            <w:tcW w:w="1059"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1060"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1059"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c>
          <w:tcPr>
            <w:tcW w:w="990" w:type="pct"/>
            <w:tcBorders>
              <w:top w:val="single" w:sz="4" w:space="0" w:color="auto"/>
            </w:tcBorders>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11 to 20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4</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6</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13</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21 to 30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9</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9</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20</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31 to 40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9</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6</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0</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15</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41 to 50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11</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13</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5</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29</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51 to 60</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14</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15</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2</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31</w:t>
            </w:r>
          </w:p>
        </w:tc>
      </w:tr>
      <w:tr w:rsidR="00F248A8" w:rsidRPr="00DA31DC" w:rsidTr="00CA5FBB">
        <w:trPr>
          <w:trHeight w:hRule="exact" w:val="284"/>
          <w:jc w:val="center"/>
        </w:trPr>
        <w:tc>
          <w:tcPr>
            <w:tcW w:w="833"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61 +</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12</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37</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3</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52</w:t>
            </w:r>
          </w:p>
        </w:tc>
      </w:tr>
      <w:tr w:rsidR="00F248A8" w:rsidRPr="00DA31DC" w:rsidTr="00CA5FBB">
        <w:trPr>
          <w:trHeight w:hRule="exact" w:val="284"/>
          <w:jc w:val="center"/>
        </w:trPr>
        <w:tc>
          <w:tcPr>
            <w:tcW w:w="833" w:type="pct"/>
            <w:shd w:val="clear" w:color="auto" w:fill="auto"/>
            <w:noWrap/>
            <w:vAlign w:val="center"/>
            <w:hideMark/>
          </w:tcPr>
          <w:p w:rsidR="00EF7D90" w:rsidRDefault="00B1729C" w:rsidP="00C521EA">
            <w:pPr>
              <w:spacing w:before="0" w:line="240" w:lineRule="auto"/>
              <w:jc w:val="center"/>
              <w:rPr>
                <w:rFonts w:eastAsia="Times New Roman"/>
                <w:color w:val="000000"/>
                <w:lang w:val="en-GB" w:eastAsia="en-GB"/>
              </w:rPr>
            </w:pPr>
            <w:r>
              <w:rPr>
                <w:rFonts w:eastAsia="Times New Roman"/>
                <w:color w:val="000000"/>
                <w:lang w:val="en-GB" w:eastAsia="en-GB"/>
              </w:rPr>
              <w:t>s</w:t>
            </w:r>
            <w:r w:rsidR="00361913" w:rsidRPr="00DA31DC">
              <w:rPr>
                <w:rFonts w:eastAsia="Times New Roman"/>
                <w:color w:val="000000"/>
                <w:lang w:val="en-GB" w:eastAsia="en-GB"/>
              </w:rPr>
              <w:t>um</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59</w:t>
            </w:r>
          </w:p>
        </w:tc>
        <w:tc>
          <w:tcPr>
            <w:tcW w:w="106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86</w:t>
            </w:r>
          </w:p>
        </w:tc>
        <w:tc>
          <w:tcPr>
            <w:tcW w:w="1059"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17</w:t>
            </w:r>
          </w:p>
        </w:tc>
        <w:tc>
          <w:tcPr>
            <w:tcW w:w="990" w:type="pct"/>
            <w:shd w:val="clear" w:color="auto" w:fill="auto"/>
            <w:noWrap/>
            <w:vAlign w:val="center"/>
            <w:hideMark/>
          </w:tcPr>
          <w:p w:rsidR="00EF7D90" w:rsidRDefault="00361913" w:rsidP="00C521EA">
            <w:pPr>
              <w:spacing w:before="0" w:line="240" w:lineRule="auto"/>
              <w:jc w:val="center"/>
              <w:rPr>
                <w:rFonts w:eastAsia="Times New Roman"/>
                <w:color w:val="000000"/>
                <w:lang w:val="en-GB" w:eastAsia="en-GB"/>
              </w:rPr>
            </w:pPr>
            <w:r w:rsidRPr="00DA31DC">
              <w:rPr>
                <w:rFonts w:eastAsia="Times New Roman"/>
                <w:color w:val="000000"/>
                <w:lang w:val="en-GB" w:eastAsia="en-GB"/>
              </w:rPr>
              <w:t>162</w:t>
            </w:r>
          </w:p>
        </w:tc>
      </w:tr>
    </w:tbl>
    <w:p w:rsidR="00361913" w:rsidRPr="0083450C" w:rsidRDefault="007F2C27" w:rsidP="00563BDE">
      <w:pPr>
        <w:spacing w:before="120"/>
        <w:rPr>
          <w:noProof/>
          <w:color w:val="000000" w:themeColor="text1"/>
        </w:rPr>
      </w:pPr>
      <w:r>
        <w:rPr>
          <w:noProof/>
        </w:rPr>
        <w:t>T</w:t>
      </w:r>
      <w:r w:rsidR="00361913">
        <w:rPr>
          <w:noProof/>
        </w:rPr>
        <w:t xml:space="preserve">he majority of </w:t>
      </w:r>
      <w:r>
        <w:rPr>
          <w:noProof/>
        </w:rPr>
        <w:t xml:space="preserve">individuals in </w:t>
      </w:r>
      <w:r w:rsidR="00361913">
        <w:rPr>
          <w:noProof/>
        </w:rPr>
        <w:t>the sample w</w:t>
      </w:r>
      <w:r>
        <w:rPr>
          <w:noProof/>
        </w:rPr>
        <w:t>ere</w:t>
      </w:r>
      <w:r w:rsidR="00361913">
        <w:rPr>
          <w:noProof/>
        </w:rPr>
        <w:t xml:space="preserve"> at later stages of dental development for both species.  The proportions of individuals at each stage was approximately equivalent for both bonobos and chimpanzees but the sample size was much larger for </w:t>
      </w:r>
      <w:r w:rsidR="00361913">
        <w:rPr>
          <w:i/>
          <w:noProof/>
        </w:rPr>
        <w:t>Pan troglodytes</w:t>
      </w:r>
      <w:r w:rsidR="00361913">
        <w:rPr>
          <w:noProof/>
        </w:rPr>
        <w:t>.  Dental score</w:t>
      </w:r>
      <w:r w:rsidR="009D1322">
        <w:rPr>
          <w:noProof/>
        </w:rPr>
        <w:t>s</w:t>
      </w:r>
      <w:r w:rsidR="00067A0B">
        <w:rPr>
          <w:noProof/>
        </w:rPr>
        <w:t xml:space="preserve"> 0 to 10 corresponds to either</w:t>
      </w:r>
      <w:r w:rsidR="00361913">
        <w:rPr>
          <w:noProof/>
        </w:rPr>
        <w:t xml:space="preserve"> newborn or fetal individuals (Kuykendall </w:t>
      </w:r>
      <w:r w:rsidR="001E4A00">
        <w:rPr>
          <w:noProof/>
        </w:rPr>
        <w:t>1996</w:t>
      </w:r>
      <w:r w:rsidR="00361913">
        <w:rPr>
          <w:noProof/>
        </w:rPr>
        <w:t>)</w:t>
      </w:r>
      <w:r w:rsidR="00067A0B">
        <w:rPr>
          <w:noProof/>
        </w:rPr>
        <w:t>.  T</w:t>
      </w:r>
      <w:r w:rsidR="00361913">
        <w:rPr>
          <w:noProof/>
        </w:rPr>
        <w:t xml:space="preserve">he lack of samples in this range was to be expected and was not </w:t>
      </w:r>
      <w:r w:rsidR="00067A0B">
        <w:rPr>
          <w:noProof/>
        </w:rPr>
        <w:t>of great</w:t>
      </w:r>
      <w:r w:rsidR="00361913">
        <w:rPr>
          <w:noProof/>
        </w:rPr>
        <w:t xml:space="preserve"> concern.  The sample size increased dramatically from dental score range 21 to 30 towards maturity.  Kuykendall </w:t>
      </w:r>
      <w:r w:rsidR="001E4A00">
        <w:rPr>
          <w:noProof/>
        </w:rPr>
        <w:t>(1996</w:t>
      </w:r>
      <w:r w:rsidR="00361913">
        <w:rPr>
          <w:noProof/>
        </w:rPr>
        <w:t>) placed individuals in the range 21 to 30 at between 2 to 4 years of age.  It seems unlikely that epiphyseal fusion for any epiphysis would</w:t>
      </w:r>
      <w:r w:rsidR="002859EE">
        <w:rPr>
          <w:noProof/>
        </w:rPr>
        <w:t xml:space="preserve"> be</w:t>
      </w:r>
      <w:r w:rsidR="00361913">
        <w:rPr>
          <w:noProof/>
        </w:rPr>
        <w:t xml:space="preserve"> initiate</w:t>
      </w:r>
      <w:r w:rsidR="002859EE">
        <w:rPr>
          <w:noProof/>
        </w:rPr>
        <w:t>d</w:t>
      </w:r>
      <w:r w:rsidR="00361913">
        <w:rPr>
          <w:noProof/>
        </w:rPr>
        <w:t xml:space="preserve"> by this young </w:t>
      </w:r>
      <w:r w:rsidR="00FA1FB9">
        <w:rPr>
          <w:noProof/>
        </w:rPr>
        <w:t xml:space="preserve">of an </w:t>
      </w:r>
      <w:r w:rsidR="00361913">
        <w:rPr>
          <w:noProof/>
        </w:rPr>
        <w:t xml:space="preserve">age due to the fact that </w:t>
      </w:r>
      <w:r w:rsidR="00FA1FB9">
        <w:rPr>
          <w:noProof/>
        </w:rPr>
        <w:t xml:space="preserve">a large amount of </w:t>
      </w:r>
      <w:r w:rsidR="00361913">
        <w:rPr>
          <w:noProof/>
        </w:rPr>
        <w:t>growth has yet to be achieved after this age.  As a point of reference, Bolter and Zihlman (2012) estimated the intiation of fusion for the distal humerus at between 6-7 years for captive and 7</w:t>
      </w:r>
      <w:r w:rsidR="00433161">
        <w:rPr>
          <w:noProof/>
        </w:rPr>
        <w:t>-</w:t>
      </w:r>
      <w:r w:rsidR="00361913">
        <w:rPr>
          <w:noProof/>
        </w:rPr>
        <w:t xml:space="preserve">10 years for wild individuals of both species.  In humans this is quite an early fusion event and although it presupposes that chimpanzees and humans do not differ by such an extreme amount as to overlap these ranges, it would seem unlikely that this is true purely from a developmental standpoint. It could be safely assumed that the higher dental score values encompass the majority if not all epiphyseal fusion events.  The lack of individuals at lower stage ranges may result in more variation for analysis of </w:t>
      </w:r>
      <w:r w:rsidR="00361913">
        <w:rPr>
          <w:i/>
          <w:noProof/>
        </w:rPr>
        <w:t xml:space="preserve">Pan </w:t>
      </w:r>
      <w:r w:rsidR="00361913" w:rsidRPr="0083450C">
        <w:rPr>
          <w:i/>
          <w:noProof/>
          <w:color w:val="000000" w:themeColor="text1"/>
        </w:rPr>
        <w:t>paniscus</w:t>
      </w:r>
      <w:r w:rsidR="00361913" w:rsidRPr="0083450C">
        <w:rPr>
          <w:noProof/>
          <w:color w:val="000000" w:themeColor="text1"/>
        </w:rPr>
        <w:t xml:space="preserve"> but would be sufficient for analysis of </w:t>
      </w:r>
      <w:r w:rsidR="00361913" w:rsidRPr="0083450C">
        <w:rPr>
          <w:i/>
          <w:noProof/>
          <w:color w:val="000000" w:themeColor="text1"/>
        </w:rPr>
        <w:t xml:space="preserve">Pan troglodytes </w:t>
      </w:r>
      <w:r w:rsidR="00361913" w:rsidRPr="0083450C">
        <w:rPr>
          <w:noProof/>
          <w:color w:val="000000" w:themeColor="text1"/>
        </w:rPr>
        <w:t>fro</w:t>
      </w:r>
      <w:r w:rsidR="00944A09" w:rsidRPr="0083450C">
        <w:rPr>
          <w:noProof/>
          <w:color w:val="000000" w:themeColor="text1"/>
        </w:rPr>
        <w:t>m stage 11 to 20 and higher as</w:t>
      </w:r>
      <w:r w:rsidR="00361913" w:rsidRPr="0083450C">
        <w:rPr>
          <w:noProof/>
          <w:color w:val="000000" w:themeColor="text1"/>
        </w:rPr>
        <w:t xml:space="preserve"> shall </w:t>
      </w:r>
      <w:r w:rsidR="00944A09" w:rsidRPr="0083450C">
        <w:rPr>
          <w:noProof/>
          <w:color w:val="000000" w:themeColor="text1"/>
        </w:rPr>
        <w:t>be shown</w:t>
      </w:r>
      <w:r w:rsidR="00361913" w:rsidRPr="0083450C">
        <w:rPr>
          <w:noProof/>
          <w:color w:val="000000" w:themeColor="text1"/>
        </w:rPr>
        <w:t xml:space="preserve"> in the analysis of epiphyseal fusion and long-bone length.</w:t>
      </w:r>
    </w:p>
    <w:p w:rsidR="00361913" w:rsidRPr="0083450C" w:rsidRDefault="00361913" w:rsidP="00D263E8">
      <w:pPr>
        <w:pStyle w:val="Heading3"/>
      </w:pPr>
      <w:bookmarkStart w:id="167" w:name="_Toc373477770"/>
      <w:bookmarkStart w:id="168" w:name="_Toc373480768"/>
      <w:r w:rsidRPr="0083450C">
        <w:lastRenderedPageBreak/>
        <w:t>Intra</w:t>
      </w:r>
      <w:r w:rsidR="00C0483E">
        <w:t>-</w:t>
      </w:r>
      <w:r w:rsidRPr="0083450C">
        <w:t xml:space="preserve"> and inter-observer error</w:t>
      </w:r>
      <w:bookmarkEnd w:id="167"/>
      <w:bookmarkEnd w:id="168"/>
    </w:p>
    <w:p w:rsidR="00361913" w:rsidRDefault="00361913" w:rsidP="0083450C">
      <w:pPr>
        <w:rPr>
          <w:noProof/>
        </w:rPr>
      </w:pPr>
      <w:r w:rsidRPr="0083450C">
        <w:rPr>
          <w:noProof/>
          <w:color w:val="000000" w:themeColor="text1"/>
        </w:rPr>
        <w:t>Testing the cons</w:t>
      </w:r>
      <w:r>
        <w:rPr>
          <w:noProof/>
        </w:rPr>
        <w:t>istency of measurement involved the re-evaluation of dental score for a randomised selection of 20 individuals. For intra-observer error, 15 individuals were re-evaluated by the primary researcher (Conrad Brimacombe</w:t>
      </w:r>
      <w:r w:rsidR="00E160F9">
        <w:rPr>
          <w:noProof/>
        </w:rPr>
        <w:t>, CB</w:t>
      </w:r>
      <w:r>
        <w:rPr>
          <w:noProof/>
        </w:rPr>
        <w:t>) and 12 different individuals were evaluated by a colleague (Isabelle Heyerdahl-King</w:t>
      </w:r>
      <w:r w:rsidR="00E160F9">
        <w:rPr>
          <w:noProof/>
        </w:rPr>
        <w:t>, IHK</w:t>
      </w:r>
      <w:r w:rsidR="00C31C5E">
        <w:rPr>
          <w:noProof/>
        </w:rPr>
        <w:t>).  Table 3.</w:t>
      </w:r>
      <w:r>
        <w:rPr>
          <w:noProof/>
        </w:rPr>
        <w:t>1</w:t>
      </w:r>
      <w:r w:rsidR="00C5059B">
        <w:rPr>
          <w:noProof/>
        </w:rPr>
        <w:t>7</w:t>
      </w:r>
      <w:r>
        <w:rPr>
          <w:noProof/>
        </w:rPr>
        <w:t xml:space="preserve"> provides a list of the individuals used.  It should be noted that prior to full-scale data collection, 10 individuals were completed by CB.  These were discussed and compared with the results of Dr. Kuykendall such that variation could be reduced by having the observer being already accustomed to the system prior to data collection.  In order to apply the same effect to the inter-observer error candidate (IHK), 5 preliminary trials were done before the 12 observed here and were not included in this analysis.</w:t>
      </w:r>
    </w:p>
    <w:p w:rsidR="00361913" w:rsidRDefault="005F1843" w:rsidP="005F1843">
      <w:pPr>
        <w:pStyle w:val="Caption"/>
        <w:keepNext/>
        <w:jc w:val="left"/>
      </w:pPr>
      <w:bookmarkStart w:id="169" w:name="_Toc373180129"/>
      <w:proofErr w:type="gramStart"/>
      <w:r w:rsidRPr="005F1843">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17</w:t>
      </w:r>
      <w:r w:rsidR="008943E4">
        <w:rPr>
          <w:b/>
        </w:rPr>
        <w:fldChar w:fldCharType="end"/>
      </w:r>
      <w:r w:rsidR="00361913">
        <w:t xml:space="preserve"> Individuals used for intra- and inter-observer error analysis</w:t>
      </w:r>
      <w:r w:rsidR="00C31C5E">
        <w:t>.</w:t>
      </w:r>
      <w:bookmarkEnd w:id="169"/>
    </w:p>
    <w:tbl>
      <w:tblPr>
        <w:tblW w:w="8520" w:type="dxa"/>
        <w:jc w:val="center"/>
        <w:tblInd w:w="93"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080"/>
        <w:gridCol w:w="1880"/>
        <w:gridCol w:w="2576"/>
        <w:gridCol w:w="1984"/>
      </w:tblGrid>
      <w:tr w:rsidR="00F248A8" w:rsidRPr="00365614" w:rsidTr="00CA5FBB">
        <w:trPr>
          <w:trHeight w:val="300"/>
          <w:jc w:val="center"/>
        </w:trPr>
        <w:tc>
          <w:tcPr>
            <w:tcW w:w="3960" w:type="dxa"/>
            <w:gridSpan w:val="2"/>
            <w:tcBorders>
              <w:top w:val="single" w:sz="4" w:space="0" w:color="auto"/>
              <w:bottom w:val="nil"/>
            </w:tcBorders>
            <w:shd w:val="clear" w:color="auto" w:fill="FFFFFF" w:themeFill="background1"/>
            <w:noWrap/>
            <w:vAlign w:val="center"/>
            <w:hideMark/>
          </w:tcPr>
          <w:p w:rsidR="00A35CA0" w:rsidRPr="00CA5FBB" w:rsidRDefault="00B57690" w:rsidP="00CA5FBB">
            <w:pPr>
              <w:spacing w:before="0" w:line="240" w:lineRule="auto"/>
              <w:jc w:val="center"/>
              <w:rPr>
                <w:rFonts w:eastAsia="Times New Roman"/>
                <w:b/>
                <w:color w:val="000000"/>
                <w:lang w:val="en-GB" w:eastAsia="en-GB"/>
              </w:rPr>
            </w:pPr>
            <w:r>
              <w:rPr>
                <w:rFonts w:eastAsia="Times New Roman"/>
                <w:b/>
                <w:color w:val="000000"/>
                <w:lang w:val="en-GB" w:eastAsia="en-GB"/>
              </w:rPr>
              <w:t>i</w:t>
            </w:r>
            <w:r w:rsidR="008943E4" w:rsidRPr="00CA5FBB">
              <w:rPr>
                <w:rFonts w:eastAsia="Times New Roman"/>
                <w:b/>
                <w:color w:val="000000"/>
                <w:lang w:val="en-GB" w:eastAsia="en-GB"/>
              </w:rPr>
              <w:t>nter-observer error</w:t>
            </w:r>
          </w:p>
        </w:tc>
        <w:tc>
          <w:tcPr>
            <w:tcW w:w="4560" w:type="dxa"/>
            <w:gridSpan w:val="2"/>
            <w:tcBorders>
              <w:top w:val="single" w:sz="4" w:space="0" w:color="auto"/>
              <w:bottom w:val="nil"/>
            </w:tcBorders>
            <w:shd w:val="clear" w:color="auto" w:fill="FFFFFF" w:themeFill="background1"/>
            <w:noWrap/>
            <w:vAlign w:val="center"/>
            <w:hideMark/>
          </w:tcPr>
          <w:p w:rsidR="00A35CA0" w:rsidRPr="00CA5FBB" w:rsidRDefault="00B57690" w:rsidP="00CA5FBB">
            <w:pPr>
              <w:spacing w:before="0" w:line="240" w:lineRule="auto"/>
              <w:jc w:val="center"/>
              <w:rPr>
                <w:rFonts w:eastAsia="Times New Roman"/>
                <w:b/>
                <w:color w:val="000000"/>
                <w:lang w:val="en-GB" w:eastAsia="en-GB"/>
              </w:rPr>
            </w:pPr>
            <w:r>
              <w:rPr>
                <w:rFonts w:eastAsia="Times New Roman"/>
                <w:b/>
                <w:color w:val="000000"/>
                <w:lang w:val="en-GB" w:eastAsia="en-GB"/>
              </w:rPr>
              <w:t>i</w:t>
            </w:r>
            <w:r w:rsidR="008943E4" w:rsidRPr="00CA5FBB">
              <w:rPr>
                <w:rFonts w:eastAsia="Times New Roman"/>
                <w:b/>
                <w:color w:val="000000"/>
                <w:lang w:val="en-GB" w:eastAsia="en-GB"/>
              </w:rPr>
              <w:t>ntra-observer error</w:t>
            </w:r>
          </w:p>
        </w:tc>
      </w:tr>
      <w:tr w:rsidR="00361913" w:rsidRPr="003759E8" w:rsidTr="00CA5FBB">
        <w:trPr>
          <w:trHeight w:val="315"/>
          <w:jc w:val="center"/>
        </w:trPr>
        <w:tc>
          <w:tcPr>
            <w:tcW w:w="2080" w:type="dxa"/>
            <w:tcBorders>
              <w:top w:val="nil"/>
              <w:bottom w:val="single" w:sz="4" w:space="0" w:color="auto"/>
            </w:tcBorders>
            <w:shd w:val="clear" w:color="auto" w:fill="FFFFFF" w:themeFill="background1"/>
            <w:noWrap/>
            <w:vAlign w:val="center"/>
            <w:hideMark/>
          </w:tcPr>
          <w:p w:rsidR="00EF7D90" w:rsidRPr="00CA5FBB" w:rsidRDefault="00B57690">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ample</w:t>
            </w:r>
          </w:p>
        </w:tc>
        <w:tc>
          <w:tcPr>
            <w:tcW w:w="1880" w:type="dxa"/>
            <w:tcBorders>
              <w:top w:val="nil"/>
              <w:bottom w:val="single" w:sz="4" w:space="0" w:color="auto"/>
            </w:tcBorders>
            <w:shd w:val="clear" w:color="auto" w:fill="FFFFFF" w:themeFill="background1"/>
            <w:noWrap/>
            <w:vAlign w:val="center"/>
            <w:hideMark/>
          </w:tcPr>
          <w:p w:rsidR="00A35CA0" w:rsidRPr="00CA5FBB" w:rsidRDefault="00B57690" w:rsidP="00CA5FBB">
            <w:pPr>
              <w:spacing w:before="0" w:line="240" w:lineRule="auto"/>
              <w:jc w:val="center"/>
              <w:rPr>
                <w:rFonts w:eastAsia="Times New Roman"/>
                <w:b/>
                <w:color w:val="000000"/>
                <w:sz w:val="24"/>
                <w:szCs w:val="24"/>
                <w:lang w:val="en-GB" w:eastAsia="en-GB"/>
              </w:rPr>
            </w:pPr>
            <w:r>
              <w:rPr>
                <w:rFonts w:eastAsia="Times New Roman"/>
                <w:b/>
                <w:color w:val="000000"/>
                <w:lang w:val="en-GB" w:eastAsia="en-GB"/>
              </w:rPr>
              <w:t>s</w:t>
            </w:r>
            <w:r w:rsidR="008943E4" w:rsidRPr="00CA5FBB">
              <w:rPr>
                <w:rFonts w:eastAsia="Times New Roman"/>
                <w:b/>
                <w:color w:val="000000"/>
                <w:lang w:val="en-GB" w:eastAsia="en-GB"/>
              </w:rPr>
              <w:t>pecies</w:t>
            </w:r>
          </w:p>
        </w:tc>
        <w:tc>
          <w:tcPr>
            <w:tcW w:w="2576" w:type="dxa"/>
            <w:tcBorders>
              <w:top w:val="nil"/>
              <w:bottom w:val="single" w:sz="4" w:space="0" w:color="auto"/>
            </w:tcBorders>
            <w:shd w:val="clear" w:color="auto" w:fill="FFFFFF" w:themeFill="background1"/>
            <w:noWrap/>
            <w:vAlign w:val="center"/>
            <w:hideMark/>
          </w:tcPr>
          <w:p w:rsidR="00A35CA0" w:rsidRPr="00CA5FBB" w:rsidRDefault="00B57690" w:rsidP="00CA5FBB">
            <w:pPr>
              <w:spacing w:before="0" w:line="240" w:lineRule="auto"/>
              <w:jc w:val="center"/>
              <w:rPr>
                <w:rFonts w:eastAsia="Times New Roman"/>
                <w:b/>
                <w:color w:val="000000"/>
                <w:sz w:val="24"/>
                <w:szCs w:val="24"/>
                <w:lang w:val="en-GB" w:eastAsia="en-GB"/>
              </w:rPr>
            </w:pPr>
            <w:r>
              <w:rPr>
                <w:rFonts w:eastAsia="Times New Roman"/>
                <w:b/>
                <w:color w:val="000000"/>
                <w:lang w:val="en-GB" w:eastAsia="en-GB"/>
              </w:rPr>
              <w:t>s</w:t>
            </w:r>
            <w:r w:rsidR="008943E4" w:rsidRPr="00CA5FBB">
              <w:rPr>
                <w:rFonts w:eastAsia="Times New Roman"/>
                <w:b/>
                <w:color w:val="000000"/>
                <w:lang w:val="en-GB" w:eastAsia="en-GB"/>
              </w:rPr>
              <w:t>ample</w:t>
            </w:r>
          </w:p>
        </w:tc>
        <w:tc>
          <w:tcPr>
            <w:tcW w:w="1984" w:type="dxa"/>
            <w:tcBorders>
              <w:top w:val="nil"/>
              <w:bottom w:val="single" w:sz="4" w:space="0" w:color="auto"/>
            </w:tcBorders>
            <w:shd w:val="clear" w:color="auto" w:fill="FFFFFF" w:themeFill="background1"/>
            <w:noWrap/>
            <w:vAlign w:val="center"/>
            <w:hideMark/>
          </w:tcPr>
          <w:p w:rsidR="00EF7D90" w:rsidRPr="00CA5FBB" w:rsidRDefault="00B57690">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pecies</w:t>
            </w:r>
          </w:p>
        </w:tc>
      </w:tr>
      <w:tr w:rsidR="00361913" w:rsidRPr="00365614" w:rsidTr="00CA5FBB">
        <w:trPr>
          <w:trHeight w:val="300"/>
          <w:jc w:val="center"/>
        </w:trPr>
        <w:tc>
          <w:tcPr>
            <w:tcW w:w="2080" w:type="dxa"/>
            <w:tcBorders>
              <w:top w:val="single" w:sz="4" w:space="0" w:color="auto"/>
            </w:tcBorders>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MCA 84036M03</w:t>
            </w:r>
          </w:p>
        </w:tc>
        <w:tc>
          <w:tcPr>
            <w:tcW w:w="1880" w:type="dxa"/>
            <w:tcBorders>
              <w:top w:val="single" w:sz="4" w:space="0" w:color="auto"/>
            </w:tcBorders>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paniscus</w:t>
            </w:r>
          </w:p>
        </w:tc>
        <w:tc>
          <w:tcPr>
            <w:tcW w:w="2576" w:type="dxa"/>
            <w:tcBorders>
              <w:top w:val="single" w:sz="4" w:space="0" w:color="auto"/>
            </w:tcBorders>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MCA 29057</w:t>
            </w:r>
          </w:p>
        </w:tc>
        <w:tc>
          <w:tcPr>
            <w:tcW w:w="1984" w:type="dxa"/>
            <w:tcBorders>
              <w:top w:val="single" w:sz="4" w:space="0" w:color="auto"/>
            </w:tcBorders>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w:t>
            </w:r>
            <w:r>
              <w:rPr>
                <w:rFonts w:eastAsia="Times New Roman"/>
                <w:i/>
                <w:iCs/>
                <w:color w:val="000000"/>
                <w:lang w:val="en-GB" w:eastAsia="en-GB"/>
              </w:rPr>
              <w:t>an</w:t>
            </w:r>
            <w:r w:rsidRPr="00365614">
              <w:rPr>
                <w:rFonts w:eastAsia="Times New Roman"/>
                <w:i/>
                <w:iCs/>
                <w:color w:val="000000"/>
                <w:lang w:val="en-GB" w:eastAsia="en-GB"/>
              </w:rPr>
              <w:t xml:space="preserve"> paniscus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MCA 29060</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paniscus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MCA 29040</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w:t>
            </w:r>
            <w:r>
              <w:rPr>
                <w:rFonts w:eastAsia="Times New Roman"/>
                <w:i/>
                <w:iCs/>
                <w:color w:val="000000"/>
                <w:lang w:val="en-GB" w:eastAsia="en-GB"/>
              </w:rPr>
              <w:t>an</w:t>
            </w:r>
            <w:r w:rsidRPr="00365614">
              <w:rPr>
                <w:rFonts w:eastAsia="Times New Roman"/>
                <w:i/>
                <w:iCs/>
                <w:color w:val="000000"/>
                <w:lang w:val="en-GB" w:eastAsia="en-GB"/>
              </w:rPr>
              <w:t xml:space="preserve"> paniscus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MCA 80046M02</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paniscus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MCA 29043</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w:t>
            </w:r>
            <w:r>
              <w:rPr>
                <w:rFonts w:eastAsia="Times New Roman"/>
                <w:i/>
                <w:iCs/>
                <w:color w:val="000000"/>
                <w:lang w:val="en-GB" w:eastAsia="en-GB"/>
              </w:rPr>
              <w:t>an</w:t>
            </w:r>
            <w:r w:rsidRPr="00365614">
              <w:rPr>
                <w:rFonts w:eastAsia="Times New Roman"/>
                <w:i/>
                <w:iCs/>
                <w:color w:val="000000"/>
                <w:lang w:val="en-GB" w:eastAsia="en-GB"/>
              </w:rPr>
              <w:t xml:space="preserve"> paniscus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MCA 29055</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paniscus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MCA 29047</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Pr>
                <w:rFonts w:eastAsia="Times New Roman"/>
                <w:i/>
                <w:iCs/>
                <w:color w:val="000000"/>
                <w:lang w:val="en-GB" w:eastAsia="en-GB"/>
              </w:rPr>
              <w:t>Pan</w:t>
            </w:r>
            <w:r w:rsidRPr="00365614">
              <w:rPr>
                <w:rFonts w:eastAsia="Times New Roman"/>
                <w:i/>
                <w:iCs/>
                <w:color w:val="000000"/>
                <w:lang w:val="en-GB" w:eastAsia="en-GB"/>
              </w:rPr>
              <w:t xml:space="preserve"> paniscus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MCA 11293</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paniscus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MCA 16380</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MCA 29021</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paniscus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UZ 7056 (K81 V-B)</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MCA 29056</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paniscus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UZ PAL-190 (K81 VI-A)</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MCA 9931</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UZ 7421 (K81 V-B)</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PCM M805</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MCA 9584</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PCM M967</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PCM M274</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PCM M299</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MCA 30660</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lang w:val="en-GB" w:eastAsia="en-GB"/>
              </w:rPr>
            </w:pPr>
            <w:r w:rsidRPr="00365614">
              <w:rPr>
                <w:rFonts w:eastAsia="Times New Roman"/>
                <w:color w:val="000000"/>
                <w:lang w:val="en-GB" w:eastAsia="en-GB"/>
              </w:rPr>
              <w:t>PCM M655</w:t>
            </w:r>
          </w:p>
        </w:tc>
        <w:tc>
          <w:tcPr>
            <w:tcW w:w="1880"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UZ AS-310 (K81 / 5-D)</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A35CA0" w:rsidP="00CA5FBB">
            <w:pPr>
              <w:spacing w:before="0" w:line="240" w:lineRule="auto"/>
              <w:jc w:val="left"/>
              <w:rPr>
                <w:rFonts w:eastAsia="Times New Roman"/>
                <w:color w:val="000000"/>
                <w:lang w:val="en-GB" w:eastAsia="en-GB"/>
              </w:rPr>
            </w:pPr>
          </w:p>
        </w:tc>
        <w:tc>
          <w:tcPr>
            <w:tcW w:w="1880" w:type="dxa"/>
            <w:shd w:val="clear" w:color="auto" w:fill="FFFFFF" w:themeFill="background1"/>
            <w:noWrap/>
            <w:vAlign w:val="center"/>
            <w:hideMark/>
          </w:tcPr>
          <w:p w:rsidR="00A35CA0" w:rsidRDefault="00A35CA0" w:rsidP="00CA5FBB">
            <w:pPr>
              <w:spacing w:before="0" w:line="240" w:lineRule="auto"/>
              <w:jc w:val="left"/>
              <w:rPr>
                <w:rFonts w:eastAsia="Times New Roman"/>
                <w:color w:val="000000"/>
                <w:lang w:val="en-GB" w:eastAsia="en-GB"/>
              </w:rPr>
            </w:pP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MCA 23511</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A35CA0" w:rsidP="00CA5FBB">
            <w:pPr>
              <w:spacing w:before="0" w:line="240" w:lineRule="auto"/>
              <w:jc w:val="left"/>
              <w:rPr>
                <w:rFonts w:eastAsia="Times New Roman"/>
                <w:color w:val="000000"/>
                <w:lang w:val="en-GB" w:eastAsia="en-GB"/>
              </w:rPr>
            </w:pPr>
          </w:p>
        </w:tc>
        <w:tc>
          <w:tcPr>
            <w:tcW w:w="1880" w:type="dxa"/>
            <w:shd w:val="clear" w:color="auto" w:fill="FFFFFF" w:themeFill="background1"/>
            <w:noWrap/>
            <w:vAlign w:val="center"/>
            <w:hideMark/>
          </w:tcPr>
          <w:p w:rsidR="00A35CA0" w:rsidRDefault="00A35CA0" w:rsidP="00CA5FBB">
            <w:pPr>
              <w:spacing w:before="0" w:line="240" w:lineRule="auto"/>
              <w:jc w:val="left"/>
              <w:rPr>
                <w:rFonts w:eastAsia="Times New Roman"/>
                <w:color w:val="000000"/>
                <w:lang w:val="en-GB" w:eastAsia="en-GB"/>
              </w:rPr>
            </w:pP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UZ AS 778 (K81 VI-D)</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r w:rsidR="00361913" w:rsidRPr="00365614" w:rsidTr="00CA5FBB">
        <w:trPr>
          <w:trHeight w:val="300"/>
          <w:jc w:val="center"/>
        </w:trPr>
        <w:tc>
          <w:tcPr>
            <w:tcW w:w="2080" w:type="dxa"/>
            <w:shd w:val="clear" w:color="auto" w:fill="FFFFFF" w:themeFill="background1"/>
            <w:noWrap/>
            <w:vAlign w:val="center"/>
            <w:hideMark/>
          </w:tcPr>
          <w:p w:rsidR="00A35CA0" w:rsidRDefault="00A35CA0" w:rsidP="00CA5FBB">
            <w:pPr>
              <w:spacing w:before="0" w:line="240" w:lineRule="auto"/>
              <w:jc w:val="left"/>
              <w:rPr>
                <w:rFonts w:eastAsia="Times New Roman"/>
                <w:color w:val="000000"/>
                <w:lang w:val="en-GB" w:eastAsia="en-GB"/>
              </w:rPr>
            </w:pPr>
          </w:p>
        </w:tc>
        <w:tc>
          <w:tcPr>
            <w:tcW w:w="1880" w:type="dxa"/>
            <w:shd w:val="clear" w:color="auto" w:fill="FFFFFF" w:themeFill="background1"/>
            <w:noWrap/>
            <w:vAlign w:val="center"/>
            <w:hideMark/>
          </w:tcPr>
          <w:p w:rsidR="00A35CA0" w:rsidRDefault="00A35CA0" w:rsidP="00CA5FBB">
            <w:pPr>
              <w:spacing w:before="0" w:line="240" w:lineRule="auto"/>
              <w:jc w:val="left"/>
              <w:rPr>
                <w:rFonts w:eastAsia="Times New Roman"/>
                <w:color w:val="000000"/>
                <w:lang w:val="en-GB" w:eastAsia="en-GB"/>
              </w:rPr>
            </w:pPr>
          </w:p>
        </w:tc>
        <w:tc>
          <w:tcPr>
            <w:tcW w:w="2576" w:type="dxa"/>
            <w:shd w:val="clear" w:color="auto" w:fill="FFFFFF" w:themeFill="background1"/>
            <w:noWrap/>
            <w:vAlign w:val="center"/>
            <w:hideMark/>
          </w:tcPr>
          <w:p w:rsidR="00A35CA0" w:rsidRDefault="00361913" w:rsidP="00CA5FBB">
            <w:pPr>
              <w:spacing w:before="0" w:line="240" w:lineRule="auto"/>
              <w:jc w:val="left"/>
              <w:rPr>
                <w:rFonts w:eastAsia="Times New Roman"/>
                <w:color w:val="000000"/>
                <w:sz w:val="24"/>
                <w:szCs w:val="24"/>
                <w:lang w:val="en-GB" w:eastAsia="en-GB"/>
              </w:rPr>
            </w:pPr>
            <w:r w:rsidRPr="00365614">
              <w:rPr>
                <w:rFonts w:eastAsia="Times New Roman"/>
                <w:color w:val="000000"/>
                <w:lang w:val="en-GB" w:eastAsia="en-GB"/>
              </w:rPr>
              <w:t>UZ 10742 (K81 V-D)</w:t>
            </w:r>
          </w:p>
        </w:tc>
        <w:tc>
          <w:tcPr>
            <w:tcW w:w="1984" w:type="dxa"/>
            <w:shd w:val="clear" w:color="auto" w:fill="FFFFFF" w:themeFill="background1"/>
            <w:noWrap/>
            <w:vAlign w:val="center"/>
            <w:hideMark/>
          </w:tcPr>
          <w:p w:rsidR="00A35CA0" w:rsidRDefault="00361913" w:rsidP="00CA5FBB">
            <w:pPr>
              <w:spacing w:before="0" w:line="240" w:lineRule="auto"/>
              <w:jc w:val="center"/>
              <w:rPr>
                <w:rFonts w:eastAsia="Times New Roman"/>
                <w:i/>
                <w:iCs/>
                <w:color w:val="000000"/>
                <w:sz w:val="24"/>
                <w:szCs w:val="24"/>
                <w:lang w:val="en-GB" w:eastAsia="en-GB"/>
              </w:rPr>
            </w:pPr>
            <w:r w:rsidRPr="00365614">
              <w:rPr>
                <w:rFonts w:eastAsia="Times New Roman"/>
                <w:i/>
                <w:iCs/>
                <w:color w:val="000000"/>
                <w:lang w:val="en-GB" w:eastAsia="en-GB"/>
              </w:rPr>
              <w:t>Pan troglodytes</w:t>
            </w:r>
          </w:p>
        </w:tc>
      </w:tr>
    </w:tbl>
    <w:p w:rsidR="00361913" w:rsidRPr="005E1460" w:rsidRDefault="00D36490" w:rsidP="00AC25C4">
      <w:pPr>
        <w:rPr>
          <w:b/>
          <w:i/>
          <w:noProof/>
        </w:rPr>
      </w:pPr>
      <w:r w:rsidRPr="005E1460">
        <w:rPr>
          <w:b/>
          <w:i/>
          <w:noProof/>
        </w:rPr>
        <w:t>3.3</w:t>
      </w:r>
      <w:r w:rsidR="002859EE" w:rsidRPr="005E1460">
        <w:rPr>
          <w:b/>
          <w:i/>
          <w:noProof/>
        </w:rPr>
        <w:t>.4.a</w:t>
      </w:r>
      <w:r w:rsidR="002859EE" w:rsidRPr="005E1460">
        <w:rPr>
          <w:b/>
          <w:i/>
          <w:noProof/>
        </w:rPr>
        <w:tab/>
      </w:r>
      <w:r w:rsidR="00361913" w:rsidRPr="005E1460">
        <w:rPr>
          <w:b/>
          <w:i/>
          <w:noProof/>
        </w:rPr>
        <w:t>Intra-observer error</w:t>
      </w:r>
    </w:p>
    <w:p w:rsidR="00361913" w:rsidRDefault="00361913" w:rsidP="00AC25C4">
      <w:pPr>
        <w:rPr>
          <w:noProof/>
        </w:rPr>
      </w:pPr>
      <w:r>
        <w:rPr>
          <w:noProof/>
        </w:rPr>
        <w:t>The results for the 15 individuals that were re-evaluated by CB were compared to the original data set.  This set of 15 individuals was re-evaluated some months after the original scoring of the teeth.  Any anomalous individuals such as those with a particular pattern of tooth loss/damage or super-numery teeth were avoided.  The total number of deviations w</w:t>
      </w:r>
      <w:r w:rsidR="00214807">
        <w:rPr>
          <w:noProof/>
        </w:rPr>
        <w:t>ere</w:t>
      </w:r>
      <w:r>
        <w:rPr>
          <w:noProof/>
        </w:rPr>
        <w:t xml:space="preserve"> counted.  With the exception of one outlier that differed by three stages</w:t>
      </w:r>
      <w:r w:rsidR="00CB39B4">
        <w:rPr>
          <w:noProof/>
        </w:rPr>
        <w:t>,</w:t>
      </w:r>
      <w:r>
        <w:rPr>
          <w:noProof/>
        </w:rPr>
        <w:t xml:space="preserve"> no teeth deviated by more than one stage.  It is suspected that this outlier may have been due to mistaken tooth identity in the X-ray.  There were 18 deviations reported from a </w:t>
      </w:r>
      <w:r>
        <w:rPr>
          <w:noProof/>
        </w:rPr>
        <w:lastRenderedPageBreak/>
        <w:t>total of 212 observations producing a deviation rate of 8.5%.  If deviations were random it would be expected that the number of positive deviations would approximate equal numbers and this was indeed the case with 9 deviations higher and 9 lower.  The deviations were evenly spread across all tooth types.  Kuykendall (1992) found that greatest number of deviations were for stages 1,3 and 8.  The pattern of deviations in this analysis were similar to these results with proportionately higher levels of variations found between stages 2 to 4 (few stage 1 teeth were pres</w:t>
      </w:r>
      <w:r w:rsidR="00C5059B">
        <w:rPr>
          <w:noProof/>
        </w:rPr>
        <w:t xml:space="preserve">ent in this sample).  Table 3.18 </w:t>
      </w:r>
      <w:r w:rsidR="00CB39B4">
        <w:rPr>
          <w:noProof/>
        </w:rPr>
        <w:t>provides</w:t>
      </w:r>
      <w:r w:rsidR="00C51F1D">
        <w:rPr>
          <w:noProof/>
        </w:rPr>
        <w:t xml:space="preserve"> these values.</w:t>
      </w:r>
    </w:p>
    <w:p w:rsidR="00361913" w:rsidRDefault="00C9288A" w:rsidP="00C9288A">
      <w:pPr>
        <w:pStyle w:val="Caption"/>
        <w:keepNext/>
        <w:jc w:val="left"/>
      </w:pPr>
      <w:bookmarkStart w:id="170" w:name="_Toc373180130"/>
      <w:proofErr w:type="gramStart"/>
      <w:r w:rsidRPr="00C9288A">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18</w:t>
      </w:r>
      <w:r w:rsidR="008943E4">
        <w:rPr>
          <w:b/>
        </w:rPr>
        <w:fldChar w:fldCharType="end"/>
      </w:r>
      <w:r w:rsidR="00361913">
        <w:t xml:space="preserve"> Number of deviations by tooth stage for intra-observer error.</w:t>
      </w:r>
      <w:bookmarkEnd w:id="170"/>
    </w:p>
    <w:tbl>
      <w:tblPr>
        <w:tblW w:w="4329" w:type="dxa"/>
        <w:jc w:val="center"/>
        <w:tblInd w:w="-1313" w:type="dxa"/>
        <w:tblBorders>
          <w:top w:val="single" w:sz="4" w:space="0" w:color="auto"/>
          <w:bottom w:val="single" w:sz="4" w:space="0" w:color="auto"/>
        </w:tblBorders>
        <w:tblLook w:val="04A0" w:firstRow="1" w:lastRow="0" w:firstColumn="1" w:lastColumn="0" w:noHBand="0" w:noVBand="1"/>
      </w:tblPr>
      <w:tblGrid>
        <w:gridCol w:w="1858"/>
        <w:gridCol w:w="2471"/>
      </w:tblGrid>
      <w:tr w:rsidR="00361913" w:rsidRPr="0041345E" w:rsidTr="00CA5FBB">
        <w:trPr>
          <w:trHeight w:val="300"/>
          <w:jc w:val="center"/>
        </w:trPr>
        <w:tc>
          <w:tcPr>
            <w:tcW w:w="1858" w:type="dxa"/>
            <w:tcBorders>
              <w:top w:val="single" w:sz="4" w:space="0" w:color="auto"/>
              <w:bottom w:val="single" w:sz="4" w:space="0" w:color="auto"/>
            </w:tcBorders>
            <w:shd w:val="clear" w:color="auto" w:fill="auto"/>
            <w:noWrap/>
            <w:vAlign w:val="center"/>
            <w:hideMark/>
          </w:tcPr>
          <w:p w:rsidR="00A35CA0" w:rsidRDefault="00B57690" w:rsidP="00CA5FBB">
            <w:pPr>
              <w:spacing w:before="0" w:line="240" w:lineRule="auto"/>
              <w:jc w:val="center"/>
              <w:rPr>
                <w:rFonts w:eastAsia="Times New Roman"/>
                <w:b/>
                <w:bCs/>
                <w:color w:val="000000"/>
                <w:sz w:val="28"/>
                <w:szCs w:val="28"/>
                <w:lang w:val="en-GB" w:eastAsia="en-GB"/>
              </w:rPr>
            </w:pPr>
            <w:proofErr w:type="gramStart"/>
            <w:r>
              <w:rPr>
                <w:rFonts w:eastAsia="Times New Roman"/>
                <w:b/>
                <w:bCs/>
                <w:color w:val="000000"/>
                <w:lang w:val="en-GB" w:eastAsia="en-GB"/>
              </w:rPr>
              <w:t>s</w:t>
            </w:r>
            <w:r w:rsidR="00E97970" w:rsidRPr="0041345E">
              <w:rPr>
                <w:rFonts w:eastAsia="Times New Roman"/>
                <w:b/>
                <w:bCs/>
                <w:color w:val="000000"/>
                <w:lang w:val="en-GB" w:eastAsia="en-GB"/>
              </w:rPr>
              <w:t>tage</w:t>
            </w:r>
            <w:proofErr w:type="gramEnd"/>
            <w:r w:rsidR="00E97970" w:rsidRPr="0041345E">
              <w:rPr>
                <w:rFonts w:eastAsia="Times New Roman"/>
                <w:b/>
                <w:bCs/>
                <w:color w:val="000000"/>
                <w:lang w:val="en-GB" w:eastAsia="en-GB"/>
              </w:rPr>
              <w:t xml:space="preserve"> </w:t>
            </w:r>
            <w:r w:rsidR="00361913" w:rsidRPr="0041345E">
              <w:rPr>
                <w:rFonts w:eastAsia="Times New Roman"/>
                <w:b/>
                <w:bCs/>
                <w:color w:val="000000"/>
                <w:lang w:val="en-GB" w:eastAsia="en-GB"/>
              </w:rPr>
              <w:t>change</w:t>
            </w:r>
            <w:r w:rsidR="00361913" w:rsidRPr="0041345E">
              <w:rPr>
                <w:rFonts w:eastAsia="Times New Roman"/>
                <w:b/>
                <w:bCs/>
                <w:color w:val="000000"/>
                <w:vertAlign w:val="superscript"/>
                <w:lang w:val="en-GB" w:eastAsia="en-GB"/>
              </w:rPr>
              <w:t>1</w:t>
            </w:r>
            <w:r w:rsidR="00361913">
              <w:rPr>
                <w:rFonts w:eastAsia="Times New Roman"/>
                <w:b/>
                <w:bCs/>
                <w:color w:val="000000"/>
                <w:vertAlign w:val="superscript"/>
                <w:lang w:val="en-GB" w:eastAsia="en-GB"/>
              </w:rPr>
              <w:t>.</w:t>
            </w:r>
          </w:p>
        </w:tc>
        <w:tc>
          <w:tcPr>
            <w:tcW w:w="2471" w:type="dxa"/>
            <w:tcBorders>
              <w:top w:val="single" w:sz="4" w:space="0" w:color="auto"/>
              <w:bottom w:val="single" w:sz="4" w:space="0" w:color="auto"/>
            </w:tcBorders>
            <w:shd w:val="clear" w:color="auto" w:fill="auto"/>
            <w:noWrap/>
            <w:vAlign w:val="center"/>
            <w:hideMark/>
          </w:tcPr>
          <w:p w:rsidR="00A35CA0" w:rsidRPr="00B57690" w:rsidRDefault="00E97970" w:rsidP="00CA5FBB">
            <w:pPr>
              <w:spacing w:before="0" w:line="240" w:lineRule="auto"/>
              <w:jc w:val="center"/>
              <w:rPr>
                <w:rFonts w:eastAsia="Times New Roman"/>
                <w:b/>
                <w:bCs/>
                <w:i/>
                <w:color w:val="000000"/>
                <w:sz w:val="28"/>
                <w:szCs w:val="28"/>
                <w:lang w:val="en-GB" w:eastAsia="en-GB"/>
              </w:rPr>
            </w:pPr>
            <w:r w:rsidRPr="00B57690">
              <w:rPr>
                <w:rFonts w:eastAsia="Times New Roman"/>
                <w:b/>
                <w:bCs/>
                <w:i/>
                <w:color w:val="000000"/>
                <w:lang w:val="en-GB" w:eastAsia="en-GB"/>
              </w:rPr>
              <w:t>N</w:t>
            </w:r>
          </w:p>
        </w:tc>
      </w:tr>
      <w:tr w:rsidR="00361913" w:rsidRPr="0041345E" w:rsidTr="00CA5FBB">
        <w:trPr>
          <w:trHeight w:val="300"/>
          <w:jc w:val="center"/>
        </w:trPr>
        <w:tc>
          <w:tcPr>
            <w:tcW w:w="1858" w:type="dxa"/>
            <w:tcBorders>
              <w:top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sidRPr="0041345E">
              <w:rPr>
                <w:rFonts w:eastAsia="Times New Roman"/>
                <w:color w:val="000000"/>
                <w:lang w:val="en-GB" w:eastAsia="en-GB"/>
              </w:rPr>
              <w:t>5 to 3</w:t>
            </w:r>
            <w:r w:rsidRPr="00A5061D">
              <w:rPr>
                <w:rFonts w:eastAsia="Times New Roman"/>
                <w:color w:val="000000"/>
                <w:vertAlign w:val="superscript"/>
                <w:lang w:val="en-GB" w:eastAsia="en-GB"/>
              </w:rPr>
              <w:t>2</w:t>
            </w:r>
            <w:r>
              <w:rPr>
                <w:rFonts w:eastAsia="Times New Roman"/>
                <w:color w:val="000000"/>
                <w:vertAlign w:val="superscript"/>
                <w:lang w:val="en-GB" w:eastAsia="en-GB"/>
              </w:rPr>
              <w:t>.</w:t>
            </w:r>
          </w:p>
        </w:tc>
        <w:tc>
          <w:tcPr>
            <w:tcW w:w="2471" w:type="dxa"/>
            <w:tcBorders>
              <w:top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sidRPr="0041345E">
              <w:rPr>
                <w:rFonts w:eastAsia="Times New Roman"/>
                <w:color w:val="000000"/>
                <w:lang w:val="en-GB" w:eastAsia="en-GB"/>
              </w:rPr>
              <w:t>1</w:t>
            </w:r>
          </w:p>
        </w:tc>
      </w:tr>
      <w:tr w:rsidR="00361913" w:rsidRPr="0041345E" w:rsidTr="00CA5FBB">
        <w:trPr>
          <w:trHeight w:val="300"/>
          <w:jc w:val="center"/>
        </w:trPr>
        <w:tc>
          <w:tcPr>
            <w:tcW w:w="1858" w:type="dxa"/>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sidRPr="0041345E">
              <w:rPr>
                <w:rFonts w:eastAsia="Times New Roman"/>
                <w:color w:val="000000"/>
                <w:lang w:val="en-GB" w:eastAsia="en-GB"/>
              </w:rPr>
              <w:t>2 to 3</w:t>
            </w:r>
          </w:p>
        </w:tc>
        <w:tc>
          <w:tcPr>
            <w:tcW w:w="2471" w:type="dxa"/>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sidRPr="0041345E">
              <w:rPr>
                <w:rFonts w:eastAsia="Times New Roman"/>
                <w:color w:val="000000"/>
                <w:lang w:val="en-GB" w:eastAsia="en-GB"/>
              </w:rPr>
              <w:t>5</w:t>
            </w:r>
          </w:p>
        </w:tc>
      </w:tr>
      <w:tr w:rsidR="00361913" w:rsidRPr="0041345E" w:rsidTr="00CA5FBB">
        <w:trPr>
          <w:trHeight w:val="300"/>
          <w:jc w:val="center"/>
        </w:trPr>
        <w:tc>
          <w:tcPr>
            <w:tcW w:w="1858" w:type="dxa"/>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Pr>
                <w:rFonts w:eastAsia="Times New Roman"/>
                <w:color w:val="000000"/>
                <w:lang w:val="en-GB" w:eastAsia="en-GB"/>
              </w:rPr>
              <w:t>3 to 4</w:t>
            </w:r>
          </w:p>
        </w:tc>
        <w:tc>
          <w:tcPr>
            <w:tcW w:w="2471" w:type="dxa"/>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sidRPr="0041345E">
              <w:rPr>
                <w:rFonts w:eastAsia="Times New Roman"/>
                <w:color w:val="000000"/>
                <w:lang w:val="en-GB" w:eastAsia="en-GB"/>
              </w:rPr>
              <w:t>5</w:t>
            </w:r>
          </w:p>
        </w:tc>
      </w:tr>
      <w:tr w:rsidR="00361913" w:rsidRPr="0041345E" w:rsidTr="00CA5FBB">
        <w:trPr>
          <w:trHeight w:val="300"/>
          <w:jc w:val="center"/>
        </w:trPr>
        <w:tc>
          <w:tcPr>
            <w:tcW w:w="1858" w:type="dxa"/>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sidRPr="0041345E">
              <w:rPr>
                <w:rFonts w:eastAsia="Times New Roman"/>
                <w:color w:val="000000"/>
                <w:lang w:val="en-GB" w:eastAsia="en-GB"/>
              </w:rPr>
              <w:t>4 to 5</w:t>
            </w:r>
          </w:p>
        </w:tc>
        <w:tc>
          <w:tcPr>
            <w:tcW w:w="2471" w:type="dxa"/>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sidRPr="0041345E">
              <w:rPr>
                <w:rFonts w:eastAsia="Times New Roman"/>
                <w:color w:val="000000"/>
                <w:lang w:val="en-GB" w:eastAsia="en-GB"/>
              </w:rPr>
              <w:t>2</w:t>
            </w:r>
          </w:p>
        </w:tc>
      </w:tr>
      <w:tr w:rsidR="00361913" w:rsidRPr="0041345E" w:rsidTr="00CA5FBB">
        <w:trPr>
          <w:trHeight w:val="300"/>
          <w:jc w:val="center"/>
        </w:trPr>
        <w:tc>
          <w:tcPr>
            <w:tcW w:w="1858" w:type="dxa"/>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sidRPr="0041345E">
              <w:rPr>
                <w:rFonts w:eastAsia="Times New Roman"/>
                <w:color w:val="000000"/>
                <w:lang w:val="en-GB" w:eastAsia="en-GB"/>
              </w:rPr>
              <w:t>5 to 6</w:t>
            </w:r>
          </w:p>
        </w:tc>
        <w:tc>
          <w:tcPr>
            <w:tcW w:w="2471" w:type="dxa"/>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sidRPr="0041345E">
              <w:rPr>
                <w:rFonts w:eastAsia="Times New Roman"/>
                <w:color w:val="000000"/>
                <w:lang w:val="en-GB" w:eastAsia="en-GB"/>
              </w:rPr>
              <w:t>1</w:t>
            </w:r>
          </w:p>
        </w:tc>
      </w:tr>
      <w:tr w:rsidR="00361913" w:rsidRPr="0041345E" w:rsidTr="00CA5FBB">
        <w:trPr>
          <w:trHeight w:val="300"/>
          <w:jc w:val="center"/>
        </w:trPr>
        <w:tc>
          <w:tcPr>
            <w:tcW w:w="1858" w:type="dxa"/>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sidRPr="0041345E">
              <w:rPr>
                <w:rFonts w:eastAsia="Times New Roman"/>
                <w:color w:val="000000"/>
                <w:lang w:val="en-GB" w:eastAsia="en-GB"/>
              </w:rPr>
              <w:t>6 to 7</w:t>
            </w:r>
          </w:p>
        </w:tc>
        <w:tc>
          <w:tcPr>
            <w:tcW w:w="2471" w:type="dxa"/>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sidRPr="0041345E">
              <w:rPr>
                <w:rFonts w:eastAsia="Times New Roman"/>
                <w:color w:val="000000"/>
                <w:lang w:val="en-GB" w:eastAsia="en-GB"/>
              </w:rPr>
              <w:t>2</w:t>
            </w:r>
          </w:p>
        </w:tc>
      </w:tr>
      <w:tr w:rsidR="00361913" w:rsidRPr="0041345E" w:rsidTr="00CA5FBB">
        <w:trPr>
          <w:trHeight w:val="300"/>
          <w:jc w:val="center"/>
        </w:trPr>
        <w:tc>
          <w:tcPr>
            <w:tcW w:w="1858" w:type="dxa"/>
            <w:tcBorders>
              <w:bottom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sidRPr="0041345E">
              <w:rPr>
                <w:rFonts w:eastAsia="Times New Roman"/>
                <w:color w:val="000000"/>
                <w:lang w:val="en-GB" w:eastAsia="en-GB"/>
              </w:rPr>
              <w:t>7 to 8</w:t>
            </w:r>
          </w:p>
        </w:tc>
        <w:tc>
          <w:tcPr>
            <w:tcW w:w="2471" w:type="dxa"/>
            <w:tcBorders>
              <w:bottom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sidRPr="0041345E">
              <w:rPr>
                <w:rFonts w:eastAsia="Times New Roman"/>
                <w:color w:val="000000"/>
                <w:lang w:val="en-GB" w:eastAsia="en-GB"/>
              </w:rPr>
              <w:t>2</w:t>
            </w:r>
          </w:p>
        </w:tc>
      </w:tr>
      <w:tr w:rsidR="00361913" w:rsidRPr="0041345E" w:rsidTr="00CA5FBB">
        <w:trPr>
          <w:trHeight w:val="300"/>
          <w:jc w:val="center"/>
        </w:trPr>
        <w:tc>
          <w:tcPr>
            <w:tcW w:w="1858" w:type="dxa"/>
            <w:tcBorders>
              <w:top w:val="single" w:sz="4" w:space="0" w:color="auto"/>
              <w:bottom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lang w:val="en-GB" w:eastAsia="en-GB"/>
              </w:rPr>
            </w:pPr>
            <w:r>
              <w:rPr>
                <w:rFonts w:eastAsia="Times New Roman"/>
                <w:color w:val="000000"/>
                <w:lang w:val="en-GB" w:eastAsia="en-GB"/>
              </w:rPr>
              <w:t>t</w:t>
            </w:r>
            <w:r w:rsidRPr="0041345E">
              <w:rPr>
                <w:rFonts w:eastAsia="Times New Roman"/>
                <w:color w:val="000000"/>
                <w:lang w:val="en-GB" w:eastAsia="en-GB"/>
              </w:rPr>
              <w:t>otal</w:t>
            </w:r>
          </w:p>
        </w:tc>
        <w:tc>
          <w:tcPr>
            <w:tcW w:w="2471" w:type="dxa"/>
            <w:tcBorders>
              <w:top w:val="single" w:sz="4" w:space="0" w:color="auto"/>
              <w:bottom w:val="single" w:sz="4" w:space="0" w:color="auto"/>
            </w:tcBorders>
            <w:shd w:val="clear" w:color="auto" w:fill="auto"/>
            <w:noWrap/>
            <w:vAlign w:val="center"/>
            <w:hideMark/>
          </w:tcPr>
          <w:p w:rsidR="00A35CA0" w:rsidRDefault="00361913" w:rsidP="00CA5FBB">
            <w:pPr>
              <w:spacing w:before="0" w:line="240" w:lineRule="auto"/>
              <w:jc w:val="center"/>
              <w:rPr>
                <w:rFonts w:eastAsia="Times New Roman"/>
                <w:color w:val="000000"/>
                <w:sz w:val="24"/>
                <w:szCs w:val="24"/>
                <w:lang w:val="en-GB" w:eastAsia="en-GB"/>
              </w:rPr>
            </w:pPr>
            <w:r w:rsidRPr="0041345E">
              <w:rPr>
                <w:rFonts w:eastAsia="Times New Roman"/>
                <w:color w:val="000000"/>
                <w:lang w:val="en-GB" w:eastAsia="en-GB"/>
              </w:rPr>
              <w:t>18</w:t>
            </w:r>
          </w:p>
        </w:tc>
      </w:tr>
    </w:tbl>
    <w:p w:rsidR="00AC25C4" w:rsidRPr="00A5061D" w:rsidRDefault="00AC25C4" w:rsidP="00BF2740">
      <w:pPr>
        <w:pStyle w:val="ListParagraph"/>
        <w:numPr>
          <w:ilvl w:val="0"/>
          <w:numId w:val="13"/>
        </w:numPr>
        <w:tabs>
          <w:tab w:val="left" w:pos="360"/>
        </w:tabs>
        <w:spacing w:line="240" w:lineRule="auto"/>
        <w:rPr>
          <w:noProof/>
          <w:sz w:val="20"/>
          <w:szCs w:val="20"/>
        </w:rPr>
      </w:pPr>
      <w:r w:rsidRPr="00A5061D">
        <w:rPr>
          <w:noProof/>
          <w:sz w:val="20"/>
          <w:szCs w:val="20"/>
        </w:rPr>
        <w:t xml:space="preserve">Stage change refers to the deviation from one stage to the next.  This includes all deviations from higher to lower </w:t>
      </w:r>
      <w:r>
        <w:rPr>
          <w:noProof/>
          <w:sz w:val="20"/>
          <w:szCs w:val="20"/>
        </w:rPr>
        <w:t>comparing</w:t>
      </w:r>
      <w:r w:rsidRPr="00A5061D">
        <w:rPr>
          <w:noProof/>
          <w:sz w:val="20"/>
          <w:szCs w:val="20"/>
        </w:rPr>
        <w:t xml:space="preserve"> either second observation to original or vice versa.  </w:t>
      </w:r>
    </w:p>
    <w:p w:rsidR="00AC25C4" w:rsidRPr="00A5061D" w:rsidRDefault="00AC25C4" w:rsidP="00BF2740">
      <w:pPr>
        <w:pStyle w:val="ListParagraph"/>
        <w:numPr>
          <w:ilvl w:val="0"/>
          <w:numId w:val="13"/>
        </w:numPr>
        <w:tabs>
          <w:tab w:val="left" w:pos="360"/>
        </w:tabs>
        <w:spacing w:line="240" w:lineRule="auto"/>
        <w:rPr>
          <w:noProof/>
          <w:sz w:val="20"/>
          <w:szCs w:val="20"/>
        </w:rPr>
      </w:pPr>
      <w:r w:rsidRPr="00A5061D">
        <w:rPr>
          <w:noProof/>
          <w:sz w:val="20"/>
          <w:szCs w:val="20"/>
        </w:rPr>
        <w:t xml:space="preserve"> This is the outlier mentioned in the above text.</w:t>
      </w:r>
    </w:p>
    <w:p w:rsidR="00361913" w:rsidRDefault="009242BF" w:rsidP="00AC25C4">
      <w:pPr>
        <w:rPr>
          <w:noProof/>
        </w:rPr>
      </w:pPr>
      <w:r>
        <w:rPr>
          <w:noProof/>
        </w:rPr>
        <w:t>The distribution in T</w:t>
      </w:r>
      <w:r w:rsidR="00562466">
        <w:rPr>
          <w:noProof/>
        </w:rPr>
        <w:t>able 3.18</w:t>
      </w:r>
      <w:r w:rsidR="00361913">
        <w:rPr>
          <w:noProof/>
        </w:rPr>
        <w:t xml:space="preserve"> is not even and the reason for this pattern is likely a consequence of varition in the difficulty of applying the classification criteria.  The difference between stages 5 and 6, for example, requires the root to either be shorter than crown height (stage 5) or longer than crown height (stage 6), which is a feature that can be easily distinguished in an X-ray of even marginal quality.  However, the difference between stage 3 and stage 4 is defined by the completion of the crown (stage 3) and initiation of cementum deposition (stage 4), which is a distinction that is much more difficult to observe.  Similarly, </w:t>
      </w:r>
      <w:r w:rsidR="0074059C">
        <w:rPr>
          <w:noProof/>
        </w:rPr>
        <w:t>it can be difficult to discern between the later stages of an incomplete crown (stage 2) and a recently comp</w:t>
      </w:r>
      <w:r w:rsidR="00EE2CF2">
        <w:rPr>
          <w:noProof/>
        </w:rPr>
        <w:t>l</w:t>
      </w:r>
      <w:r w:rsidR="0074059C">
        <w:rPr>
          <w:noProof/>
        </w:rPr>
        <w:t>ete one (stage 3)</w:t>
      </w:r>
      <w:r w:rsidR="00361913">
        <w:rPr>
          <w:noProof/>
        </w:rPr>
        <w:t xml:space="preserve">.  Variation in individual crown morphology could have an </w:t>
      </w:r>
      <w:r w:rsidR="00D85CDF">
        <w:rPr>
          <w:noProof/>
        </w:rPr>
        <w:t>e</w:t>
      </w:r>
      <w:r w:rsidR="00361913">
        <w:rPr>
          <w:noProof/>
        </w:rPr>
        <w:t>ffect on the judgement of the observer as to whether the crown was complete or not.  The difficulty in determining the distinction between these stages was more pronounce</w:t>
      </w:r>
      <w:r w:rsidR="00EE2CF2">
        <w:rPr>
          <w:noProof/>
        </w:rPr>
        <w:t>d for canines where chimpanzee and bonobo</w:t>
      </w:r>
      <w:r w:rsidR="00361913">
        <w:rPr>
          <w:noProof/>
        </w:rPr>
        <w:t xml:space="preserve"> teeth do not morphologically match the human teeth in the scoring system very well.  A further complication for assessment of these criteria was the rotation of tooth crowns within the </w:t>
      </w:r>
      <w:r w:rsidR="00634609">
        <w:rPr>
          <w:noProof/>
        </w:rPr>
        <w:t>crypt</w:t>
      </w:r>
      <w:r w:rsidR="00EE2CF2">
        <w:rPr>
          <w:noProof/>
        </w:rPr>
        <w:t>.  This tended to occur for</w:t>
      </w:r>
      <w:r w:rsidR="00361913">
        <w:rPr>
          <w:noProof/>
        </w:rPr>
        <w:t xml:space="preserve"> stages below a </w:t>
      </w:r>
      <w:r w:rsidR="00EE2CF2">
        <w:rPr>
          <w:noProof/>
        </w:rPr>
        <w:t xml:space="preserve">Demirjian </w:t>
      </w:r>
      <w:r w:rsidR="00361913">
        <w:rPr>
          <w:noProof/>
        </w:rPr>
        <w:t>dental score of 5.</w:t>
      </w:r>
    </w:p>
    <w:p w:rsidR="00EE2CF2" w:rsidRDefault="00EE2CF2">
      <w:pPr>
        <w:spacing w:before="0" w:after="200" w:line="276" w:lineRule="auto"/>
        <w:jc w:val="left"/>
        <w:rPr>
          <w:noProof/>
        </w:rPr>
      </w:pPr>
      <w:r>
        <w:rPr>
          <w:noProof/>
        </w:rPr>
        <w:br w:type="page"/>
      </w:r>
    </w:p>
    <w:p w:rsidR="00361913" w:rsidRDefault="00361913" w:rsidP="00AC25C4">
      <w:pPr>
        <w:rPr>
          <w:noProof/>
        </w:rPr>
      </w:pPr>
      <w:r>
        <w:rPr>
          <w:noProof/>
        </w:rPr>
        <w:lastRenderedPageBreak/>
        <w:t xml:space="preserve">In order to test consistency over time, it </w:t>
      </w:r>
      <w:r w:rsidR="00C45915">
        <w:rPr>
          <w:noProof/>
        </w:rPr>
        <w:t>wa</w:t>
      </w:r>
      <w:r>
        <w:rPr>
          <w:noProof/>
        </w:rPr>
        <w:t xml:space="preserve">s also important to rule out any trend towards higher or lower scores in the small number of deviations found.  In other words, </w:t>
      </w:r>
      <w:r w:rsidR="00C45915">
        <w:rPr>
          <w:noProof/>
        </w:rPr>
        <w:t>it wa</w:t>
      </w:r>
      <w:r w:rsidR="00936EEF">
        <w:rPr>
          <w:noProof/>
        </w:rPr>
        <w:t xml:space="preserve">s hoped </w:t>
      </w:r>
      <w:r>
        <w:rPr>
          <w:noProof/>
        </w:rPr>
        <w:t xml:space="preserve">that the observer did not have any positive or negative shift over time.  There were 11 deviations that went down one stage and 7 deviations that went up one stage.  </w:t>
      </w:r>
      <w:r w:rsidR="004F32ED">
        <w:rPr>
          <w:noProof/>
        </w:rPr>
        <w:t>T</w:t>
      </w:r>
      <w:r>
        <w:rPr>
          <w:noProof/>
        </w:rPr>
        <w:t>he b</w:t>
      </w:r>
      <w:r w:rsidRPr="000420C6">
        <w:rPr>
          <w:noProof/>
        </w:rPr>
        <w:t>inomial probability</w:t>
      </w:r>
      <w:r w:rsidR="00C45915">
        <w:rPr>
          <w:noProof/>
        </w:rPr>
        <w:t xml:space="preserve"> equation</w:t>
      </w:r>
      <w:r w:rsidRPr="000420C6">
        <w:rPr>
          <w:noProof/>
        </w:rPr>
        <w:t xml:space="preserve"> </w:t>
      </w:r>
      <w:r>
        <w:rPr>
          <w:noProof/>
        </w:rPr>
        <w:t xml:space="preserve">was used </w:t>
      </w:r>
      <w:r w:rsidR="009E08FB">
        <w:rPr>
          <w:noProof/>
        </w:rPr>
        <w:t>and</w:t>
      </w:r>
      <w:r>
        <w:rPr>
          <w:noProof/>
        </w:rPr>
        <w:t xml:space="preserve"> positive and negative values </w:t>
      </w:r>
      <w:r w:rsidR="009E08FB">
        <w:rPr>
          <w:noProof/>
        </w:rPr>
        <w:t xml:space="preserve">were </w:t>
      </w:r>
      <w:r w:rsidR="004F32ED">
        <w:rPr>
          <w:noProof/>
        </w:rPr>
        <w:t>considered</w:t>
      </w:r>
      <w:r w:rsidR="009E08FB">
        <w:rPr>
          <w:noProof/>
        </w:rPr>
        <w:t>.  It was</w:t>
      </w:r>
      <w:r w:rsidR="004F32ED">
        <w:rPr>
          <w:noProof/>
        </w:rPr>
        <w:t xml:space="preserve"> </w:t>
      </w:r>
      <w:r>
        <w:rPr>
          <w:noProof/>
        </w:rPr>
        <w:t>postulate</w:t>
      </w:r>
      <w:r w:rsidR="004F32ED">
        <w:rPr>
          <w:noProof/>
        </w:rPr>
        <w:t>d</w:t>
      </w:r>
      <w:r>
        <w:rPr>
          <w:noProof/>
        </w:rPr>
        <w:t xml:space="preserve"> that they </w:t>
      </w:r>
      <w:r w:rsidR="009E08FB">
        <w:rPr>
          <w:noProof/>
        </w:rPr>
        <w:t xml:space="preserve">were </w:t>
      </w:r>
      <w:r>
        <w:rPr>
          <w:noProof/>
        </w:rPr>
        <w:t>randomly distributed above and below 0 wi</w:t>
      </w:r>
      <w:r w:rsidR="004F32ED">
        <w:rPr>
          <w:noProof/>
        </w:rPr>
        <w:t>th equal probability.  Here,</w:t>
      </w:r>
      <w:r>
        <w:rPr>
          <w:noProof/>
        </w:rPr>
        <w:t xml:space="preserve"> </w:t>
      </w:r>
      <w:r w:rsidR="008943E4" w:rsidRPr="00CA5FBB">
        <w:rPr>
          <w:i/>
          <w:noProof/>
        </w:rPr>
        <w:t>k</w:t>
      </w:r>
      <w:r w:rsidR="007934AA">
        <w:rPr>
          <w:i/>
          <w:noProof/>
        </w:rPr>
        <w:t xml:space="preserve"> </w:t>
      </w:r>
      <w:r>
        <w:rPr>
          <w:noProof/>
        </w:rPr>
        <w:t>=</w:t>
      </w:r>
      <w:r w:rsidR="007934AA">
        <w:rPr>
          <w:noProof/>
        </w:rPr>
        <w:t xml:space="preserve"> </w:t>
      </w:r>
      <w:r>
        <w:rPr>
          <w:noProof/>
        </w:rPr>
        <w:t xml:space="preserve">7, </w:t>
      </w:r>
      <w:r w:rsidR="008943E4" w:rsidRPr="00CA5FBB">
        <w:rPr>
          <w:i/>
          <w:noProof/>
        </w:rPr>
        <w:t>N</w:t>
      </w:r>
      <w:r w:rsidR="007934AA">
        <w:rPr>
          <w:i/>
          <w:noProof/>
        </w:rPr>
        <w:t xml:space="preserve"> </w:t>
      </w:r>
      <w:r>
        <w:rPr>
          <w:noProof/>
        </w:rPr>
        <w:t>=</w:t>
      </w:r>
      <w:r w:rsidR="007934AA">
        <w:rPr>
          <w:noProof/>
        </w:rPr>
        <w:t xml:space="preserve"> </w:t>
      </w:r>
      <w:r>
        <w:rPr>
          <w:noProof/>
        </w:rPr>
        <w:t xml:space="preserve">19, and </w:t>
      </w:r>
      <w:r w:rsidR="008943E4" w:rsidRPr="00CA5FBB">
        <w:rPr>
          <w:i/>
          <w:noProof/>
        </w:rPr>
        <w:t>p/q</w:t>
      </w:r>
      <w:r w:rsidR="007934AA">
        <w:rPr>
          <w:i/>
          <w:noProof/>
        </w:rPr>
        <w:t xml:space="preserve"> </w:t>
      </w:r>
      <w:r>
        <w:rPr>
          <w:noProof/>
        </w:rPr>
        <w:t>=</w:t>
      </w:r>
      <w:r w:rsidR="007934AA">
        <w:rPr>
          <w:noProof/>
        </w:rPr>
        <w:t xml:space="preserve"> </w:t>
      </w:r>
      <w:r>
        <w:rPr>
          <w:noProof/>
        </w:rPr>
        <w:t xml:space="preserve">0.5.  </w:t>
      </w:r>
      <w:r w:rsidR="004F32ED">
        <w:rPr>
          <w:noProof/>
        </w:rPr>
        <w:t>It was found</w:t>
      </w:r>
      <w:r>
        <w:rPr>
          <w:noProof/>
        </w:rPr>
        <w:t xml:space="preserve"> that </w:t>
      </w:r>
      <w:proofErr w:type="gramStart"/>
      <w:r>
        <w:rPr>
          <w:color w:val="000000"/>
          <w:shd w:val="clear" w:color="auto" w:fill="FFFFFF"/>
        </w:rPr>
        <w:t>P</w:t>
      </w:r>
      <w:r w:rsidRPr="000420C6">
        <w:rPr>
          <w:color w:val="000000"/>
          <w:shd w:val="clear" w:color="auto" w:fill="FFFFFF"/>
          <w:vertAlign w:val="subscript"/>
        </w:rPr>
        <w:t>(</w:t>
      </w:r>
      <w:proofErr w:type="gramEnd"/>
      <w:r w:rsidRPr="000420C6">
        <w:rPr>
          <w:color w:val="000000"/>
          <w:shd w:val="clear" w:color="auto" w:fill="FFFFFF"/>
          <w:vertAlign w:val="subscript"/>
        </w:rPr>
        <w:t>k out of N)</w:t>
      </w:r>
      <w:r>
        <w:rPr>
          <w:color w:val="000000"/>
          <w:shd w:val="clear" w:color="auto" w:fill="FFFFFF"/>
          <w:vertAlign w:val="subscript"/>
        </w:rPr>
        <w:t xml:space="preserve"> </w:t>
      </w:r>
      <w:r>
        <w:rPr>
          <w:noProof/>
        </w:rPr>
        <w:t xml:space="preserve">= </w:t>
      </w:r>
      <w:r w:rsidRPr="000420C6">
        <w:rPr>
          <w:noProof/>
        </w:rPr>
        <w:t>0.12</w:t>
      </w:r>
      <w:r>
        <w:rPr>
          <w:noProof/>
        </w:rPr>
        <w:t xml:space="preserve"> </w:t>
      </w:r>
      <w:r w:rsidR="00C45915">
        <w:rPr>
          <w:noProof/>
        </w:rPr>
        <w:t>and the possibility that there wa</w:t>
      </w:r>
      <w:r>
        <w:rPr>
          <w:noProof/>
        </w:rPr>
        <w:t>s a trend of deviation towards lower or higher scores</w:t>
      </w:r>
      <w:r w:rsidR="00C45915">
        <w:rPr>
          <w:noProof/>
        </w:rPr>
        <w:t xml:space="preserve"> wa</w:t>
      </w:r>
      <w:r w:rsidR="009C0D36">
        <w:rPr>
          <w:noProof/>
        </w:rPr>
        <w:t>s rejected</w:t>
      </w:r>
      <w:r>
        <w:rPr>
          <w:noProof/>
        </w:rPr>
        <w:t>.</w:t>
      </w:r>
    </w:p>
    <w:p w:rsidR="00361913" w:rsidRDefault="00361913" w:rsidP="00AC25C4">
      <w:pPr>
        <w:rPr>
          <w:noProof/>
        </w:rPr>
      </w:pPr>
      <w:r>
        <w:rPr>
          <w:noProof/>
        </w:rPr>
        <w:t xml:space="preserve">As a summary statement, intra-observer error comparisons suggest that the data </w:t>
      </w:r>
      <w:r w:rsidR="00014E3E">
        <w:rPr>
          <w:noProof/>
        </w:rPr>
        <w:t xml:space="preserve">are </w:t>
      </w:r>
      <w:r>
        <w:rPr>
          <w:noProof/>
        </w:rPr>
        <w:t xml:space="preserve">consistent with a small rate of </w:t>
      </w:r>
      <w:r w:rsidR="00014E3E">
        <w:rPr>
          <w:noProof/>
        </w:rPr>
        <w:t xml:space="preserve">insignificant </w:t>
      </w:r>
      <w:r>
        <w:rPr>
          <w:noProof/>
        </w:rPr>
        <w:t>error.  This error was concentrated between certain stages</w:t>
      </w:r>
      <w:r w:rsidR="008006C2">
        <w:rPr>
          <w:noProof/>
        </w:rPr>
        <w:t xml:space="preserve"> </w:t>
      </w:r>
      <w:r w:rsidR="00014E3E">
        <w:rPr>
          <w:noProof/>
        </w:rPr>
        <w:t>and</w:t>
      </w:r>
      <w:r>
        <w:rPr>
          <w:noProof/>
        </w:rPr>
        <w:t xml:space="preserve"> was demonstrably random.</w:t>
      </w:r>
    </w:p>
    <w:p w:rsidR="00361913" w:rsidRPr="005E1460" w:rsidRDefault="00D36490" w:rsidP="00AC25C4">
      <w:pPr>
        <w:rPr>
          <w:b/>
          <w:i/>
          <w:noProof/>
        </w:rPr>
      </w:pPr>
      <w:r w:rsidRPr="005E1460">
        <w:rPr>
          <w:b/>
          <w:i/>
          <w:noProof/>
        </w:rPr>
        <w:t>3.3</w:t>
      </w:r>
      <w:r w:rsidR="00FE1541" w:rsidRPr="005E1460">
        <w:rPr>
          <w:b/>
          <w:i/>
          <w:noProof/>
        </w:rPr>
        <w:t>.4.b</w:t>
      </w:r>
      <w:r w:rsidR="00FE1541" w:rsidRPr="005E1460">
        <w:rPr>
          <w:b/>
          <w:i/>
          <w:noProof/>
        </w:rPr>
        <w:tab/>
      </w:r>
      <w:r w:rsidR="00361913" w:rsidRPr="005E1460">
        <w:rPr>
          <w:b/>
          <w:i/>
          <w:noProof/>
        </w:rPr>
        <w:t>Inter-observer error</w:t>
      </w:r>
    </w:p>
    <w:p w:rsidR="00361913" w:rsidRDefault="00361913" w:rsidP="00AC25C4">
      <w:pPr>
        <w:rPr>
          <w:noProof/>
        </w:rPr>
      </w:pPr>
      <w:r>
        <w:rPr>
          <w:noProof/>
        </w:rPr>
        <w:t>The results for the 12 individuals completed by IHK were compared to the assignments done by CB.  There were 21 deviations from a total of 131 teeth, producing a deviation rate of 16.8%.  This was a higher deviation rate than reported for intra-observer error.  The distribution of deviations was again quite evenly spread through the dentition and deviations were never more than 1 stage apart.  Of those 21 deviation, 11 were negative and 10 were positive.  This also suggested that there was no tendency towards positive or negative values</w:t>
      </w:r>
      <w:r w:rsidR="000504D9">
        <w:rPr>
          <w:noProof/>
        </w:rPr>
        <w:t xml:space="preserve">.  Here, </w:t>
      </w:r>
      <w:r w:rsidR="000504D9" w:rsidRPr="00D85CDF">
        <w:rPr>
          <w:i/>
          <w:noProof/>
        </w:rPr>
        <w:t>k</w:t>
      </w:r>
      <w:r w:rsidR="00C53CD5">
        <w:rPr>
          <w:noProof/>
        </w:rPr>
        <w:t xml:space="preserve"> </w:t>
      </w:r>
      <w:r w:rsidR="000504D9">
        <w:rPr>
          <w:noProof/>
        </w:rPr>
        <w:t>=</w:t>
      </w:r>
      <w:r w:rsidR="00C53CD5">
        <w:rPr>
          <w:noProof/>
        </w:rPr>
        <w:t xml:space="preserve"> </w:t>
      </w:r>
      <w:r w:rsidR="000504D9">
        <w:rPr>
          <w:noProof/>
        </w:rPr>
        <w:t xml:space="preserve">10, </w:t>
      </w:r>
      <w:r w:rsidR="000504D9" w:rsidRPr="00D85CDF">
        <w:rPr>
          <w:i/>
          <w:noProof/>
        </w:rPr>
        <w:t>N</w:t>
      </w:r>
      <w:r w:rsidR="00C53CD5">
        <w:rPr>
          <w:noProof/>
        </w:rPr>
        <w:t xml:space="preserve"> </w:t>
      </w:r>
      <w:r w:rsidR="000504D9">
        <w:rPr>
          <w:noProof/>
        </w:rPr>
        <w:t>=</w:t>
      </w:r>
      <w:r w:rsidR="00C53CD5">
        <w:rPr>
          <w:noProof/>
        </w:rPr>
        <w:t xml:space="preserve"> </w:t>
      </w:r>
      <w:r w:rsidR="000504D9">
        <w:rPr>
          <w:noProof/>
        </w:rPr>
        <w:t xml:space="preserve">21, and </w:t>
      </w:r>
      <w:r w:rsidR="000504D9" w:rsidRPr="00D85CDF">
        <w:rPr>
          <w:i/>
          <w:noProof/>
        </w:rPr>
        <w:t>p</w:t>
      </w:r>
      <w:r w:rsidR="000504D9" w:rsidRPr="00D85CDF">
        <w:rPr>
          <w:noProof/>
        </w:rPr>
        <w:t>/</w:t>
      </w:r>
      <w:r w:rsidR="000504D9" w:rsidRPr="00D85CDF">
        <w:rPr>
          <w:i/>
          <w:noProof/>
        </w:rPr>
        <w:t>q</w:t>
      </w:r>
      <w:r w:rsidR="00C53CD5">
        <w:rPr>
          <w:noProof/>
        </w:rPr>
        <w:t xml:space="preserve"> </w:t>
      </w:r>
      <w:r w:rsidR="000504D9">
        <w:rPr>
          <w:noProof/>
        </w:rPr>
        <w:t>=</w:t>
      </w:r>
      <w:r w:rsidR="00C53CD5">
        <w:rPr>
          <w:noProof/>
        </w:rPr>
        <w:t xml:space="preserve"> </w:t>
      </w:r>
      <w:r w:rsidR="000504D9">
        <w:rPr>
          <w:noProof/>
        </w:rPr>
        <w:t xml:space="preserve">0.5.  It was found that </w:t>
      </w:r>
      <w:proofErr w:type="gramStart"/>
      <w:r w:rsidR="000504D9">
        <w:rPr>
          <w:color w:val="000000"/>
          <w:shd w:val="clear" w:color="auto" w:fill="FFFFFF"/>
        </w:rPr>
        <w:t>P</w:t>
      </w:r>
      <w:r w:rsidR="000504D9" w:rsidRPr="000420C6">
        <w:rPr>
          <w:color w:val="000000"/>
          <w:shd w:val="clear" w:color="auto" w:fill="FFFFFF"/>
          <w:vertAlign w:val="subscript"/>
        </w:rPr>
        <w:t>(</w:t>
      </w:r>
      <w:proofErr w:type="gramEnd"/>
      <w:r w:rsidR="000504D9" w:rsidRPr="00430B01">
        <w:rPr>
          <w:i/>
          <w:color w:val="000000"/>
          <w:shd w:val="clear" w:color="auto" w:fill="FFFFFF"/>
          <w:vertAlign w:val="subscript"/>
        </w:rPr>
        <w:t>k</w:t>
      </w:r>
      <w:r w:rsidR="000504D9" w:rsidRPr="000420C6">
        <w:rPr>
          <w:color w:val="000000"/>
          <w:shd w:val="clear" w:color="auto" w:fill="FFFFFF"/>
          <w:vertAlign w:val="subscript"/>
        </w:rPr>
        <w:t xml:space="preserve"> out of </w:t>
      </w:r>
      <w:r w:rsidR="000504D9" w:rsidRPr="00430B01">
        <w:rPr>
          <w:i/>
          <w:color w:val="000000"/>
          <w:shd w:val="clear" w:color="auto" w:fill="FFFFFF"/>
          <w:vertAlign w:val="subscript"/>
        </w:rPr>
        <w:t>N</w:t>
      </w:r>
      <w:r w:rsidR="000504D9" w:rsidRPr="000420C6">
        <w:rPr>
          <w:color w:val="000000"/>
          <w:shd w:val="clear" w:color="auto" w:fill="FFFFFF"/>
          <w:vertAlign w:val="subscript"/>
        </w:rPr>
        <w:t>)</w:t>
      </w:r>
      <w:r w:rsidR="000504D9">
        <w:rPr>
          <w:color w:val="000000"/>
          <w:shd w:val="clear" w:color="auto" w:fill="FFFFFF"/>
          <w:vertAlign w:val="subscript"/>
        </w:rPr>
        <w:t xml:space="preserve"> </w:t>
      </w:r>
      <w:r w:rsidR="000504D9">
        <w:rPr>
          <w:noProof/>
        </w:rPr>
        <w:t xml:space="preserve">= </w:t>
      </w:r>
      <w:r w:rsidR="000504D9" w:rsidRPr="000420C6">
        <w:rPr>
          <w:noProof/>
        </w:rPr>
        <w:t>0.</w:t>
      </w:r>
      <w:r w:rsidR="000504D9">
        <w:rPr>
          <w:noProof/>
        </w:rPr>
        <w:t>17</w:t>
      </w:r>
      <w:r>
        <w:rPr>
          <w:noProof/>
        </w:rPr>
        <w:t>.  Table 3.</w:t>
      </w:r>
      <w:r w:rsidR="00562466">
        <w:rPr>
          <w:noProof/>
        </w:rPr>
        <w:t>19</w:t>
      </w:r>
      <w:r>
        <w:rPr>
          <w:noProof/>
        </w:rPr>
        <w:t xml:space="preserve"> </w:t>
      </w:r>
      <w:r w:rsidR="00C53CD5">
        <w:rPr>
          <w:noProof/>
        </w:rPr>
        <w:t>list</w:t>
      </w:r>
      <w:r>
        <w:rPr>
          <w:noProof/>
        </w:rPr>
        <w:t>s the number of deviations by stage type.</w:t>
      </w:r>
    </w:p>
    <w:p w:rsidR="00361913" w:rsidRDefault="00C9288A" w:rsidP="00C9288A">
      <w:pPr>
        <w:pStyle w:val="Caption"/>
      </w:pPr>
      <w:bookmarkStart w:id="171" w:name="_Toc373180131"/>
      <w:proofErr w:type="gramStart"/>
      <w:r w:rsidRPr="00C9288A">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19</w:t>
      </w:r>
      <w:r w:rsidR="008943E4">
        <w:rPr>
          <w:b/>
        </w:rPr>
        <w:fldChar w:fldCharType="end"/>
      </w:r>
      <w:r>
        <w:t xml:space="preserve"> </w:t>
      </w:r>
      <w:r w:rsidR="00361913">
        <w:t>Number of deviations by tooth stage for inter-observer error.</w:t>
      </w:r>
      <w:bookmarkEnd w:id="171"/>
    </w:p>
    <w:tbl>
      <w:tblPr>
        <w:tblW w:w="4430" w:type="dxa"/>
        <w:jc w:val="center"/>
        <w:tblInd w:w="-722" w:type="dxa"/>
        <w:tblLook w:val="04A0" w:firstRow="1" w:lastRow="0" w:firstColumn="1" w:lastColumn="0" w:noHBand="0" w:noVBand="1"/>
      </w:tblPr>
      <w:tblGrid>
        <w:gridCol w:w="1580"/>
        <w:gridCol w:w="2850"/>
      </w:tblGrid>
      <w:tr w:rsidR="00361913" w:rsidRPr="00107962" w:rsidTr="00CA5FBB">
        <w:trPr>
          <w:trHeight w:val="375"/>
          <w:jc w:val="center"/>
        </w:trPr>
        <w:tc>
          <w:tcPr>
            <w:tcW w:w="1580" w:type="dxa"/>
            <w:tcBorders>
              <w:top w:val="single" w:sz="4" w:space="0" w:color="auto"/>
              <w:bottom w:val="single" w:sz="4" w:space="0" w:color="auto"/>
            </w:tcBorders>
            <w:shd w:val="clear" w:color="auto" w:fill="auto"/>
            <w:noWrap/>
            <w:vAlign w:val="center"/>
            <w:hideMark/>
          </w:tcPr>
          <w:p w:rsidR="00361913" w:rsidRPr="00107962" w:rsidRDefault="00D85CDF" w:rsidP="00AC25C4">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361913" w:rsidRPr="00107962">
              <w:rPr>
                <w:rFonts w:eastAsia="Times New Roman"/>
                <w:b/>
                <w:bCs/>
                <w:color w:val="000000"/>
                <w:lang w:val="en-GB" w:eastAsia="en-GB"/>
              </w:rPr>
              <w:t>tage change</w:t>
            </w:r>
          </w:p>
        </w:tc>
        <w:tc>
          <w:tcPr>
            <w:tcW w:w="2850" w:type="dxa"/>
            <w:tcBorders>
              <w:top w:val="single" w:sz="4" w:space="0" w:color="auto"/>
              <w:bottom w:val="single" w:sz="4" w:space="0" w:color="auto"/>
            </w:tcBorders>
            <w:shd w:val="clear" w:color="auto" w:fill="auto"/>
            <w:noWrap/>
            <w:vAlign w:val="center"/>
            <w:hideMark/>
          </w:tcPr>
          <w:p w:rsidR="00361913" w:rsidRPr="00107962" w:rsidRDefault="00D85CDF" w:rsidP="00AC25C4">
            <w:pPr>
              <w:spacing w:before="0" w:line="240" w:lineRule="auto"/>
              <w:jc w:val="center"/>
              <w:rPr>
                <w:rFonts w:eastAsia="Times New Roman"/>
                <w:b/>
                <w:bCs/>
                <w:color w:val="000000"/>
                <w:lang w:val="en-GB" w:eastAsia="en-GB"/>
              </w:rPr>
            </w:pPr>
            <w:r>
              <w:rPr>
                <w:rFonts w:eastAsia="Times New Roman"/>
                <w:b/>
                <w:bCs/>
                <w:color w:val="000000"/>
                <w:lang w:val="en-GB" w:eastAsia="en-GB"/>
              </w:rPr>
              <w:t>n</w:t>
            </w:r>
            <w:r w:rsidR="00361913" w:rsidRPr="00107962">
              <w:rPr>
                <w:rFonts w:eastAsia="Times New Roman"/>
                <w:b/>
                <w:bCs/>
                <w:color w:val="000000"/>
                <w:lang w:val="en-GB" w:eastAsia="en-GB"/>
              </w:rPr>
              <w:t>umber</w:t>
            </w:r>
          </w:p>
        </w:tc>
      </w:tr>
      <w:tr w:rsidR="00361913" w:rsidRPr="00107962" w:rsidTr="00CA5FBB">
        <w:trPr>
          <w:trHeight w:val="315"/>
          <w:jc w:val="center"/>
        </w:trPr>
        <w:tc>
          <w:tcPr>
            <w:tcW w:w="1580" w:type="dxa"/>
            <w:tcBorders>
              <w:top w:val="single" w:sz="4" w:space="0" w:color="auto"/>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3 to 2</w:t>
            </w:r>
          </w:p>
        </w:tc>
        <w:tc>
          <w:tcPr>
            <w:tcW w:w="2850" w:type="dxa"/>
            <w:tcBorders>
              <w:top w:val="single" w:sz="4" w:space="0" w:color="auto"/>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2</w:t>
            </w:r>
          </w:p>
        </w:tc>
      </w:tr>
      <w:tr w:rsidR="00361913" w:rsidRPr="00107962" w:rsidTr="00CA5FBB">
        <w:trPr>
          <w:trHeight w:val="315"/>
          <w:jc w:val="center"/>
        </w:trPr>
        <w:tc>
          <w:tcPr>
            <w:tcW w:w="1580" w:type="dxa"/>
            <w:tcBorders>
              <w:top w:val="nil"/>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4 to 5</w:t>
            </w:r>
          </w:p>
        </w:tc>
        <w:tc>
          <w:tcPr>
            <w:tcW w:w="2850" w:type="dxa"/>
            <w:tcBorders>
              <w:top w:val="nil"/>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8</w:t>
            </w:r>
          </w:p>
        </w:tc>
      </w:tr>
      <w:tr w:rsidR="00361913" w:rsidRPr="00107962" w:rsidTr="00CA5FBB">
        <w:trPr>
          <w:trHeight w:val="315"/>
          <w:jc w:val="center"/>
        </w:trPr>
        <w:tc>
          <w:tcPr>
            <w:tcW w:w="1580" w:type="dxa"/>
            <w:tcBorders>
              <w:top w:val="nil"/>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5 to 6</w:t>
            </w:r>
          </w:p>
        </w:tc>
        <w:tc>
          <w:tcPr>
            <w:tcW w:w="2850" w:type="dxa"/>
            <w:tcBorders>
              <w:top w:val="nil"/>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5</w:t>
            </w:r>
          </w:p>
        </w:tc>
      </w:tr>
      <w:tr w:rsidR="00361913" w:rsidRPr="00107962" w:rsidTr="00CA5FBB">
        <w:trPr>
          <w:trHeight w:val="315"/>
          <w:jc w:val="center"/>
        </w:trPr>
        <w:tc>
          <w:tcPr>
            <w:tcW w:w="1580" w:type="dxa"/>
            <w:tcBorders>
              <w:top w:val="nil"/>
              <w:bottom w:val="single" w:sz="4" w:space="0" w:color="auto"/>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7 to 8</w:t>
            </w:r>
          </w:p>
        </w:tc>
        <w:tc>
          <w:tcPr>
            <w:tcW w:w="2850" w:type="dxa"/>
            <w:tcBorders>
              <w:top w:val="nil"/>
              <w:bottom w:val="single" w:sz="4" w:space="0" w:color="auto"/>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6</w:t>
            </w:r>
          </w:p>
        </w:tc>
      </w:tr>
      <w:tr w:rsidR="00361913" w:rsidRPr="00107962" w:rsidTr="00CA5FBB">
        <w:trPr>
          <w:trHeight w:val="315"/>
          <w:jc w:val="center"/>
        </w:trPr>
        <w:tc>
          <w:tcPr>
            <w:tcW w:w="1580" w:type="dxa"/>
            <w:tcBorders>
              <w:top w:val="single" w:sz="4" w:space="0" w:color="auto"/>
              <w:bottom w:val="single" w:sz="4" w:space="0" w:color="auto"/>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total</w:t>
            </w:r>
          </w:p>
        </w:tc>
        <w:tc>
          <w:tcPr>
            <w:tcW w:w="2850" w:type="dxa"/>
            <w:tcBorders>
              <w:top w:val="single" w:sz="4" w:space="0" w:color="auto"/>
              <w:bottom w:val="single" w:sz="4" w:space="0" w:color="auto"/>
            </w:tcBorders>
            <w:shd w:val="clear" w:color="auto" w:fill="auto"/>
            <w:noWrap/>
            <w:vAlign w:val="center"/>
            <w:hideMark/>
          </w:tcPr>
          <w:p w:rsidR="00361913" w:rsidRPr="00107962" w:rsidRDefault="00361913" w:rsidP="00AC25C4">
            <w:pPr>
              <w:spacing w:before="0" w:line="240" w:lineRule="auto"/>
              <w:jc w:val="center"/>
              <w:rPr>
                <w:rFonts w:eastAsia="Times New Roman"/>
                <w:color w:val="000000"/>
                <w:lang w:val="en-GB" w:eastAsia="en-GB"/>
              </w:rPr>
            </w:pPr>
            <w:r w:rsidRPr="00107962">
              <w:rPr>
                <w:rFonts w:eastAsia="Times New Roman"/>
                <w:color w:val="000000"/>
                <w:lang w:val="en-GB" w:eastAsia="en-GB"/>
              </w:rPr>
              <w:t>21</w:t>
            </w:r>
          </w:p>
        </w:tc>
      </w:tr>
    </w:tbl>
    <w:p w:rsidR="000713AD" w:rsidRDefault="00361913" w:rsidP="00AC25C4">
      <w:pPr>
        <w:rPr>
          <w:noProof/>
        </w:rPr>
      </w:pPr>
      <w:r>
        <w:rPr>
          <w:noProof/>
        </w:rPr>
        <w:t xml:space="preserve">More deviations were apparent between stages 4 to 5 when compared to intra-observer error.  There were also a higher number of deviations between 5 to 6.  </w:t>
      </w:r>
      <w:r w:rsidR="006D6509">
        <w:rPr>
          <w:noProof/>
        </w:rPr>
        <w:t>T</w:t>
      </w:r>
      <w:r>
        <w:rPr>
          <w:noProof/>
        </w:rPr>
        <w:t>hese deviations were less consistent with the deviations found by CB</w:t>
      </w:r>
      <w:r w:rsidR="00014E3E">
        <w:rPr>
          <w:noProof/>
        </w:rPr>
        <w:t>,</w:t>
      </w:r>
      <w:r>
        <w:rPr>
          <w:noProof/>
        </w:rPr>
        <w:t xml:space="preserve"> and</w:t>
      </w:r>
      <w:r w:rsidR="00014E3E">
        <w:rPr>
          <w:noProof/>
        </w:rPr>
        <w:t xml:space="preserve"> also</w:t>
      </w:r>
      <w:r>
        <w:rPr>
          <w:noProof/>
        </w:rPr>
        <w:t xml:space="preserve"> Kuykendall (1992), </w:t>
      </w:r>
      <w:r w:rsidR="006D6509">
        <w:rPr>
          <w:noProof/>
        </w:rPr>
        <w:t xml:space="preserve">but </w:t>
      </w:r>
      <w:r>
        <w:rPr>
          <w:noProof/>
        </w:rPr>
        <w:t>they nonetheless represent an acceptable level of overall</w:t>
      </w:r>
      <w:r w:rsidR="00932573">
        <w:rPr>
          <w:noProof/>
        </w:rPr>
        <w:t xml:space="preserve"> error.</w:t>
      </w:r>
    </w:p>
    <w:p w:rsidR="00CB170C" w:rsidRDefault="00CB170C">
      <w:pPr>
        <w:spacing w:before="0" w:after="200" w:line="276" w:lineRule="auto"/>
        <w:jc w:val="left"/>
        <w:rPr>
          <w:noProof/>
        </w:rPr>
      </w:pPr>
      <w:r>
        <w:rPr>
          <w:noProof/>
        </w:rPr>
        <w:br w:type="page"/>
      </w:r>
    </w:p>
    <w:p w:rsidR="005A0D97" w:rsidRDefault="00361913" w:rsidP="00413855">
      <w:pPr>
        <w:rPr>
          <w:noProof/>
        </w:rPr>
      </w:pPr>
      <w:r>
        <w:rPr>
          <w:noProof/>
        </w:rPr>
        <w:lastRenderedPageBreak/>
        <w:t>To summarise inter-observer error, the values of deviation determined here were similar in nature to intra-observer error but with a slightly higher prevalence rate.  There was no not</w:t>
      </w:r>
      <w:r w:rsidR="005D4782">
        <w:rPr>
          <w:noProof/>
        </w:rPr>
        <w:t>able</w:t>
      </w:r>
      <w:r>
        <w:rPr>
          <w:noProof/>
        </w:rPr>
        <w:t xml:space="preserve"> </w:t>
      </w:r>
      <w:r w:rsidR="008A6A80">
        <w:rPr>
          <w:noProof/>
        </w:rPr>
        <w:t xml:space="preserve">directionality of </w:t>
      </w:r>
      <w:r>
        <w:rPr>
          <w:noProof/>
        </w:rPr>
        <w:t>deviations towards positive or negative values.</w:t>
      </w:r>
      <w:r w:rsidR="00837C4F">
        <w:rPr>
          <w:noProof/>
        </w:rPr>
        <w:t xml:space="preserve">  The</w:t>
      </w:r>
      <w:r w:rsidR="00413855">
        <w:rPr>
          <w:noProof/>
        </w:rPr>
        <w:t xml:space="preserve"> </w:t>
      </w:r>
      <w:r w:rsidR="00CE34C5">
        <w:rPr>
          <w:noProof/>
        </w:rPr>
        <w:t xml:space="preserve">patterning of these </w:t>
      </w:r>
      <w:r w:rsidR="00837C4F">
        <w:rPr>
          <w:noProof/>
        </w:rPr>
        <w:t>results was</w:t>
      </w:r>
      <w:r w:rsidR="00413855">
        <w:rPr>
          <w:noProof/>
        </w:rPr>
        <w:t xml:space="preserve"> similar to th</w:t>
      </w:r>
      <w:r w:rsidR="00837C4F">
        <w:rPr>
          <w:noProof/>
        </w:rPr>
        <w:t>at</w:t>
      </w:r>
      <w:r w:rsidR="00413855">
        <w:rPr>
          <w:noProof/>
        </w:rPr>
        <w:t xml:space="preserve"> found by Kuykendall (1992), suggesting that there is sufficient consistency in application of the </w:t>
      </w:r>
      <w:r w:rsidR="00842D5C">
        <w:rPr>
          <w:noProof/>
        </w:rPr>
        <w:t>Demirjian</w:t>
      </w:r>
      <w:r w:rsidR="00AB2A48">
        <w:rPr>
          <w:noProof/>
        </w:rPr>
        <w:t xml:space="preserve"> (1973)</w:t>
      </w:r>
      <w:r w:rsidR="00842D5C">
        <w:rPr>
          <w:noProof/>
        </w:rPr>
        <w:t xml:space="preserve"> </w:t>
      </w:r>
      <w:r w:rsidR="00413855">
        <w:rPr>
          <w:noProof/>
        </w:rPr>
        <w:t>method</w:t>
      </w:r>
      <w:r w:rsidR="00842D5C">
        <w:rPr>
          <w:noProof/>
        </w:rPr>
        <w:t xml:space="preserve"> in this research</w:t>
      </w:r>
      <w:r w:rsidR="00413855">
        <w:rPr>
          <w:noProof/>
        </w:rPr>
        <w:t>.</w:t>
      </w:r>
    </w:p>
    <w:p w:rsidR="00361913" w:rsidRPr="005E1460" w:rsidRDefault="00014E3E" w:rsidP="00AC25C4">
      <w:pPr>
        <w:rPr>
          <w:b/>
          <w:i/>
          <w:noProof/>
        </w:rPr>
      </w:pPr>
      <w:r w:rsidRPr="005E1460">
        <w:rPr>
          <w:b/>
          <w:i/>
          <w:noProof/>
        </w:rPr>
        <w:t>3.4.4.c</w:t>
      </w:r>
      <w:r w:rsidRPr="005E1460">
        <w:rPr>
          <w:b/>
          <w:i/>
          <w:noProof/>
        </w:rPr>
        <w:tab/>
      </w:r>
      <w:r w:rsidR="00361913" w:rsidRPr="005E1460">
        <w:rPr>
          <w:b/>
          <w:i/>
          <w:noProof/>
        </w:rPr>
        <w:t>Error analysis o</w:t>
      </w:r>
      <w:r w:rsidR="00AC25C4" w:rsidRPr="005E1460">
        <w:rPr>
          <w:b/>
          <w:i/>
          <w:noProof/>
        </w:rPr>
        <w:t>f the method from other studies</w:t>
      </w:r>
    </w:p>
    <w:p w:rsidR="00361913" w:rsidRDefault="00361913" w:rsidP="00AC25C4">
      <w:pPr>
        <w:rPr>
          <w:rFonts w:asciiTheme="majorBidi" w:hAnsiTheme="majorBidi" w:cstheme="majorBidi"/>
          <w:lang w:val="en-CA"/>
        </w:rPr>
      </w:pPr>
      <w:r>
        <w:rPr>
          <w:noProof/>
        </w:rPr>
        <w:t>With regards to further academic study of the</w:t>
      </w:r>
      <w:r w:rsidR="00914C25">
        <w:rPr>
          <w:noProof/>
        </w:rPr>
        <w:t xml:space="preserve"> reliability of the</w:t>
      </w:r>
      <w:r>
        <w:rPr>
          <w:noProof/>
        </w:rPr>
        <w:t xml:space="preserve"> </w:t>
      </w:r>
      <w:r w:rsidR="00D27A75">
        <w:rPr>
          <w:noProof/>
        </w:rPr>
        <w:t xml:space="preserve">Demirjian </w:t>
      </w:r>
      <w:r>
        <w:rPr>
          <w:noProof/>
        </w:rPr>
        <w:t>method, analys</w:t>
      </w:r>
      <w:r w:rsidR="004D00D5">
        <w:rPr>
          <w:noProof/>
        </w:rPr>
        <w:t xml:space="preserve">is has been completed that </w:t>
      </w:r>
      <w:r w:rsidR="00AE3125">
        <w:rPr>
          <w:noProof/>
        </w:rPr>
        <w:t>has considered</w:t>
      </w:r>
      <w:r>
        <w:rPr>
          <w:noProof/>
        </w:rPr>
        <w:t xml:space="preserve"> both accuracy and precision.  There has been some variation with respect to</w:t>
      </w:r>
      <w:r w:rsidR="00E679D1">
        <w:rPr>
          <w:noProof/>
        </w:rPr>
        <w:t xml:space="preserve"> the</w:t>
      </w:r>
      <w:r>
        <w:rPr>
          <w:noProof/>
        </w:rPr>
        <w:t xml:space="preserve"> prediction of exact chronological age (</w:t>
      </w:r>
      <w:r w:rsidRPr="00C05045">
        <w:rPr>
          <w:rFonts w:asciiTheme="majorBidi" w:hAnsiTheme="majorBidi" w:cstheme="majorBidi"/>
          <w:lang w:val="en-CA"/>
        </w:rPr>
        <w:t>Koshy</w:t>
      </w:r>
      <w:r>
        <w:rPr>
          <w:rFonts w:asciiTheme="majorBidi" w:hAnsiTheme="majorBidi" w:cstheme="majorBidi"/>
          <w:lang w:val="en-CA"/>
        </w:rPr>
        <w:t xml:space="preserve"> and </w:t>
      </w:r>
      <w:r w:rsidRPr="00C05045">
        <w:rPr>
          <w:rFonts w:asciiTheme="majorBidi" w:hAnsiTheme="majorBidi" w:cstheme="majorBidi"/>
          <w:lang w:val="en-CA"/>
        </w:rPr>
        <w:t>Tandon</w:t>
      </w:r>
      <w:r>
        <w:rPr>
          <w:rFonts w:asciiTheme="majorBidi" w:hAnsiTheme="majorBidi" w:cstheme="majorBidi"/>
          <w:lang w:val="en-CA"/>
        </w:rPr>
        <w:t xml:space="preserve"> 1998, Nykänen </w:t>
      </w:r>
      <w:r>
        <w:rPr>
          <w:rFonts w:asciiTheme="majorBidi" w:hAnsiTheme="majorBidi" w:cstheme="majorBidi"/>
          <w:i/>
          <w:lang w:val="en-CA"/>
        </w:rPr>
        <w:t xml:space="preserve">et al. </w:t>
      </w:r>
      <w:r>
        <w:rPr>
          <w:rFonts w:asciiTheme="majorBidi" w:hAnsiTheme="majorBidi" w:cstheme="majorBidi"/>
          <w:lang w:val="en-CA"/>
        </w:rPr>
        <w:t>1998)</w:t>
      </w:r>
      <w:r w:rsidR="00543EC9">
        <w:rPr>
          <w:rFonts w:asciiTheme="majorBidi" w:hAnsiTheme="majorBidi" w:cstheme="majorBidi"/>
          <w:lang w:val="en-CA"/>
        </w:rPr>
        <w:t xml:space="preserve"> </w:t>
      </w:r>
      <w:r w:rsidR="00014E3E">
        <w:rPr>
          <w:rFonts w:asciiTheme="majorBidi" w:hAnsiTheme="majorBidi" w:cstheme="majorBidi"/>
          <w:lang w:val="en-CA"/>
        </w:rPr>
        <w:t>and a</w:t>
      </w:r>
      <w:r>
        <w:rPr>
          <w:rFonts w:asciiTheme="majorBidi" w:hAnsiTheme="majorBidi" w:cstheme="majorBidi"/>
          <w:lang w:val="en-CA"/>
        </w:rPr>
        <w:t xml:space="preserve"> comparison </w:t>
      </w:r>
      <w:r w:rsidR="00014E3E">
        <w:rPr>
          <w:rFonts w:asciiTheme="majorBidi" w:hAnsiTheme="majorBidi" w:cstheme="majorBidi"/>
          <w:lang w:val="en-CA"/>
        </w:rPr>
        <w:t xml:space="preserve">using </w:t>
      </w:r>
      <w:r>
        <w:rPr>
          <w:rFonts w:asciiTheme="majorBidi" w:hAnsiTheme="majorBidi" w:cstheme="majorBidi"/>
          <w:lang w:val="en-CA"/>
        </w:rPr>
        <w:t>a more refined polynomial function (Chaillet and Demirjian 2004).  There have been some modifications to refine the applicability of t</w:t>
      </w:r>
      <w:r w:rsidR="00570E17">
        <w:rPr>
          <w:rFonts w:asciiTheme="majorBidi" w:hAnsiTheme="majorBidi" w:cstheme="majorBidi"/>
          <w:lang w:val="en-CA"/>
        </w:rPr>
        <w:t>he method for</w:t>
      </w:r>
      <w:r>
        <w:rPr>
          <w:rFonts w:asciiTheme="majorBidi" w:hAnsiTheme="majorBidi" w:cstheme="majorBidi"/>
          <w:lang w:val="en-CA"/>
        </w:rPr>
        <w:t xml:space="preserve"> different populations and to refine growth curves (Teivens and Mörnstad 2001a, 2001b).  </w:t>
      </w:r>
      <w:r w:rsidR="00014E3E">
        <w:rPr>
          <w:rFonts w:asciiTheme="majorBidi" w:hAnsiTheme="majorBidi" w:cstheme="majorBidi"/>
          <w:lang w:val="en-CA"/>
        </w:rPr>
        <w:t>Since t</w:t>
      </w:r>
      <w:r>
        <w:rPr>
          <w:rFonts w:asciiTheme="majorBidi" w:hAnsiTheme="majorBidi" w:cstheme="majorBidi"/>
          <w:lang w:val="en-CA"/>
        </w:rPr>
        <w:t xml:space="preserve">he chronological ages are unknown in this sample the level of accuracy of age estimation cannot be compared.  However, the most important point to draw from these studies is that the overall precision of the method has not been challenged.  For further discussion see Liversidge </w:t>
      </w:r>
      <w:r>
        <w:rPr>
          <w:rFonts w:asciiTheme="majorBidi" w:hAnsiTheme="majorBidi" w:cstheme="majorBidi"/>
          <w:i/>
          <w:lang w:val="en-CA"/>
        </w:rPr>
        <w:t xml:space="preserve">et </w:t>
      </w:r>
      <w:r w:rsidRPr="001B5DF3">
        <w:rPr>
          <w:rFonts w:asciiTheme="majorBidi" w:hAnsiTheme="majorBidi" w:cstheme="majorBidi"/>
          <w:i/>
          <w:lang w:val="en-CA"/>
        </w:rPr>
        <w:t>al</w:t>
      </w:r>
      <w:r w:rsidR="00014E3E">
        <w:rPr>
          <w:rFonts w:asciiTheme="majorBidi" w:hAnsiTheme="majorBidi" w:cstheme="majorBidi"/>
          <w:i/>
          <w:lang w:val="en-CA"/>
        </w:rPr>
        <w:t>.</w:t>
      </w:r>
      <w:r>
        <w:rPr>
          <w:rFonts w:asciiTheme="majorBidi" w:hAnsiTheme="majorBidi" w:cstheme="majorBidi"/>
          <w:lang w:val="en-CA"/>
        </w:rPr>
        <w:t xml:space="preserve"> (2006).  </w:t>
      </w:r>
      <w:r w:rsidRPr="001B5DF3">
        <w:rPr>
          <w:rFonts w:asciiTheme="majorBidi" w:hAnsiTheme="majorBidi" w:cstheme="majorBidi"/>
          <w:lang w:val="en-CA"/>
        </w:rPr>
        <w:t>The</w:t>
      </w:r>
      <w:r>
        <w:rPr>
          <w:rFonts w:asciiTheme="majorBidi" w:hAnsiTheme="majorBidi" w:cstheme="majorBidi"/>
          <w:lang w:val="en-CA"/>
        </w:rPr>
        <w:t xml:space="preserve"> results found the current study stand comparatively well with other studies.</w:t>
      </w:r>
    </w:p>
    <w:p w:rsidR="00361913" w:rsidRPr="00490881" w:rsidRDefault="00361913" w:rsidP="00D263E8">
      <w:pPr>
        <w:pStyle w:val="Heading2"/>
      </w:pPr>
      <w:bookmarkStart w:id="172" w:name="_Toc373477771"/>
      <w:bookmarkStart w:id="173" w:name="_Toc373480769"/>
      <w:r w:rsidRPr="0027315F">
        <w:t>Epiphyseal fusion</w:t>
      </w:r>
      <w:bookmarkEnd w:id="172"/>
      <w:bookmarkEnd w:id="173"/>
    </w:p>
    <w:p w:rsidR="00361913" w:rsidRPr="0027315F" w:rsidRDefault="00361913" w:rsidP="00D263E8">
      <w:pPr>
        <w:pStyle w:val="Heading3"/>
      </w:pPr>
      <w:bookmarkStart w:id="174" w:name="_Toc373477772"/>
      <w:bookmarkStart w:id="175" w:name="_Toc373480770"/>
      <w:r w:rsidRPr="0027315F">
        <w:t>Determining combined sample values for analysis of epiphyseal fusion</w:t>
      </w:r>
      <w:bookmarkEnd w:id="174"/>
      <w:bookmarkEnd w:id="175"/>
    </w:p>
    <w:p w:rsidR="00361913" w:rsidRDefault="005C115B" w:rsidP="00490881">
      <w:pPr>
        <w:rPr>
          <w:noProof/>
        </w:rPr>
      </w:pPr>
      <w:r>
        <w:rPr>
          <w:noProof/>
        </w:rPr>
        <w:t>B</w:t>
      </w:r>
      <w:r w:rsidR="00361913">
        <w:rPr>
          <w:noProof/>
        </w:rPr>
        <w:t xml:space="preserve">ilateral assessment was taken for all epiphyses when possible.  With the primary objective being to provide information on general state of fusion, a combined sample variable was created for each epiphysis.  This variable provide a single value from each epiphysis for </w:t>
      </w:r>
      <w:r w:rsidR="00DF0501">
        <w:rPr>
          <w:noProof/>
        </w:rPr>
        <w:t xml:space="preserve">each </w:t>
      </w:r>
      <w:r w:rsidR="00361913">
        <w:rPr>
          <w:noProof/>
        </w:rPr>
        <w:t xml:space="preserve">individual.  Humans have shown </w:t>
      </w:r>
      <w:r w:rsidR="00D25E6C">
        <w:rPr>
          <w:noProof/>
        </w:rPr>
        <w:t>sight laterali</w:t>
      </w:r>
      <w:r w:rsidR="00593792">
        <w:rPr>
          <w:noProof/>
        </w:rPr>
        <w:t>s</w:t>
      </w:r>
      <w:r w:rsidR="00D25E6C">
        <w:rPr>
          <w:noProof/>
        </w:rPr>
        <w:t xml:space="preserve">ation with </w:t>
      </w:r>
      <w:r w:rsidR="00361913">
        <w:rPr>
          <w:noProof/>
        </w:rPr>
        <w:t xml:space="preserve">respect to upper limb length but there is no evidence for lateralisation of epiphyseal union.  </w:t>
      </w:r>
      <w:r w:rsidR="00425205">
        <w:rPr>
          <w:noProof/>
        </w:rPr>
        <w:t>Based on this</w:t>
      </w:r>
      <w:r w:rsidR="00075918">
        <w:rPr>
          <w:noProof/>
        </w:rPr>
        <w:t xml:space="preserve"> fact</w:t>
      </w:r>
      <w:r w:rsidR="00425205">
        <w:rPr>
          <w:noProof/>
        </w:rPr>
        <w:t xml:space="preserve"> it is assumed </w:t>
      </w:r>
      <w:r w:rsidR="00361913">
        <w:rPr>
          <w:noProof/>
        </w:rPr>
        <w:t xml:space="preserve">that epiphyseal fusion </w:t>
      </w:r>
      <w:r w:rsidR="00DF0501">
        <w:rPr>
          <w:noProof/>
        </w:rPr>
        <w:t xml:space="preserve">is </w:t>
      </w:r>
      <w:r w:rsidR="00361913">
        <w:rPr>
          <w:noProof/>
        </w:rPr>
        <w:t xml:space="preserve">not lateralised and that there is no population-level difference between </w:t>
      </w:r>
      <w:r w:rsidR="00DF0501">
        <w:rPr>
          <w:noProof/>
        </w:rPr>
        <w:t xml:space="preserve">left and right </w:t>
      </w:r>
      <w:r w:rsidR="00361913">
        <w:rPr>
          <w:noProof/>
        </w:rPr>
        <w:t>side.</w:t>
      </w:r>
    </w:p>
    <w:p w:rsidR="00361913" w:rsidRPr="00E178B2" w:rsidRDefault="00361913" w:rsidP="00490881">
      <w:pPr>
        <w:rPr>
          <w:b/>
          <w:noProof/>
          <w:color w:val="000000" w:themeColor="text1"/>
          <w:sz w:val="20"/>
          <w:szCs w:val="20"/>
        </w:rPr>
      </w:pPr>
      <w:r>
        <w:rPr>
          <w:noProof/>
        </w:rPr>
        <w:t xml:space="preserve">For all individuals where there was only one side present, this value was simply transferred to the combined sample variable.  For those individuals that had both scores; if those scores were exactly the same then this value was again transferred directly to the combined sample variable.  However, on some rare occasions there existed a difference between sides.  Based on the principle of fluctuating asymmetry and developmental stability </w:t>
      </w:r>
      <w:r w:rsidRPr="003D57A7">
        <w:rPr>
          <w:noProof/>
        </w:rPr>
        <w:t>(</w:t>
      </w:r>
      <w:r w:rsidRPr="003D57A7">
        <w:rPr>
          <w:bCs/>
          <w:color w:val="000000" w:themeColor="text1"/>
        </w:rPr>
        <w:t xml:space="preserve">Klingenberg and McIntyre 1998, Palmer and Strobeck </w:t>
      </w:r>
      <w:r>
        <w:rPr>
          <w:bCs/>
          <w:color w:val="000000" w:themeColor="text1"/>
        </w:rPr>
        <w:t xml:space="preserve">1986, </w:t>
      </w:r>
      <w:r w:rsidRPr="003D57A7">
        <w:rPr>
          <w:bCs/>
          <w:color w:val="000000" w:themeColor="text1"/>
        </w:rPr>
        <w:t>1992</w:t>
      </w:r>
      <w:r w:rsidRPr="003D57A7">
        <w:rPr>
          <w:noProof/>
        </w:rPr>
        <w:t>)</w:t>
      </w:r>
      <w:r>
        <w:rPr>
          <w:noProof/>
        </w:rPr>
        <w:t>, small amounts of variation between sides</w:t>
      </w:r>
      <w:r w:rsidR="000B712A">
        <w:rPr>
          <w:noProof/>
        </w:rPr>
        <w:t xml:space="preserve"> would be expected</w:t>
      </w:r>
      <w:r>
        <w:rPr>
          <w:noProof/>
        </w:rPr>
        <w:t xml:space="preserve">.  </w:t>
      </w:r>
      <w:r w:rsidR="00D67154">
        <w:rPr>
          <w:noProof/>
        </w:rPr>
        <w:t>S</w:t>
      </w:r>
      <w:r>
        <w:rPr>
          <w:noProof/>
        </w:rPr>
        <w:t>mall amounts of sampling error</w:t>
      </w:r>
      <w:r w:rsidR="00D67154">
        <w:rPr>
          <w:noProof/>
        </w:rPr>
        <w:t xml:space="preserve"> may also be expected</w:t>
      </w:r>
      <w:r>
        <w:rPr>
          <w:noProof/>
        </w:rPr>
        <w:t>, althou</w:t>
      </w:r>
      <w:r w:rsidRPr="00DE2C63">
        <w:rPr>
          <w:noProof/>
        </w:rPr>
        <w:t>gh</w:t>
      </w:r>
      <w:r>
        <w:rPr>
          <w:noProof/>
        </w:rPr>
        <w:t xml:space="preserve"> w</w:t>
      </w:r>
      <w:r w:rsidRPr="00DE2C63">
        <w:rPr>
          <w:noProof/>
        </w:rPr>
        <w:t xml:space="preserve">ith both bones </w:t>
      </w:r>
      <w:r>
        <w:rPr>
          <w:noProof/>
        </w:rPr>
        <w:t xml:space="preserve">being observed at the same time, </w:t>
      </w:r>
      <w:r w:rsidRPr="00DE2C63">
        <w:rPr>
          <w:noProof/>
        </w:rPr>
        <w:t xml:space="preserve">deviations caused by wrongly classifying </w:t>
      </w:r>
      <w:r>
        <w:rPr>
          <w:noProof/>
        </w:rPr>
        <w:t xml:space="preserve">or inputting data for </w:t>
      </w:r>
      <w:r w:rsidRPr="00DE2C63">
        <w:rPr>
          <w:noProof/>
        </w:rPr>
        <w:t>an epiphysis w</w:t>
      </w:r>
      <w:r w:rsidR="00422206">
        <w:rPr>
          <w:noProof/>
        </w:rPr>
        <w:t>as considered highly</w:t>
      </w:r>
      <w:r w:rsidRPr="00DE2C63">
        <w:rPr>
          <w:noProof/>
        </w:rPr>
        <w:t xml:space="preserve"> unlikely.</w:t>
      </w:r>
      <w:r>
        <w:rPr>
          <w:noProof/>
        </w:rPr>
        <w:t xml:space="preserve">  This was due to </w:t>
      </w:r>
      <w:r>
        <w:rPr>
          <w:noProof/>
        </w:rPr>
        <w:lastRenderedPageBreak/>
        <w:t>the fact that any observed difference between sides was immediately apparent to the observer.  W</w:t>
      </w:r>
      <w:r w:rsidRPr="00DE2C63">
        <w:rPr>
          <w:noProof/>
        </w:rPr>
        <w:t xml:space="preserve">henever </w:t>
      </w:r>
      <w:r>
        <w:rPr>
          <w:noProof/>
        </w:rPr>
        <w:t>this situation arose</w:t>
      </w:r>
      <w:r w:rsidRPr="00A57599">
        <w:rPr>
          <w:noProof/>
        </w:rPr>
        <w:t xml:space="preserve"> </w:t>
      </w:r>
      <w:r>
        <w:rPr>
          <w:noProof/>
        </w:rPr>
        <w:t>d</w:t>
      </w:r>
      <w:r w:rsidRPr="00DE2C63">
        <w:rPr>
          <w:noProof/>
        </w:rPr>
        <w:t>ur</w:t>
      </w:r>
      <w:r>
        <w:rPr>
          <w:noProof/>
        </w:rPr>
        <w:t>ing the data collection process</w:t>
      </w:r>
      <w:r w:rsidRPr="00DE2C63">
        <w:rPr>
          <w:noProof/>
        </w:rPr>
        <w:t xml:space="preserve"> the bone</w:t>
      </w:r>
      <w:r>
        <w:rPr>
          <w:noProof/>
        </w:rPr>
        <w:t>s</w:t>
      </w:r>
      <w:r w:rsidRPr="00DE2C63">
        <w:rPr>
          <w:noProof/>
        </w:rPr>
        <w:t xml:space="preserve"> would be re-</w:t>
      </w:r>
      <w:r>
        <w:rPr>
          <w:noProof/>
        </w:rPr>
        <w:t>evaluated</w:t>
      </w:r>
      <w:r w:rsidRPr="00DE2C63">
        <w:rPr>
          <w:noProof/>
        </w:rPr>
        <w:t xml:space="preserve"> such that this difference could be confidently </w:t>
      </w:r>
      <w:r>
        <w:rPr>
          <w:noProof/>
        </w:rPr>
        <w:t>recorded</w:t>
      </w:r>
      <w:r w:rsidRPr="00DE2C63">
        <w:rPr>
          <w:noProof/>
        </w:rPr>
        <w:t>.</w:t>
      </w:r>
      <w:r>
        <w:rPr>
          <w:noProof/>
        </w:rPr>
        <w:t xml:space="preserve">  Developmental asymmetry has been correlated with environmental stress and in order to detect more extreme cases some analysis is warranted with respect to the distribution of a</w:t>
      </w:r>
      <w:r w:rsidR="00E178B2">
        <w:rPr>
          <w:noProof/>
        </w:rPr>
        <w:t>symmetry within this data set.</w:t>
      </w:r>
    </w:p>
    <w:p w:rsidR="00361913" w:rsidRPr="005E1460" w:rsidRDefault="005E7C0B" w:rsidP="00490881">
      <w:pPr>
        <w:rPr>
          <w:b/>
          <w:i/>
          <w:noProof/>
        </w:rPr>
      </w:pPr>
      <w:r w:rsidRPr="005E1460">
        <w:rPr>
          <w:b/>
          <w:i/>
          <w:noProof/>
        </w:rPr>
        <w:t>3.4</w:t>
      </w:r>
      <w:r w:rsidR="008B380F" w:rsidRPr="005E1460">
        <w:rPr>
          <w:b/>
          <w:i/>
          <w:noProof/>
        </w:rPr>
        <w:t>.1.a</w:t>
      </w:r>
      <w:r w:rsidR="008B380F" w:rsidRPr="005E1460">
        <w:rPr>
          <w:b/>
          <w:i/>
          <w:noProof/>
        </w:rPr>
        <w:tab/>
      </w:r>
      <w:r w:rsidR="00361913" w:rsidRPr="005E1460">
        <w:rPr>
          <w:b/>
          <w:i/>
          <w:noProof/>
        </w:rPr>
        <w:t>Analysis of frequency difference</w:t>
      </w:r>
    </w:p>
    <w:p w:rsidR="00BE67AB" w:rsidRDefault="00490881" w:rsidP="00BE67AB">
      <w:pPr>
        <w:rPr>
          <w:noProof/>
        </w:rPr>
      </w:pPr>
      <w:r>
        <w:rPr>
          <w:noProof/>
        </w:rPr>
        <w:t>Table 3.20</w:t>
      </w:r>
      <w:r w:rsidR="00AB7316">
        <w:rPr>
          <w:noProof/>
        </w:rPr>
        <w:t xml:space="preserve"> </w:t>
      </w:r>
      <w:r w:rsidR="00A93337">
        <w:rPr>
          <w:noProof/>
        </w:rPr>
        <w:t>provides</w:t>
      </w:r>
      <w:r w:rsidR="00AB7316">
        <w:rPr>
          <w:noProof/>
        </w:rPr>
        <w:t xml:space="preserve"> the number of bilateral asymmetries for each epiphysis and the the total sample size of bilateral measurements.  </w:t>
      </w:r>
      <w:r w:rsidR="005B4BF4">
        <w:rPr>
          <w:noProof/>
        </w:rPr>
        <w:t>When</w:t>
      </w:r>
      <w:r w:rsidR="00361913">
        <w:rPr>
          <w:noProof/>
        </w:rPr>
        <w:t xml:space="preserve"> values in the column </w:t>
      </w:r>
      <w:r w:rsidR="001A1F5E">
        <w:rPr>
          <w:noProof/>
        </w:rPr>
        <w:t>‘</w:t>
      </w:r>
      <w:r w:rsidR="00361913">
        <w:rPr>
          <w:noProof/>
        </w:rPr>
        <w:t>number of individuals with a difference between sides</w:t>
      </w:r>
      <w:r w:rsidR="001A1F5E">
        <w:rPr>
          <w:noProof/>
        </w:rPr>
        <w:t>’</w:t>
      </w:r>
      <w:r w:rsidR="00A906C1">
        <w:rPr>
          <w:noProof/>
        </w:rPr>
        <w:t xml:space="preserve"> </w:t>
      </w:r>
      <w:r w:rsidR="005B4BF4">
        <w:rPr>
          <w:noProof/>
        </w:rPr>
        <w:t>are</w:t>
      </w:r>
      <w:r w:rsidR="00AB7316">
        <w:rPr>
          <w:noProof/>
        </w:rPr>
        <w:t xml:space="preserve"> considered, </w:t>
      </w:r>
      <w:r w:rsidR="00361913">
        <w:rPr>
          <w:noProof/>
        </w:rPr>
        <w:t xml:space="preserve">the variation is </w:t>
      </w:r>
      <w:r w:rsidR="001A1F5E">
        <w:rPr>
          <w:noProof/>
        </w:rPr>
        <w:t xml:space="preserve">evidently </w:t>
      </w:r>
      <w:r w:rsidR="00361913">
        <w:rPr>
          <w:noProof/>
        </w:rPr>
        <w:t>small, typically between 2 and 4 percent</w:t>
      </w:r>
      <w:r w:rsidR="001A6463">
        <w:rPr>
          <w:noProof/>
        </w:rPr>
        <w:t xml:space="preserve">.  This variation </w:t>
      </w:r>
      <w:r w:rsidR="00361913">
        <w:rPr>
          <w:noProof/>
        </w:rPr>
        <w:t>is</w:t>
      </w:r>
      <w:r w:rsidR="001A6463">
        <w:rPr>
          <w:noProof/>
        </w:rPr>
        <w:t xml:space="preserve"> also</w:t>
      </w:r>
      <w:r w:rsidR="00361913">
        <w:rPr>
          <w:noProof/>
        </w:rPr>
        <w:t xml:space="preserve"> quite evenly spread across all epiphyses.  These values are sufficiently consistent that it may be asserted that there was no evidence for concentration of bilateral asymmetry towards any specific epiphysis.</w:t>
      </w:r>
      <w:r w:rsidR="00BE67AB" w:rsidRPr="00BE67AB">
        <w:rPr>
          <w:noProof/>
        </w:rPr>
        <w:t xml:space="preserve"> </w:t>
      </w:r>
    </w:p>
    <w:p w:rsidR="00BE67AB" w:rsidRDefault="00BE67AB" w:rsidP="00BE67AB">
      <w:pPr>
        <w:rPr>
          <w:noProof/>
        </w:rPr>
      </w:pPr>
      <w:r w:rsidRPr="00ED1CCD">
        <w:rPr>
          <w:noProof/>
        </w:rPr>
        <w:t xml:space="preserve">In total, 67 individuals </w:t>
      </w:r>
      <w:r>
        <w:rPr>
          <w:noProof/>
        </w:rPr>
        <w:t>(</w:t>
      </w:r>
      <w:r w:rsidRPr="00ED1CCD">
        <w:rPr>
          <w:noProof/>
        </w:rPr>
        <w:t>30.8%</w:t>
      </w:r>
      <w:r>
        <w:rPr>
          <w:noProof/>
        </w:rPr>
        <w:t>)</w:t>
      </w:r>
      <w:r w:rsidRPr="00ED1CCD">
        <w:rPr>
          <w:noProof/>
        </w:rPr>
        <w:t xml:space="preserve"> of the samp</w:t>
      </w:r>
      <w:r w:rsidR="002855DD">
        <w:rPr>
          <w:noProof/>
        </w:rPr>
        <w:t xml:space="preserve">le had at least one asymmetry. </w:t>
      </w:r>
      <w:r w:rsidRPr="00ED1CCD">
        <w:rPr>
          <w:noProof/>
        </w:rPr>
        <w:t xml:space="preserve"> Pathological conditions observed in the sample were recorded and these included broken bones, unexplained lesions, and linear enamel hypoplastic defects (see anal</w:t>
      </w:r>
      <w:r>
        <w:rPr>
          <w:noProof/>
        </w:rPr>
        <w:t>ys</w:t>
      </w:r>
      <w:r w:rsidR="00266843">
        <w:rPr>
          <w:noProof/>
        </w:rPr>
        <w:t>is of pathology in section 3.1.6</w:t>
      </w:r>
      <w:r w:rsidRPr="00ED1CCD">
        <w:rPr>
          <w:noProof/>
        </w:rPr>
        <w:t xml:space="preserve">).  The prevalence rate of reported pathological conditions excluding </w:t>
      </w:r>
      <w:r>
        <w:rPr>
          <w:noProof/>
        </w:rPr>
        <w:t xml:space="preserve">recently </w:t>
      </w:r>
      <w:r w:rsidRPr="00ED1CCD">
        <w:rPr>
          <w:noProof/>
        </w:rPr>
        <w:t xml:space="preserve">broken bones was determined both for individuals with asymmetries and for those without.  </w:t>
      </w:r>
      <w:r>
        <w:rPr>
          <w:noProof/>
        </w:rPr>
        <w:t xml:space="preserve">Evidence for recent trauma such as recently broken bones was not considered potential evidence for insult to systemic health.  The proximity to age at death likely had no longer-term implications for health status and thus would not impact on the individual as far as this study would be concerned.  </w:t>
      </w:r>
      <w:r w:rsidRPr="00ED1CCD">
        <w:rPr>
          <w:noProof/>
        </w:rPr>
        <w:t xml:space="preserve">It was found that for the 67 individuals with asymmetries, 13 showed some possible sign of abnomormality (19%) while 27 of the remaining 152 individuals without asymmetries (18%) show signs of abnormalities.  </w:t>
      </w:r>
      <w:r>
        <w:rPr>
          <w:noProof/>
        </w:rPr>
        <w:t>Application of a chi-squared statistic using these values provides an non-significant result (</w:t>
      </w:r>
      <w:r w:rsidRPr="003D1563">
        <w:rPr>
          <w:noProof/>
          <w:sz w:val="24"/>
          <w:szCs w:val="24"/>
        </w:rPr>
        <w:t>χ</w:t>
      </w:r>
      <w:r w:rsidRPr="002F0AE1">
        <w:rPr>
          <w:noProof/>
          <w:vertAlign w:val="superscript"/>
        </w:rPr>
        <w:t>2</w:t>
      </w:r>
      <w:r>
        <w:rPr>
          <w:noProof/>
          <w:vertAlign w:val="superscript"/>
        </w:rPr>
        <w:t xml:space="preserve"> </w:t>
      </w:r>
      <w:r>
        <w:rPr>
          <w:noProof/>
        </w:rPr>
        <w:t>= 0.082953,</w:t>
      </w:r>
      <w:r w:rsidR="000E37DA">
        <w:rPr>
          <w:noProof/>
        </w:rPr>
        <w:t xml:space="preserve"> p</w:t>
      </w:r>
      <w:r>
        <w:rPr>
          <w:noProof/>
        </w:rPr>
        <w:t xml:space="preserve"> = </w:t>
      </w:r>
      <w:r w:rsidRPr="009F0A0E">
        <w:rPr>
          <w:noProof/>
        </w:rPr>
        <w:t>0.9593</w:t>
      </w:r>
      <w:r>
        <w:rPr>
          <w:noProof/>
        </w:rPr>
        <w:t>), suggesting that the population of suspected pathological individuals were not more likely to be asymmetric than the overall population.</w:t>
      </w:r>
    </w:p>
    <w:p w:rsidR="00CB170C" w:rsidRDefault="00CB170C">
      <w:pPr>
        <w:spacing w:before="0" w:after="200" w:line="276" w:lineRule="auto"/>
        <w:jc w:val="left"/>
        <w:rPr>
          <w:b/>
          <w:bCs/>
          <w:szCs w:val="18"/>
        </w:rPr>
      </w:pPr>
      <w:r>
        <w:rPr>
          <w:b/>
        </w:rPr>
        <w:br w:type="page"/>
      </w:r>
    </w:p>
    <w:p w:rsidR="00E178B2" w:rsidRDefault="00C9288A" w:rsidP="00C9288A">
      <w:pPr>
        <w:pStyle w:val="Caption"/>
      </w:pPr>
      <w:bookmarkStart w:id="176" w:name="_Toc373180132"/>
      <w:proofErr w:type="gramStart"/>
      <w:r w:rsidRPr="00C9288A">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20</w:t>
      </w:r>
      <w:r w:rsidR="008943E4">
        <w:rPr>
          <w:b/>
        </w:rPr>
        <w:fldChar w:fldCharType="end"/>
      </w:r>
      <w:r>
        <w:t xml:space="preserve"> </w:t>
      </w:r>
      <w:r w:rsidR="00E178B2" w:rsidRPr="007726FD">
        <w:t>Sample size and frequency of differences between sides</w:t>
      </w:r>
      <w:r w:rsidR="00F03FF6">
        <w:t xml:space="preserve"> for epiphyseal fusion</w:t>
      </w:r>
      <w:r w:rsidR="00E178B2" w:rsidRPr="007726FD">
        <w:t>.</w:t>
      </w:r>
      <w:bookmarkEnd w:id="176"/>
      <w:proofErr w:type="gramEnd"/>
    </w:p>
    <w:tbl>
      <w:tblPr>
        <w:tblW w:w="8937" w:type="dxa"/>
        <w:jc w:val="center"/>
        <w:tblLook w:val="04A0" w:firstRow="1" w:lastRow="0" w:firstColumn="1" w:lastColumn="0" w:noHBand="0" w:noVBand="1"/>
      </w:tblPr>
      <w:tblGrid>
        <w:gridCol w:w="974"/>
        <w:gridCol w:w="4886"/>
        <w:gridCol w:w="1704"/>
        <w:gridCol w:w="1374"/>
      </w:tblGrid>
      <w:tr w:rsidR="00E178B2" w:rsidRPr="007726FD" w:rsidTr="00CA5FBB">
        <w:trPr>
          <w:cantSplit/>
          <w:trHeight w:val="284"/>
          <w:jc w:val="center"/>
        </w:trPr>
        <w:tc>
          <w:tcPr>
            <w:tcW w:w="973" w:type="dxa"/>
            <w:tcBorders>
              <w:top w:val="single" w:sz="4" w:space="0" w:color="auto"/>
              <w:bottom w:val="single" w:sz="4" w:space="0" w:color="auto"/>
            </w:tcBorders>
            <w:shd w:val="clear" w:color="000000" w:fill="FFFFFF"/>
            <w:noWrap/>
            <w:vAlign w:val="center"/>
            <w:hideMark/>
          </w:tcPr>
          <w:p w:rsidR="00E178B2" w:rsidRPr="00CA5FBB" w:rsidRDefault="002A2FC4" w:rsidP="00E379D8">
            <w:pPr>
              <w:spacing w:before="0" w:line="240" w:lineRule="auto"/>
              <w:jc w:val="center"/>
              <w:rPr>
                <w:rFonts w:eastAsia="Times New Roman"/>
                <w:b/>
                <w:color w:val="000000" w:themeColor="text1"/>
                <w:lang w:val="en-GB" w:eastAsia="en-GB"/>
              </w:rPr>
            </w:pPr>
            <w:r>
              <w:rPr>
                <w:rFonts w:eastAsia="Times New Roman"/>
                <w:b/>
                <w:color w:val="000000" w:themeColor="text1"/>
                <w:lang w:val="en-GB" w:eastAsia="en-GB"/>
              </w:rPr>
              <w:t>b</w:t>
            </w:r>
            <w:r w:rsidR="008943E4" w:rsidRPr="00CA5FBB">
              <w:rPr>
                <w:rFonts w:eastAsia="Times New Roman"/>
                <w:b/>
                <w:color w:val="000000" w:themeColor="text1"/>
                <w:lang w:val="en-GB" w:eastAsia="en-GB"/>
              </w:rPr>
              <w:t>one</w:t>
            </w:r>
          </w:p>
        </w:tc>
        <w:tc>
          <w:tcPr>
            <w:tcW w:w="4886" w:type="dxa"/>
            <w:tcBorders>
              <w:top w:val="single" w:sz="4" w:space="0" w:color="auto"/>
              <w:bottom w:val="single" w:sz="4" w:space="0" w:color="auto"/>
            </w:tcBorders>
            <w:shd w:val="clear" w:color="000000" w:fill="FFFFFF"/>
            <w:noWrap/>
            <w:vAlign w:val="center"/>
            <w:hideMark/>
          </w:tcPr>
          <w:p w:rsidR="00E178B2" w:rsidRPr="00CA5FBB" w:rsidRDefault="002A2FC4" w:rsidP="00E379D8">
            <w:pPr>
              <w:spacing w:before="0" w:line="240" w:lineRule="auto"/>
              <w:jc w:val="center"/>
              <w:rPr>
                <w:rFonts w:eastAsia="Times New Roman"/>
                <w:b/>
                <w:color w:val="000000" w:themeColor="text1"/>
                <w:lang w:val="en-GB" w:eastAsia="en-GB"/>
              </w:rPr>
            </w:pPr>
            <w:r>
              <w:rPr>
                <w:rFonts w:eastAsia="Times New Roman"/>
                <w:b/>
                <w:color w:val="000000" w:themeColor="text1"/>
                <w:lang w:val="en-GB" w:eastAsia="en-GB"/>
              </w:rPr>
              <w:t>e</w:t>
            </w:r>
            <w:r w:rsidR="008943E4" w:rsidRPr="00CA5FBB">
              <w:rPr>
                <w:rFonts w:eastAsia="Times New Roman"/>
                <w:b/>
                <w:color w:val="000000" w:themeColor="text1"/>
                <w:lang w:val="en-GB" w:eastAsia="en-GB"/>
              </w:rPr>
              <w:t>piphysis</w:t>
            </w:r>
          </w:p>
        </w:tc>
        <w:tc>
          <w:tcPr>
            <w:tcW w:w="1704" w:type="dxa"/>
            <w:tcBorders>
              <w:top w:val="single" w:sz="4" w:space="0" w:color="auto"/>
              <w:bottom w:val="single" w:sz="4" w:space="0" w:color="auto"/>
            </w:tcBorders>
            <w:shd w:val="clear" w:color="auto" w:fill="auto"/>
            <w:noWrap/>
            <w:vAlign w:val="center"/>
            <w:hideMark/>
          </w:tcPr>
          <w:p w:rsidR="00E178B2" w:rsidRPr="00CA5FBB" w:rsidRDefault="002A2FC4" w:rsidP="00E379D8">
            <w:pPr>
              <w:spacing w:before="0" w:line="240" w:lineRule="auto"/>
              <w:jc w:val="center"/>
              <w:rPr>
                <w:rFonts w:eastAsia="Times New Roman"/>
                <w:b/>
                <w:color w:val="000000" w:themeColor="text1"/>
                <w:lang w:val="en-GB" w:eastAsia="en-GB"/>
              </w:rPr>
            </w:pPr>
            <w:r>
              <w:rPr>
                <w:rFonts w:eastAsia="Times New Roman"/>
                <w:b/>
                <w:color w:val="000000" w:themeColor="text1"/>
                <w:lang w:val="en-GB" w:eastAsia="en-GB"/>
              </w:rPr>
              <w:t>n</w:t>
            </w:r>
            <w:r w:rsidR="008943E4" w:rsidRPr="00CA5FBB">
              <w:rPr>
                <w:rFonts w:eastAsia="Times New Roman"/>
                <w:b/>
                <w:color w:val="000000" w:themeColor="text1"/>
                <w:lang w:val="en-GB" w:eastAsia="en-GB"/>
              </w:rPr>
              <w:t>umber of individuals contributing bilateral measurements</w:t>
            </w:r>
          </w:p>
        </w:tc>
        <w:tc>
          <w:tcPr>
            <w:tcW w:w="1374" w:type="dxa"/>
            <w:tcBorders>
              <w:top w:val="single" w:sz="4" w:space="0" w:color="auto"/>
              <w:bottom w:val="single" w:sz="4" w:space="0" w:color="auto"/>
            </w:tcBorders>
            <w:shd w:val="clear" w:color="000000" w:fill="FFFFFF"/>
            <w:noWrap/>
            <w:vAlign w:val="center"/>
            <w:hideMark/>
          </w:tcPr>
          <w:p w:rsidR="00E178B2" w:rsidRPr="00CA5FBB" w:rsidRDefault="002A2FC4" w:rsidP="00E379D8">
            <w:pPr>
              <w:spacing w:before="0" w:line="240" w:lineRule="auto"/>
              <w:jc w:val="center"/>
              <w:rPr>
                <w:rFonts w:eastAsia="Times New Roman"/>
                <w:b/>
                <w:color w:val="000000" w:themeColor="text1"/>
                <w:lang w:val="en-GB" w:eastAsia="en-GB"/>
              </w:rPr>
            </w:pPr>
            <w:proofErr w:type="gramStart"/>
            <w:r>
              <w:rPr>
                <w:rFonts w:eastAsia="Times New Roman"/>
                <w:b/>
                <w:color w:val="000000" w:themeColor="text1"/>
                <w:lang w:val="en-GB" w:eastAsia="en-GB"/>
              </w:rPr>
              <w:t>n</w:t>
            </w:r>
            <w:r w:rsidR="008943E4" w:rsidRPr="00CA5FBB">
              <w:rPr>
                <w:rFonts w:eastAsia="Times New Roman"/>
                <w:b/>
                <w:color w:val="000000" w:themeColor="text1"/>
                <w:lang w:val="en-GB" w:eastAsia="en-GB"/>
              </w:rPr>
              <w:t>umber</w:t>
            </w:r>
            <w:proofErr w:type="gramEnd"/>
            <w:r w:rsidR="008943E4" w:rsidRPr="00CA5FBB">
              <w:rPr>
                <w:rFonts w:eastAsia="Times New Roman"/>
                <w:b/>
                <w:color w:val="000000" w:themeColor="text1"/>
                <w:lang w:val="en-GB" w:eastAsia="en-GB"/>
              </w:rPr>
              <w:t xml:space="preserve"> of individuals with a difference between sides</w:t>
            </w:r>
            <w:r w:rsidR="008943E4" w:rsidRPr="00CA5FBB">
              <w:rPr>
                <w:rFonts w:eastAsia="Times New Roman"/>
                <w:b/>
                <w:color w:val="000000" w:themeColor="text1"/>
                <w:vertAlign w:val="superscript"/>
                <w:lang w:val="en-GB" w:eastAsia="en-GB"/>
              </w:rPr>
              <w:t>1.</w:t>
            </w:r>
          </w:p>
        </w:tc>
      </w:tr>
      <w:tr w:rsidR="007D1ED7" w:rsidRPr="007726FD" w:rsidTr="00CA5FBB">
        <w:trPr>
          <w:cantSplit/>
          <w:trHeight w:hRule="exact" w:val="284"/>
          <w:jc w:val="center"/>
        </w:trPr>
        <w:tc>
          <w:tcPr>
            <w:tcW w:w="973" w:type="dxa"/>
            <w:vMerge w:val="restart"/>
            <w:tcBorders>
              <w:top w:val="single" w:sz="4" w:space="0" w:color="auto"/>
            </w:tcBorders>
            <w:shd w:val="clear" w:color="000000" w:fill="FFFFFF"/>
            <w:noWrap/>
            <w:vAlign w:val="center"/>
            <w:hideMark/>
          </w:tcPr>
          <w:p w:rsidR="00EF7D90" w:rsidRDefault="007D1ED7">
            <w:pPr>
              <w:spacing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humerus</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proximal epiphysis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198</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(2.0%)</w:t>
            </w:r>
          </w:p>
        </w:tc>
      </w:tr>
      <w:tr w:rsidR="007D1ED7" w:rsidRPr="007726FD" w:rsidTr="00CA5FBB">
        <w:trPr>
          <w:cantSplit/>
          <w:trHeight w:hRule="exact" w:val="284"/>
          <w:jc w:val="center"/>
        </w:trPr>
        <w:tc>
          <w:tcPr>
            <w:tcW w:w="973" w:type="dxa"/>
            <w:vMerge/>
            <w:shd w:val="clear" w:color="000000" w:fill="FFFFFF"/>
            <w:noWrap/>
            <w:vAlign w:val="center"/>
            <w:hideMark/>
          </w:tcPr>
          <w:p w:rsidR="00A35CA0" w:rsidRDefault="00A35CA0" w:rsidP="00CA5FBB">
            <w:pPr>
              <w:spacing w:line="240" w:lineRule="auto"/>
              <w:jc w:val="left"/>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distal capiptulum/trochlea/lateral epicondyle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198</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(2.0%)</w:t>
            </w:r>
          </w:p>
        </w:tc>
      </w:tr>
      <w:tr w:rsidR="007D1ED7" w:rsidRPr="007726FD" w:rsidTr="00CA5FBB">
        <w:trPr>
          <w:cantSplit/>
          <w:trHeight w:hRule="exact" w:val="284"/>
          <w:jc w:val="center"/>
        </w:trPr>
        <w:tc>
          <w:tcPr>
            <w:tcW w:w="973" w:type="dxa"/>
            <w:vMerge/>
            <w:tcBorders>
              <w:bottom w:val="single" w:sz="4" w:space="0" w:color="auto"/>
            </w:tcBorders>
            <w:shd w:val="clear" w:color="000000" w:fill="FFFFFF"/>
            <w:noWrap/>
            <w:vAlign w:val="center"/>
            <w:hideMark/>
          </w:tcPr>
          <w:p w:rsidR="00A35CA0" w:rsidRDefault="00A35CA0" w:rsidP="00CA5FBB">
            <w:pPr>
              <w:spacing w:before="0" w:line="240" w:lineRule="auto"/>
              <w:jc w:val="left"/>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distal medial epipcondyle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198</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5 (2.5%)</w:t>
            </w:r>
          </w:p>
        </w:tc>
      </w:tr>
      <w:tr w:rsidR="007D1ED7" w:rsidRPr="007726FD" w:rsidTr="00CA5FBB">
        <w:trPr>
          <w:cantSplit/>
          <w:trHeight w:hRule="exact" w:val="284"/>
          <w:jc w:val="center"/>
        </w:trPr>
        <w:tc>
          <w:tcPr>
            <w:tcW w:w="973" w:type="dxa"/>
            <w:vMerge w:val="restart"/>
            <w:tcBorders>
              <w:top w:val="single" w:sz="4" w:space="0" w:color="auto"/>
            </w:tcBorders>
            <w:shd w:val="clear" w:color="000000" w:fill="FFFFFF"/>
            <w:noWrap/>
            <w:vAlign w:val="center"/>
            <w:hideMark/>
          </w:tcPr>
          <w:p w:rsidR="00A35CA0" w:rsidRDefault="007D1ED7" w:rsidP="00CA5FBB">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radius</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proximal epiphysis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195</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7 (3.6%)</w:t>
            </w:r>
          </w:p>
        </w:tc>
      </w:tr>
      <w:tr w:rsidR="007D1ED7" w:rsidRPr="007726FD" w:rsidTr="00CA5FBB">
        <w:trPr>
          <w:cantSplit/>
          <w:trHeight w:hRule="exact" w:val="284"/>
          <w:jc w:val="center"/>
        </w:trPr>
        <w:tc>
          <w:tcPr>
            <w:tcW w:w="973" w:type="dxa"/>
            <w:vMerge/>
            <w:tcBorders>
              <w:bottom w:val="single" w:sz="4" w:space="0" w:color="auto"/>
            </w:tcBorders>
            <w:shd w:val="clear" w:color="000000" w:fill="FFFFFF"/>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distal epiphyses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194</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(2.1%)</w:t>
            </w:r>
          </w:p>
        </w:tc>
      </w:tr>
      <w:tr w:rsidR="007D1ED7" w:rsidRPr="007726FD" w:rsidTr="00CA5FBB">
        <w:trPr>
          <w:cantSplit/>
          <w:trHeight w:hRule="exact" w:val="284"/>
          <w:jc w:val="center"/>
        </w:trPr>
        <w:tc>
          <w:tcPr>
            <w:tcW w:w="973" w:type="dxa"/>
            <w:vMerge w:val="restart"/>
            <w:tcBorders>
              <w:top w:val="single" w:sz="4" w:space="0" w:color="auto"/>
            </w:tcBorders>
            <w:shd w:val="clear" w:color="000000" w:fill="FFFFFF"/>
            <w:noWrap/>
            <w:vAlign w:val="center"/>
            <w:hideMark/>
          </w:tcPr>
          <w:p w:rsidR="00A35CA0" w:rsidRDefault="007D1ED7" w:rsidP="00CA5FBB">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ulna</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proximal epiphysis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193</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5 (2.6%)</w:t>
            </w:r>
          </w:p>
        </w:tc>
      </w:tr>
      <w:tr w:rsidR="007D1ED7" w:rsidRPr="007726FD" w:rsidTr="00CA5FBB">
        <w:trPr>
          <w:cantSplit/>
          <w:trHeight w:hRule="exact" w:val="284"/>
          <w:jc w:val="center"/>
        </w:trPr>
        <w:tc>
          <w:tcPr>
            <w:tcW w:w="973" w:type="dxa"/>
            <w:vMerge/>
            <w:tcBorders>
              <w:bottom w:val="single" w:sz="4" w:space="0" w:color="auto"/>
            </w:tcBorders>
            <w:shd w:val="clear" w:color="000000" w:fill="FFFFFF"/>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distal epiphyses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195</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8 (4.1%)</w:t>
            </w:r>
          </w:p>
        </w:tc>
      </w:tr>
      <w:tr w:rsidR="007D1ED7" w:rsidRPr="007726FD" w:rsidTr="00CA5FBB">
        <w:trPr>
          <w:cantSplit/>
          <w:trHeight w:hRule="exact" w:val="284"/>
          <w:jc w:val="center"/>
        </w:trPr>
        <w:tc>
          <w:tcPr>
            <w:tcW w:w="973" w:type="dxa"/>
            <w:vMerge w:val="restart"/>
            <w:tcBorders>
              <w:top w:val="single" w:sz="4" w:space="0" w:color="auto"/>
            </w:tcBorders>
            <w:shd w:val="clear" w:color="000000" w:fill="FFFFFF"/>
            <w:noWrap/>
            <w:vAlign w:val="center"/>
            <w:hideMark/>
          </w:tcPr>
          <w:p w:rsidR="00EF7D90" w:rsidRDefault="007D1ED7">
            <w:pPr>
              <w:spacing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hand</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distal phalangeal epiphyses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64</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 (1.6%)</w:t>
            </w:r>
          </w:p>
        </w:tc>
      </w:tr>
      <w:tr w:rsidR="007D1ED7" w:rsidRPr="007726FD" w:rsidTr="00CA5FBB">
        <w:trPr>
          <w:cantSplit/>
          <w:trHeight w:hRule="exact" w:val="284"/>
          <w:jc w:val="center"/>
        </w:trPr>
        <w:tc>
          <w:tcPr>
            <w:tcW w:w="973" w:type="dxa"/>
            <w:vMerge/>
            <w:shd w:val="clear" w:color="000000" w:fill="FFFFFF"/>
            <w:noWrap/>
            <w:vAlign w:val="center"/>
            <w:hideMark/>
          </w:tcPr>
          <w:p w:rsidR="00EF7D90" w:rsidRDefault="00EF7D90">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base of metacarpal 1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139</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2 (1.4%)</w:t>
            </w:r>
          </w:p>
        </w:tc>
      </w:tr>
      <w:tr w:rsidR="007D1ED7" w:rsidRPr="007726FD" w:rsidTr="00CA5FBB">
        <w:trPr>
          <w:cantSplit/>
          <w:trHeight w:hRule="exact" w:val="284"/>
          <w:jc w:val="center"/>
        </w:trPr>
        <w:tc>
          <w:tcPr>
            <w:tcW w:w="973" w:type="dxa"/>
            <w:vMerge/>
            <w:shd w:val="clear" w:color="000000" w:fill="FFFFFF"/>
            <w:noWrap/>
            <w:vAlign w:val="center"/>
            <w:hideMark/>
          </w:tcPr>
          <w:p w:rsidR="00EF7D90" w:rsidRDefault="00EF7D90">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proximal and middle phalangeal epiphysis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163</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 (0.6%)</w:t>
            </w:r>
          </w:p>
        </w:tc>
      </w:tr>
      <w:tr w:rsidR="007D1ED7" w:rsidRPr="007726FD" w:rsidTr="00CA5FBB">
        <w:trPr>
          <w:cantSplit/>
          <w:trHeight w:hRule="exact" w:val="284"/>
          <w:jc w:val="center"/>
        </w:trPr>
        <w:tc>
          <w:tcPr>
            <w:tcW w:w="973" w:type="dxa"/>
            <w:vMerge/>
            <w:tcBorders>
              <w:bottom w:val="single" w:sz="4" w:space="0" w:color="auto"/>
            </w:tcBorders>
            <w:shd w:val="clear" w:color="000000" w:fill="FFFFFF"/>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heads of metacarpals 2-5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181</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0 (0</w:t>
            </w:r>
            <w:r w:rsidR="002A2FC4">
              <w:rPr>
                <w:rFonts w:eastAsia="Times New Roman"/>
                <w:color w:val="000000" w:themeColor="text1"/>
                <w:lang w:val="en-GB" w:eastAsia="en-GB"/>
              </w:rPr>
              <w:t>.0</w:t>
            </w:r>
            <w:r w:rsidRPr="007726FD">
              <w:rPr>
                <w:rFonts w:eastAsia="Times New Roman"/>
                <w:color w:val="000000" w:themeColor="text1"/>
                <w:lang w:val="en-GB" w:eastAsia="en-GB"/>
              </w:rPr>
              <w:t>%)</w:t>
            </w:r>
          </w:p>
        </w:tc>
      </w:tr>
      <w:tr w:rsidR="007D1ED7" w:rsidRPr="007726FD" w:rsidTr="00CA5FBB">
        <w:trPr>
          <w:cantSplit/>
          <w:trHeight w:hRule="exact" w:val="284"/>
          <w:jc w:val="center"/>
        </w:trPr>
        <w:tc>
          <w:tcPr>
            <w:tcW w:w="973" w:type="dxa"/>
            <w:vMerge w:val="restart"/>
            <w:tcBorders>
              <w:top w:val="single" w:sz="4" w:space="0" w:color="auto"/>
            </w:tcBorders>
            <w:shd w:val="clear" w:color="auto" w:fill="auto"/>
            <w:noWrap/>
            <w:vAlign w:val="center"/>
            <w:hideMark/>
          </w:tcPr>
          <w:p w:rsidR="00EF7D90" w:rsidRDefault="007D1ED7">
            <w:pPr>
              <w:spacing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femur</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femoral head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191</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(2.1%)</w:t>
            </w:r>
          </w:p>
        </w:tc>
      </w:tr>
      <w:tr w:rsidR="007D1ED7" w:rsidRPr="007726FD" w:rsidTr="00CA5FBB">
        <w:trPr>
          <w:cantSplit/>
          <w:trHeight w:hRule="exact" w:val="284"/>
          <w:jc w:val="center"/>
        </w:trPr>
        <w:tc>
          <w:tcPr>
            <w:tcW w:w="973" w:type="dxa"/>
            <w:vMerge/>
            <w:shd w:val="clear" w:color="auto" w:fill="auto"/>
            <w:noWrap/>
            <w:vAlign w:val="center"/>
            <w:hideMark/>
          </w:tcPr>
          <w:p w:rsidR="00EF7D90" w:rsidRDefault="00EF7D90">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greater trochanter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191</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3 (1.6%)</w:t>
            </w:r>
          </w:p>
        </w:tc>
      </w:tr>
      <w:tr w:rsidR="007D1ED7" w:rsidRPr="007726FD" w:rsidTr="00CA5FBB">
        <w:trPr>
          <w:cantSplit/>
          <w:trHeight w:hRule="exact" w:val="284"/>
          <w:jc w:val="center"/>
        </w:trPr>
        <w:tc>
          <w:tcPr>
            <w:tcW w:w="973" w:type="dxa"/>
            <w:vMerge/>
            <w:shd w:val="clear" w:color="auto" w:fill="auto"/>
            <w:noWrap/>
            <w:vAlign w:val="center"/>
            <w:hideMark/>
          </w:tcPr>
          <w:p w:rsidR="00EF7D90" w:rsidRDefault="00EF7D90">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lesser trochanter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190</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3 (1.6%)</w:t>
            </w:r>
          </w:p>
        </w:tc>
      </w:tr>
      <w:tr w:rsidR="007D1ED7" w:rsidRPr="007726FD" w:rsidTr="00CA5FBB">
        <w:trPr>
          <w:cantSplit/>
          <w:trHeight w:hRule="exact" w:val="284"/>
          <w:jc w:val="center"/>
        </w:trPr>
        <w:tc>
          <w:tcPr>
            <w:tcW w:w="973" w:type="dxa"/>
            <w:vMerge/>
            <w:tcBorders>
              <w:bottom w:val="single" w:sz="4" w:space="0" w:color="auto"/>
            </w:tcBorders>
            <w:shd w:val="clear" w:color="auto" w:fill="auto"/>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distal epiphysis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189</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(2.1%)</w:t>
            </w:r>
          </w:p>
        </w:tc>
      </w:tr>
      <w:tr w:rsidR="007D1ED7" w:rsidRPr="007726FD" w:rsidTr="00CA5FBB">
        <w:trPr>
          <w:cantSplit/>
          <w:trHeight w:hRule="exact" w:val="284"/>
          <w:jc w:val="center"/>
        </w:trPr>
        <w:tc>
          <w:tcPr>
            <w:tcW w:w="973" w:type="dxa"/>
            <w:vMerge w:val="restart"/>
            <w:tcBorders>
              <w:top w:val="single" w:sz="4" w:space="0" w:color="auto"/>
            </w:tcBorders>
            <w:shd w:val="clear" w:color="auto" w:fill="auto"/>
            <w:noWrap/>
            <w:vAlign w:val="center"/>
            <w:hideMark/>
          </w:tcPr>
          <w:p w:rsidR="00A35CA0" w:rsidRDefault="007D1ED7" w:rsidP="00CA5FBB">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tibia</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proximal epiphysis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190</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2 (1.1%)</w:t>
            </w:r>
          </w:p>
        </w:tc>
      </w:tr>
      <w:tr w:rsidR="007D1ED7" w:rsidRPr="007726FD" w:rsidTr="00CA5FBB">
        <w:trPr>
          <w:cantSplit/>
          <w:trHeight w:hRule="exact" w:val="284"/>
          <w:jc w:val="center"/>
        </w:trPr>
        <w:tc>
          <w:tcPr>
            <w:tcW w:w="973" w:type="dxa"/>
            <w:vMerge/>
            <w:tcBorders>
              <w:bottom w:val="single" w:sz="4" w:space="0" w:color="auto"/>
            </w:tcBorders>
            <w:shd w:val="clear" w:color="auto" w:fill="auto"/>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distal epiphysis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190</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(2.1%)</w:t>
            </w:r>
          </w:p>
        </w:tc>
      </w:tr>
      <w:tr w:rsidR="007D1ED7" w:rsidRPr="007726FD" w:rsidTr="00CA5FBB">
        <w:trPr>
          <w:cantSplit/>
          <w:trHeight w:hRule="exact" w:val="284"/>
          <w:jc w:val="center"/>
        </w:trPr>
        <w:tc>
          <w:tcPr>
            <w:tcW w:w="973" w:type="dxa"/>
            <w:vMerge w:val="restart"/>
            <w:tcBorders>
              <w:top w:val="single" w:sz="4" w:space="0" w:color="auto"/>
            </w:tcBorders>
            <w:shd w:val="clear" w:color="auto" w:fill="auto"/>
            <w:noWrap/>
            <w:vAlign w:val="center"/>
            <w:hideMark/>
          </w:tcPr>
          <w:p w:rsidR="00A35CA0" w:rsidRDefault="007D1ED7" w:rsidP="00CA5FBB">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fibula</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proximal epiphysis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190</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6 (3.2</w:t>
            </w:r>
            <w:r w:rsidR="002A2FC4">
              <w:rPr>
                <w:rFonts w:eastAsia="Times New Roman"/>
                <w:color w:val="000000" w:themeColor="text1"/>
                <w:lang w:val="en-GB" w:eastAsia="en-GB"/>
              </w:rPr>
              <w:t>%</w:t>
            </w:r>
            <w:r w:rsidRPr="007726FD">
              <w:rPr>
                <w:rFonts w:eastAsia="Times New Roman"/>
                <w:color w:val="000000" w:themeColor="text1"/>
                <w:lang w:val="en-GB" w:eastAsia="en-GB"/>
              </w:rPr>
              <w:t>)</w:t>
            </w:r>
          </w:p>
        </w:tc>
      </w:tr>
      <w:tr w:rsidR="007D1ED7" w:rsidRPr="007726FD" w:rsidTr="00CA5FBB">
        <w:trPr>
          <w:cantSplit/>
          <w:trHeight w:hRule="exact" w:val="284"/>
          <w:jc w:val="center"/>
        </w:trPr>
        <w:tc>
          <w:tcPr>
            <w:tcW w:w="973" w:type="dxa"/>
            <w:vMerge/>
            <w:tcBorders>
              <w:bottom w:val="single" w:sz="4" w:space="0" w:color="auto"/>
            </w:tcBorders>
            <w:shd w:val="clear" w:color="auto" w:fill="auto"/>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distal epiphysis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189</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3 (1.6</w:t>
            </w:r>
            <w:r w:rsidR="002A2FC4">
              <w:rPr>
                <w:rFonts w:eastAsia="Times New Roman"/>
                <w:color w:val="000000" w:themeColor="text1"/>
                <w:lang w:val="en-GB" w:eastAsia="en-GB"/>
              </w:rPr>
              <w:t>%</w:t>
            </w:r>
            <w:r w:rsidRPr="007726FD">
              <w:rPr>
                <w:rFonts w:eastAsia="Times New Roman"/>
                <w:color w:val="000000" w:themeColor="text1"/>
                <w:lang w:val="en-GB" w:eastAsia="en-GB"/>
              </w:rPr>
              <w:t>)</w:t>
            </w:r>
          </w:p>
        </w:tc>
      </w:tr>
      <w:tr w:rsidR="007D1ED7" w:rsidRPr="007726FD" w:rsidTr="00CA5FBB">
        <w:trPr>
          <w:cantSplit/>
          <w:trHeight w:hRule="exact" w:val="284"/>
          <w:jc w:val="center"/>
        </w:trPr>
        <w:tc>
          <w:tcPr>
            <w:tcW w:w="973" w:type="dxa"/>
            <w:vMerge w:val="restart"/>
            <w:tcBorders>
              <w:top w:val="single" w:sz="4" w:space="0" w:color="auto"/>
            </w:tcBorders>
            <w:shd w:val="clear" w:color="auto" w:fill="auto"/>
            <w:noWrap/>
            <w:vAlign w:val="center"/>
            <w:hideMark/>
          </w:tcPr>
          <w:p w:rsidR="00EF7D90" w:rsidRDefault="007D1ED7">
            <w:pPr>
              <w:spacing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foot</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calcaneal epiphysis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171</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0 (0</w:t>
            </w:r>
            <w:r w:rsidR="002A2FC4">
              <w:rPr>
                <w:rFonts w:eastAsia="Times New Roman"/>
                <w:color w:val="000000" w:themeColor="text1"/>
                <w:lang w:val="en-GB" w:eastAsia="en-GB"/>
              </w:rPr>
              <w:t>.0</w:t>
            </w:r>
            <w:r w:rsidRPr="007726FD">
              <w:rPr>
                <w:rFonts w:eastAsia="Times New Roman"/>
                <w:color w:val="000000" w:themeColor="text1"/>
                <w:lang w:val="en-GB" w:eastAsia="en-GB"/>
              </w:rPr>
              <w:t>%)</w:t>
            </w:r>
          </w:p>
        </w:tc>
      </w:tr>
      <w:tr w:rsidR="007D1ED7" w:rsidRPr="007726FD" w:rsidTr="00CA5FBB">
        <w:trPr>
          <w:cantSplit/>
          <w:trHeight w:hRule="exact" w:val="284"/>
          <w:jc w:val="center"/>
        </w:trPr>
        <w:tc>
          <w:tcPr>
            <w:tcW w:w="973" w:type="dxa"/>
            <w:vMerge/>
            <w:shd w:val="clear" w:color="auto" w:fill="auto"/>
            <w:noWrap/>
            <w:vAlign w:val="center"/>
            <w:hideMark/>
          </w:tcPr>
          <w:p w:rsidR="00EF7D90" w:rsidRDefault="00EF7D90">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talar epiphysis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170</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 (0.6%)</w:t>
            </w:r>
          </w:p>
        </w:tc>
      </w:tr>
      <w:tr w:rsidR="007D1ED7" w:rsidRPr="007726FD" w:rsidTr="00CA5FBB">
        <w:trPr>
          <w:cantSplit/>
          <w:trHeight w:hRule="exact" w:val="284"/>
          <w:jc w:val="center"/>
        </w:trPr>
        <w:tc>
          <w:tcPr>
            <w:tcW w:w="973" w:type="dxa"/>
            <w:vMerge/>
            <w:shd w:val="clear" w:color="auto" w:fill="auto"/>
            <w:noWrap/>
            <w:vAlign w:val="center"/>
            <w:hideMark/>
          </w:tcPr>
          <w:p w:rsidR="00EF7D90" w:rsidRDefault="00EF7D90">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 xml:space="preserve">distal phalanges, middle phalanges, </w:t>
            </w:r>
          </w:p>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metatarsal heads 2-5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170</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7 (4.1%)</w:t>
            </w:r>
          </w:p>
        </w:tc>
      </w:tr>
      <w:tr w:rsidR="007D1ED7" w:rsidRPr="007726FD" w:rsidTr="00CA5FBB">
        <w:trPr>
          <w:cantSplit/>
          <w:trHeight w:hRule="exact" w:val="284"/>
          <w:jc w:val="center"/>
        </w:trPr>
        <w:tc>
          <w:tcPr>
            <w:tcW w:w="973" w:type="dxa"/>
            <w:vMerge/>
            <w:tcBorders>
              <w:bottom w:val="single" w:sz="4" w:space="0" w:color="auto"/>
            </w:tcBorders>
            <w:shd w:val="clear" w:color="auto" w:fill="auto"/>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proximal phalanges and base of metatarsal 1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166</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(2.4%)</w:t>
            </w:r>
          </w:p>
        </w:tc>
      </w:tr>
      <w:tr w:rsidR="007D1ED7" w:rsidRPr="007726FD" w:rsidTr="00CA5FBB">
        <w:trPr>
          <w:cantSplit/>
          <w:trHeight w:hRule="exact" w:val="284"/>
          <w:jc w:val="center"/>
        </w:trPr>
        <w:tc>
          <w:tcPr>
            <w:tcW w:w="973" w:type="dxa"/>
            <w:vMerge w:val="restart"/>
            <w:tcBorders>
              <w:top w:val="single" w:sz="4" w:space="0" w:color="auto"/>
            </w:tcBorders>
            <w:shd w:val="clear" w:color="auto" w:fill="auto"/>
            <w:noWrap/>
            <w:vAlign w:val="center"/>
            <w:hideMark/>
          </w:tcPr>
          <w:p w:rsidR="00EF7D90" w:rsidRDefault="007D1ED7">
            <w:pPr>
              <w:spacing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pelvis</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triradiate epiphysis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210</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5 (2.4%)</w:t>
            </w:r>
          </w:p>
        </w:tc>
      </w:tr>
      <w:tr w:rsidR="007D1ED7" w:rsidRPr="007726FD" w:rsidTr="00CA5FBB">
        <w:trPr>
          <w:cantSplit/>
          <w:trHeight w:hRule="exact" w:val="284"/>
          <w:jc w:val="center"/>
        </w:trPr>
        <w:tc>
          <w:tcPr>
            <w:tcW w:w="973" w:type="dxa"/>
            <w:vMerge/>
            <w:shd w:val="clear" w:color="auto" w:fill="auto"/>
            <w:noWrap/>
            <w:vAlign w:val="center"/>
            <w:hideMark/>
          </w:tcPr>
          <w:p w:rsidR="00EF7D90" w:rsidRDefault="00EF7D90">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anterior inferior iliac spine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206</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0 (0</w:t>
            </w:r>
            <w:r w:rsidR="002A2FC4">
              <w:rPr>
                <w:rFonts w:eastAsia="Times New Roman"/>
                <w:color w:val="000000" w:themeColor="text1"/>
                <w:lang w:val="en-GB" w:eastAsia="en-GB"/>
              </w:rPr>
              <w:t>.0</w:t>
            </w:r>
            <w:r w:rsidRPr="007726FD">
              <w:rPr>
                <w:rFonts w:eastAsia="Times New Roman"/>
                <w:color w:val="000000" w:themeColor="text1"/>
                <w:lang w:val="en-GB" w:eastAsia="en-GB"/>
              </w:rPr>
              <w:t>%)</w:t>
            </w:r>
          </w:p>
        </w:tc>
      </w:tr>
      <w:tr w:rsidR="007D1ED7" w:rsidRPr="007726FD" w:rsidTr="00CA5FBB">
        <w:trPr>
          <w:cantSplit/>
          <w:trHeight w:hRule="exact" w:val="284"/>
          <w:jc w:val="center"/>
        </w:trPr>
        <w:tc>
          <w:tcPr>
            <w:tcW w:w="973" w:type="dxa"/>
            <w:vMerge/>
            <w:shd w:val="clear" w:color="auto" w:fill="auto"/>
            <w:noWrap/>
            <w:vAlign w:val="center"/>
            <w:hideMark/>
          </w:tcPr>
          <w:p w:rsidR="00EF7D90" w:rsidRDefault="00EF7D90">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iliac crest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202</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(2.0%)</w:t>
            </w:r>
          </w:p>
        </w:tc>
      </w:tr>
      <w:tr w:rsidR="007D1ED7" w:rsidRPr="007726FD" w:rsidTr="00CA5FBB">
        <w:trPr>
          <w:cantSplit/>
          <w:trHeight w:hRule="exact" w:val="284"/>
          <w:jc w:val="center"/>
        </w:trPr>
        <w:tc>
          <w:tcPr>
            <w:tcW w:w="973" w:type="dxa"/>
            <w:vMerge/>
            <w:tcBorders>
              <w:bottom w:val="single" w:sz="4" w:space="0" w:color="auto"/>
            </w:tcBorders>
            <w:shd w:val="clear" w:color="auto" w:fill="auto"/>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ischial epiphysis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206</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5 (2.4%)</w:t>
            </w:r>
          </w:p>
        </w:tc>
      </w:tr>
      <w:tr w:rsidR="007D1ED7" w:rsidRPr="007726FD" w:rsidTr="00CA5FBB">
        <w:trPr>
          <w:cantSplit/>
          <w:trHeight w:hRule="exact" w:val="284"/>
          <w:jc w:val="center"/>
        </w:trPr>
        <w:tc>
          <w:tcPr>
            <w:tcW w:w="973" w:type="dxa"/>
            <w:vMerge w:val="restart"/>
            <w:tcBorders>
              <w:top w:val="single" w:sz="4" w:space="0" w:color="auto"/>
            </w:tcBorders>
            <w:shd w:val="clear" w:color="auto" w:fill="auto"/>
            <w:noWrap/>
            <w:vAlign w:val="center"/>
            <w:hideMark/>
          </w:tcPr>
          <w:p w:rsidR="00A35CA0" w:rsidRDefault="007D1ED7" w:rsidP="00CA5FBB">
            <w:pPr>
              <w:spacing w:before="0" w:line="240" w:lineRule="auto"/>
              <w:jc w:val="center"/>
              <w:rPr>
                <w:rFonts w:eastAsia="Times New Roman"/>
                <w:color w:val="000000" w:themeColor="text1"/>
                <w:lang w:val="en-GB" w:eastAsia="en-GB"/>
              </w:rPr>
            </w:pPr>
            <w:r>
              <w:rPr>
                <w:rFonts w:eastAsia="Times New Roman"/>
                <w:color w:val="000000" w:themeColor="text1"/>
                <w:lang w:val="en-GB" w:eastAsia="en-GB"/>
              </w:rPr>
              <w:t>c</w:t>
            </w:r>
            <w:r w:rsidRPr="007726FD">
              <w:rPr>
                <w:rFonts w:eastAsia="Times New Roman"/>
                <w:color w:val="000000" w:themeColor="text1"/>
                <w:lang w:val="en-GB" w:eastAsia="en-GB"/>
              </w:rPr>
              <w:t>lavicle</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medial epiphysis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180</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3 (1.7%)</w:t>
            </w:r>
          </w:p>
        </w:tc>
      </w:tr>
      <w:tr w:rsidR="007D1ED7" w:rsidRPr="007726FD" w:rsidTr="00CA5FBB">
        <w:trPr>
          <w:cantSplit/>
          <w:trHeight w:hRule="exact" w:val="284"/>
          <w:jc w:val="center"/>
        </w:trPr>
        <w:tc>
          <w:tcPr>
            <w:tcW w:w="973" w:type="dxa"/>
            <w:vMerge/>
            <w:tcBorders>
              <w:bottom w:val="single" w:sz="4" w:space="0" w:color="auto"/>
            </w:tcBorders>
            <w:shd w:val="clear" w:color="auto" w:fill="auto"/>
            <w:noWrap/>
            <w:vAlign w:val="center"/>
            <w:hideMark/>
          </w:tcPr>
          <w:p w:rsidR="00EF7D90" w:rsidRDefault="00EF7D90">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lateral epiphysis fusion</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170</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0 (0</w:t>
            </w:r>
            <w:r w:rsidR="002A2FC4">
              <w:rPr>
                <w:rFonts w:eastAsia="Times New Roman"/>
                <w:color w:val="000000" w:themeColor="text1"/>
                <w:lang w:val="en-GB" w:eastAsia="en-GB"/>
              </w:rPr>
              <w:t>.0</w:t>
            </w:r>
            <w:r w:rsidRPr="007726FD">
              <w:rPr>
                <w:rFonts w:eastAsia="Times New Roman"/>
                <w:color w:val="000000" w:themeColor="text1"/>
                <w:lang w:val="en-GB" w:eastAsia="en-GB"/>
              </w:rPr>
              <w:t>%)</w:t>
            </w:r>
          </w:p>
        </w:tc>
      </w:tr>
      <w:tr w:rsidR="007D1ED7" w:rsidRPr="007726FD" w:rsidTr="00CA5FBB">
        <w:trPr>
          <w:cantSplit/>
          <w:trHeight w:hRule="exact" w:val="284"/>
          <w:jc w:val="center"/>
        </w:trPr>
        <w:tc>
          <w:tcPr>
            <w:tcW w:w="973" w:type="dxa"/>
            <w:vMerge w:val="restart"/>
            <w:tcBorders>
              <w:top w:val="single" w:sz="4" w:space="0" w:color="auto"/>
            </w:tcBorders>
            <w:shd w:val="clear" w:color="auto" w:fill="auto"/>
            <w:noWrap/>
            <w:vAlign w:val="center"/>
            <w:hideMark/>
          </w:tcPr>
          <w:p w:rsidR="00EF7D90" w:rsidRDefault="007D1ED7">
            <w:pPr>
              <w:spacing w:line="240" w:lineRule="auto"/>
              <w:jc w:val="center"/>
              <w:rPr>
                <w:rFonts w:eastAsia="Times New Roman"/>
                <w:color w:val="000000" w:themeColor="text1"/>
                <w:lang w:val="en-GB" w:eastAsia="en-GB"/>
              </w:rPr>
            </w:pPr>
            <w:r>
              <w:rPr>
                <w:rFonts w:eastAsia="Times New Roman"/>
                <w:color w:val="000000" w:themeColor="text1"/>
                <w:lang w:val="en-GB" w:eastAsia="en-GB"/>
              </w:rPr>
              <w:t>s</w:t>
            </w:r>
            <w:r w:rsidRPr="007726FD">
              <w:rPr>
                <w:rFonts w:eastAsia="Times New Roman"/>
                <w:color w:val="000000" w:themeColor="text1"/>
                <w:lang w:val="en-GB" w:eastAsia="en-GB"/>
              </w:rPr>
              <w:t>capula</w:t>
            </w:r>
          </w:p>
        </w:tc>
        <w:tc>
          <w:tcPr>
            <w:tcW w:w="4886" w:type="dxa"/>
            <w:tcBorders>
              <w:top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coracoid process fusion</w:t>
            </w:r>
          </w:p>
        </w:tc>
        <w:tc>
          <w:tcPr>
            <w:tcW w:w="1704" w:type="dxa"/>
            <w:tcBorders>
              <w:top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195</w:t>
            </w:r>
          </w:p>
        </w:tc>
        <w:tc>
          <w:tcPr>
            <w:tcW w:w="1374" w:type="dxa"/>
            <w:tcBorders>
              <w:top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8 (4.1%)</w:t>
            </w:r>
          </w:p>
        </w:tc>
      </w:tr>
      <w:tr w:rsidR="007D1ED7" w:rsidRPr="007726FD" w:rsidTr="00CA5FBB">
        <w:trPr>
          <w:cantSplit/>
          <w:trHeight w:hRule="exact" w:val="284"/>
          <w:jc w:val="center"/>
        </w:trPr>
        <w:tc>
          <w:tcPr>
            <w:tcW w:w="973" w:type="dxa"/>
            <w:vMerge/>
            <w:shd w:val="clear" w:color="auto" w:fill="auto"/>
            <w:noWrap/>
            <w:vAlign w:val="center"/>
            <w:hideMark/>
          </w:tcPr>
          <w:p w:rsidR="007D1ED7" w:rsidRPr="007726FD" w:rsidRDefault="007D1ED7" w:rsidP="00E379D8">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sub-coracoid centre and glenoid epiphysis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193</w:t>
            </w:r>
          </w:p>
        </w:tc>
        <w:tc>
          <w:tcPr>
            <w:tcW w:w="137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(2.1%)</w:t>
            </w:r>
          </w:p>
        </w:tc>
      </w:tr>
      <w:tr w:rsidR="007D1ED7" w:rsidRPr="007726FD" w:rsidTr="00CA5FBB">
        <w:trPr>
          <w:cantSplit/>
          <w:trHeight w:hRule="exact" w:val="284"/>
          <w:jc w:val="center"/>
        </w:trPr>
        <w:tc>
          <w:tcPr>
            <w:tcW w:w="973" w:type="dxa"/>
            <w:vMerge/>
            <w:shd w:val="clear" w:color="auto" w:fill="auto"/>
            <w:noWrap/>
            <w:vAlign w:val="center"/>
            <w:hideMark/>
          </w:tcPr>
          <w:p w:rsidR="007D1ED7" w:rsidRPr="007726FD" w:rsidRDefault="007D1ED7" w:rsidP="00E379D8">
            <w:pPr>
              <w:spacing w:line="240" w:lineRule="auto"/>
              <w:jc w:val="center"/>
              <w:rPr>
                <w:rFonts w:eastAsia="Times New Roman"/>
                <w:color w:val="000000" w:themeColor="text1"/>
                <w:lang w:val="en-GB" w:eastAsia="en-GB"/>
              </w:rPr>
            </w:pPr>
          </w:p>
        </w:tc>
        <w:tc>
          <w:tcPr>
            <w:tcW w:w="4886" w:type="dxa"/>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acromial epiphysis fusion</w:t>
            </w:r>
          </w:p>
        </w:tc>
        <w:tc>
          <w:tcPr>
            <w:tcW w:w="1704" w:type="dxa"/>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190</w:t>
            </w:r>
          </w:p>
        </w:tc>
        <w:tc>
          <w:tcPr>
            <w:tcW w:w="1374" w:type="dxa"/>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(2.1%)</w:t>
            </w:r>
          </w:p>
        </w:tc>
      </w:tr>
      <w:tr w:rsidR="007D1ED7" w:rsidRPr="007726FD" w:rsidTr="00CA5FBB">
        <w:trPr>
          <w:cantSplit/>
          <w:trHeight w:hRule="exact" w:val="284"/>
          <w:jc w:val="center"/>
        </w:trPr>
        <w:tc>
          <w:tcPr>
            <w:tcW w:w="973" w:type="dxa"/>
            <w:vMerge/>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p>
        </w:tc>
        <w:tc>
          <w:tcPr>
            <w:tcW w:w="4886" w:type="dxa"/>
            <w:tcBorders>
              <w:bottom w:val="single" w:sz="4" w:space="0" w:color="auto"/>
            </w:tcBorders>
            <w:shd w:val="clear" w:color="000000" w:fill="FFFFFF"/>
            <w:noWrap/>
            <w:vAlign w:val="center"/>
            <w:hideMark/>
          </w:tcPr>
          <w:p w:rsidR="007D1ED7" w:rsidRPr="007726FD" w:rsidRDefault="007D1ED7" w:rsidP="00E379D8">
            <w:pPr>
              <w:spacing w:before="0" w:line="240" w:lineRule="auto"/>
              <w:rPr>
                <w:rFonts w:eastAsia="Times New Roman"/>
                <w:color w:val="000000" w:themeColor="text1"/>
                <w:lang w:val="en-GB" w:eastAsia="en-GB"/>
              </w:rPr>
            </w:pPr>
            <w:r w:rsidRPr="007726FD">
              <w:rPr>
                <w:rFonts w:eastAsia="Times New Roman"/>
                <w:color w:val="000000" w:themeColor="text1"/>
                <w:lang w:val="en-GB" w:eastAsia="en-GB"/>
              </w:rPr>
              <w:t>medial border</w:t>
            </w:r>
          </w:p>
        </w:tc>
        <w:tc>
          <w:tcPr>
            <w:tcW w:w="1704" w:type="dxa"/>
            <w:tcBorders>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190</w:t>
            </w:r>
          </w:p>
        </w:tc>
        <w:tc>
          <w:tcPr>
            <w:tcW w:w="1374" w:type="dxa"/>
            <w:tcBorders>
              <w:bottom w:val="single" w:sz="4" w:space="0" w:color="auto"/>
            </w:tcBorders>
            <w:shd w:val="clear" w:color="000000" w:fill="FFFFFF"/>
            <w:noWrap/>
            <w:vAlign w:val="center"/>
            <w:hideMark/>
          </w:tcPr>
          <w:p w:rsidR="007D1ED7" w:rsidRPr="007726FD" w:rsidRDefault="007D1ED7" w:rsidP="00E379D8">
            <w:pPr>
              <w:spacing w:before="0" w:line="240" w:lineRule="auto"/>
              <w:jc w:val="center"/>
              <w:rPr>
                <w:rFonts w:eastAsia="Times New Roman"/>
                <w:color w:val="000000" w:themeColor="text1"/>
                <w:lang w:val="en-GB" w:eastAsia="en-GB"/>
              </w:rPr>
            </w:pPr>
            <w:r w:rsidRPr="007726FD">
              <w:rPr>
                <w:rFonts w:eastAsia="Times New Roman"/>
                <w:color w:val="000000" w:themeColor="text1"/>
                <w:lang w:val="en-GB" w:eastAsia="en-GB"/>
              </w:rPr>
              <w:t>4 (2.1%)</w:t>
            </w:r>
          </w:p>
        </w:tc>
      </w:tr>
      <w:tr w:rsidR="007D1ED7" w:rsidRPr="007726FD" w:rsidTr="00CA5FBB">
        <w:trPr>
          <w:cantSplit/>
          <w:trHeight w:hRule="exact" w:val="284"/>
          <w:jc w:val="center"/>
        </w:trPr>
        <w:tc>
          <w:tcPr>
            <w:tcW w:w="5859" w:type="dxa"/>
            <w:gridSpan w:val="2"/>
            <w:tcBorders>
              <w:top w:val="single" w:sz="4" w:space="0" w:color="auto"/>
              <w:bottom w:val="single" w:sz="4" w:space="0" w:color="auto"/>
            </w:tcBorders>
            <w:shd w:val="clear" w:color="auto" w:fill="auto"/>
            <w:noWrap/>
            <w:vAlign w:val="bottom"/>
            <w:hideMark/>
          </w:tcPr>
          <w:p w:rsidR="007D1ED7" w:rsidRPr="007726FD" w:rsidRDefault="007D1ED7" w:rsidP="00E379D8">
            <w:pPr>
              <w:spacing w:before="0" w:line="240" w:lineRule="auto"/>
              <w:rPr>
                <w:rFonts w:eastAsia="Times New Roman"/>
                <w:bCs/>
                <w:color w:val="000000" w:themeColor="text1"/>
                <w:lang w:val="en-GB" w:eastAsia="en-GB"/>
              </w:rPr>
            </w:pPr>
            <w:r w:rsidRPr="007726FD">
              <w:rPr>
                <w:rFonts w:eastAsia="Times New Roman"/>
                <w:bCs/>
                <w:color w:val="000000" w:themeColor="text1"/>
                <w:lang w:val="en-GB" w:eastAsia="en-GB"/>
              </w:rPr>
              <w:t>mean values</w:t>
            </w:r>
          </w:p>
        </w:tc>
        <w:tc>
          <w:tcPr>
            <w:tcW w:w="1704" w:type="dxa"/>
            <w:tcBorders>
              <w:top w:val="single" w:sz="4" w:space="0" w:color="auto"/>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bCs/>
                <w:color w:val="000000" w:themeColor="text1"/>
                <w:lang w:val="en-GB" w:eastAsia="en-GB"/>
              </w:rPr>
            </w:pPr>
            <w:r w:rsidRPr="007726FD">
              <w:rPr>
                <w:rFonts w:eastAsia="Times New Roman"/>
                <w:bCs/>
                <w:color w:val="000000" w:themeColor="text1"/>
                <w:lang w:val="en-GB" w:eastAsia="en-GB"/>
              </w:rPr>
              <w:t>183.5</w:t>
            </w:r>
          </w:p>
        </w:tc>
        <w:tc>
          <w:tcPr>
            <w:tcW w:w="1374" w:type="dxa"/>
            <w:tcBorders>
              <w:top w:val="single" w:sz="4" w:space="0" w:color="auto"/>
              <w:bottom w:val="single" w:sz="4" w:space="0" w:color="auto"/>
            </w:tcBorders>
            <w:shd w:val="clear" w:color="auto" w:fill="auto"/>
            <w:noWrap/>
            <w:vAlign w:val="center"/>
            <w:hideMark/>
          </w:tcPr>
          <w:p w:rsidR="007D1ED7" w:rsidRPr="007726FD" w:rsidRDefault="007D1ED7" w:rsidP="00E379D8">
            <w:pPr>
              <w:spacing w:before="0" w:line="240" w:lineRule="auto"/>
              <w:jc w:val="center"/>
              <w:rPr>
                <w:rFonts w:eastAsia="Times New Roman"/>
                <w:bCs/>
                <w:color w:val="000000" w:themeColor="text1"/>
                <w:lang w:val="en-GB" w:eastAsia="en-GB"/>
              </w:rPr>
            </w:pPr>
            <w:r w:rsidRPr="007726FD">
              <w:rPr>
                <w:rFonts w:eastAsia="Times New Roman"/>
                <w:bCs/>
                <w:color w:val="000000" w:themeColor="text1"/>
                <w:lang w:val="en-GB" w:eastAsia="en-GB"/>
              </w:rPr>
              <w:t>3.6 (1.9%)</w:t>
            </w:r>
          </w:p>
        </w:tc>
      </w:tr>
    </w:tbl>
    <w:p w:rsidR="00A35CA0" w:rsidRDefault="00E379D8" w:rsidP="00CA5FBB">
      <w:pPr>
        <w:pStyle w:val="ListParagraph"/>
        <w:numPr>
          <w:ilvl w:val="0"/>
          <w:numId w:val="16"/>
        </w:numPr>
        <w:tabs>
          <w:tab w:val="left" w:pos="360"/>
        </w:tabs>
        <w:spacing w:before="120" w:line="240" w:lineRule="auto"/>
        <w:ind w:left="284" w:hanging="284"/>
        <w:rPr>
          <w:noProof/>
          <w:color w:val="000000" w:themeColor="text1"/>
          <w:sz w:val="20"/>
          <w:szCs w:val="20"/>
        </w:rPr>
      </w:pPr>
      <w:r w:rsidRPr="007726FD">
        <w:rPr>
          <w:noProof/>
          <w:color w:val="000000" w:themeColor="text1"/>
          <w:sz w:val="20"/>
          <w:szCs w:val="20"/>
        </w:rPr>
        <w:t xml:space="preserve">The number with a difference between sides refers to the number of individuals with bilateral asymmetry of epiphyseal union, regardless of </w:t>
      </w:r>
      <w:r w:rsidR="00250EDF">
        <w:rPr>
          <w:noProof/>
          <w:color w:val="000000" w:themeColor="text1"/>
          <w:sz w:val="20"/>
          <w:szCs w:val="20"/>
        </w:rPr>
        <w:t xml:space="preserve">the </w:t>
      </w:r>
      <w:r w:rsidRPr="007726FD">
        <w:rPr>
          <w:noProof/>
          <w:color w:val="000000" w:themeColor="text1"/>
          <w:sz w:val="20"/>
          <w:szCs w:val="20"/>
        </w:rPr>
        <w:t>magnitude</w:t>
      </w:r>
      <w:r w:rsidR="00250EDF">
        <w:rPr>
          <w:noProof/>
          <w:color w:val="000000" w:themeColor="text1"/>
          <w:sz w:val="20"/>
          <w:szCs w:val="20"/>
        </w:rPr>
        <w:t xml:space="preserve"> of difference</w:t>
      </w:r>
      <w:r w:rsidRPr="007726FD">
        <w:rPr>
          <w:noProof/>
          <w:color w:val="000000" w:themeColor="text1"/>
          <w:sz w:val="20"/>
          <w:szCs w:val="20"/>
        </w:rPr>
        <w:t>.  The percentage in brackets is this value as a percentage of the total number of bilateral measurements in the adjacent column.</w:t>
      </w:r>
    </w:p>
    <w:p w:rsidR="00CB170C" w:rsidRDefault="00CB170C">
      <w:pPr>
        <w:spacing w:before="0" w:after="200" w:line="276" w:lineRule="auto"/>
        <w:jc w:val="left"/>
        <w:rPr>
          <w:noProof/>
        </w:rPr>
      </w:pPr>
      <w:r>
        <w:rPr>
          <w:noProof/>
        </w:rPr>
        <w:br w:type="page"/>
      </w:r>
    </w:p>
    <w:p w:rsidR="00361913" w:rsidRDefault="00361913" w:rsidP="002D0C88">
      <w:pPr>
        <w:rPr>
          <w:noProof/>
        </w:rPr>
      </w:pPr>
      <w:r>
        <w:rPr>
          <w:noProof/>
        </w:rPr>
        <w:lastRenderedPageBreak/>
        <w:t>When considering the net number of deviations by individual for the entire data set, the highest number came from a</w:t>
      </w:r>
      <w:r w:rsidR="008C1FB7">
        <w:rPr>
          <w:noProof/>
        </w:rPr>
        <w:t xml:space="preserve"> single</w:t>
      </w:r>
      <w:r>
        <w:rPr>
          <w:noProof/>
        </w:rPr>
        <w:t xml:space="preserve"> individual with 6 asymmetries.  </w:t>
      </w:r>
      <w:r w:rsidR="00CC44EB">
        <w:rPr>
          <w:noProof/>
        </w:rPr>
        <w:t>It was noted that there were difficulties in measuring this individual d</w:t>
      </w:r>
      <w:r>
        <w:rPr>
          <w:noProof/>
        </w:rPr>
        <w:t>ue to gluing of epiphyses and this may have been a source of ambiguity</w:t>
      </w:r>
      <w:r w:rsidR="00FA6343">
        <w:rPr>
          <w:noProof/>
        </w:rPr>
        <w:t xml:space="preserve"> for measurement</w:t>
      </w:r>
      <w:r w:rsidRPr="00ED1CCD">
        <w:rPr>
          <w:noProof/>
        </w:rPr>
        <w:t>.</w:t>
      </w:r>
      <w:r w:rsidR="00483827">
        <w:rPr>
          <w:noProof/>
        </w:rPr>
        <w:t xml:space="preserve">  This individuals was not an extreme outlier and data from this individual was analysed.</w:t>
      </w:r>
      <w:r>
        <w:rPr>
          <w:noProof/>
        </w:rPr>
        <w:t xml:space="preserve">  The remainder of individuals with asymmetric epiphyses ranged from having 1 to 4 deviations with a mean value of 1.68.  Even if these values were considered as a percentage of data entries present for each individual, the numbers </w:t>
      </w:r>
      <w:r w:rsidR="00061DF0">
        <w:rPr>
          <w:noProof/>
        </w:rPr>
        <w:t>were</w:t>
      </w:r>
      <w:r>
        <w:rPr>
          <w:noProof/>
        </w:rPr>
        <w:t xml:space="preserve"> not large enough for any difference from randomness to be found.</w:t>
      </w:r>
    </w:p>
    <w:p w:rsidR="00361913" w:rsidRPr="002D0C88" w:rsidRDefault="00660036" w:rsidP="002D0C88">
      <w:pPr>
        <w:rPr>
          <w:b/>
          <w:noProof/>
          <w:color w:val="000000" w:themeColor="text1"/>
        </w:rPr>
      </w:pPr>
      <w:r w:rsidRPr="002D0C88">
        <w:rPr>
          <w:noProof/>
          <w:color w:val="000000" w:themeColor="text1"/>
        </w:rPr>
        <w:t>It is therefore possible to conclude that asymmetry of epiphyseal fusion in this data set is the result of very small amounts of variation caused either by measurement error or minor biological variation.  D</w:t>
      </w:r>
      <w:r w:rsidR="00361913" w:rsidRPr="002D0C88">
        <w:rPr>
          <w:noProof/>
          <w:color w:val="000000" w:themeColor="text1"/>
        </w:rPr>
        <w:t>ifferences between sides d</w:t>
      </w:r>
      <w:r w:rsidR="00D350CF">
        <w:rPr>
          <w:noProof/>
          <w:color w:val="000000" w:themeColor="text1"/>
        </w:rPr>
        <w:t>id</w:t>
      </w:r>
      <w:r w:rsidR="00361913" w:rsidRPr="002D0C88">
        <w:rPr>
          <w:noProof/>
          <w:color w:val="000000" w:themeColor="text1"/>
        </w:rPr>
        <w:t xml:space="preserve"> not concentrate within specific individuals which were either identified as potentially being pathological or otherwise.</w:t>
      </w:r>
    </w:p>
    <w:p w:rsidR="00361913" w:rsidRDefault="00171411" w:rsidP="002D0C88">
      <w:pPr>
        <w:rPr>
          <w:noProof/>
        </w:rPr>
      </w:pPr>
      <w:r>
        <w:rPr>
          <w:noProof/>
        </w:rPr>
        <w:t>The question remain</w:t>
      </w:r>
      <w:r w:rsidR="008C1FB7">
        <w:rPr>
          <w:noProof/>
        </w:rPr>
        <w:t>s</w:t>
      </w:r>
      <w:r w:rsidR="00361913">
        <w:rPr>
          <w:noProof/>
        </w:rPr>
        <w:t xml:space="preserve"> as to how to deal with these asymmetries.  It was decided t</w:t>
      </w:r>
      <w:r w:rsidR="00660C22">
        <w:rPr>
          <w:noProof/>
        </w:rPr>
        <w:t>o t</w:t>
      </w:r>
      <w:r w:rsidR="00361913">
        <w:rPr>
          <w:noProof/>
        </w:rPr>
        <w:t>ake the higher of the two scores for the epiphysis</w:t>
      </w:r>
      <w:r w:rsidR="008C1FB7">
        <w:rPr>
          <w:noProof/>
        </w:rPr>
        <w:t xml:space="preserve"> (more advanced stage)</w:t>
      </w:r>
      <w:r w:rsidR="00361913">
        <w:rPr>
          <w:noProof/>
        </w:rPr>
        <w:t>.  This arbitrary decision is equally as acceptable as staging down but has one advantage.  For those epiphyses where one side ha</w:t>
      </w:r>
      <w:r w:rsidR="003F370C">
        <w:rPr>
          <w:noProof/>
        </w:rPr>
        <w:t>d</w:t>
      </w:r>
      <w:r w:rsidR="00361913">
        <w:rPr>
          <w:noProof/>
        </w:rPr>
        <w:t xml:space="preserve"> stage 2 fusion (beginning fusion) while the other </w:t>
      </w:r>
      <w:r w:rsidR="003F370C">
        <w:rPr>
          <w:noProof/>
        </w:rPr>
        <w:t>wa</w:t>
      </w:r>
      <w:r w:rsidR="00361913">
        <w:rPr>
          <w:noProof/>
        </w:rPr>
        <w:t xml:space="preserve">s completely unfused (stage 1), selecting the lower score would mean that no fusion was recorded as </w:t>
      </w:r>
      <w:r w:rsidR="003F370C">
        <w:rPr>
          <w:noProof/>
        </w:rPr>
        <w:t xml:space="preserve">having </w:t>
      </w:r>
      <w:r w:rsidR="00361913">
        <w:rPr>
          <w:noProof/>
        </w:rPr>
        <w:t>occur</w:t>
      </w:r>
      <w:r w:rsidR="003F370C">
        <w:rPr>
          <w:noProof/>
        </w:rPr>
        <w:t>ed</w:t>
      </w:r>
      <w:r w:rsidR="00361913">
        <w:rPr>
          <w:noProof/>
        </w:rPr>
        <w:t xml:space="preserve"> at all for the epiphysis, which </w:t>
      </w:r>
      <w:r w:rsidR="008C1FB7">
        <w:rPr>
          <w:noProof/>
        </w:rPr>
        <w:t>is incorrect</w:t>
      </w:r>
      <w:r w:rsidR="00361913">
        <w:rPr>
          <w:noProof/>
        </w:rPr>
        <w:t>.  It should also be noted that any obscuring effect of choosing the higher or lower value w</w:t>
      </w:r>
      <w:r w:rsidR="003723EE">
        <w:rPr>
          <w:noProof/>
        </w:rPr>
        <w:t>ou</w:t>
      </w:r>
      <w:r w:rsidR="00361913">
        <w:rPr>
          <w:noProof/>
        </w:rPr>
        <w:t>l</w:t>
      </w:r>
      <w:r w:rsidR="003723EE">
        <w:rPr>
          <w:noProof/>
        </w:rPr>
        <w:t>d</w:t>
      </w:r>
      <w:r w:rsidR="00361913">
        <w:rPr>
          <w:noProof/>
        </w:rPr>
        <w:t xml:space="preserve"> likely be of little or no statistical relevance due the very lower prevalence rate of these </w:t>
      </w:r>
      <w:r w:rsidR="00D65BFB">
        <w:rPr>
          <w:noProof/>
        </w:rPr>
        <w:t>asymmetries</w:t>
      </w:r>
      <w:r w:rsidR="00361913">
        <w:rPr>
          <w:noProof/>
        </w:rPr>
        <w:t>.</w:t>
      </w:r>
    </w:p>
    <w:p w:rsidR="00361913" w:rsidRDefault="00361913" w:rsidP="008132D5">
      <w:pPr>
        <w:rPr>
          <w:noProof/>
        </w:rPr>
      </w:pPr>
      <w:r w:rsidRPr="00F63D1B">
        <w:rPr>
          <w:noProof/>
        </w:rPr>
        <w:t xml:space="preserve">For all individuals where only one side was present, the value for that side was simply added to the final variable.  For those individuals where both sides had exactly the same value, again that value was simply transferred to the final value.  </w:t>
      </w:r>
      <w:r>
        <w:rPr>
          <w:noProof/>
        </w:rPr>
        <w:t>For</w:t>
      </w:r>
      <w:r w:rsidR="00B42D30">
        <w:rPr>
          <w:noProof/>
        </w:rPr>
        <w:t xml:space="preserve"> the majority of epiphyses, 85-</w:t>
      </w:r>
      <w:r>
        <w:rPr>
          <w:noProof/>
        </w:rPr>
        <w:t xml:space="preserve">90% of individuals with dental scores were able to contribute values to the final fusion scores.  There were some sites that deviated from this assertion and these were mostly hand and foot bones with the distal phalanges of the hand being the most prominent outlier.  These deviations </w:t>
      </w:r>
      <w:r w:rsidR="00D350CF">
        <w:rPr>
          <w:noProof/>
        </w:rPr>
        <w:t>we</w:t>
      </w:r>
      <w:r>
        <w:rPr>
          <w:noProof/>
        </w:rPr>
        <w:t>re expected as these bones are small and easily lost in the curation process.</w:t>
      </w:r>
    </w:p>
    <w:p w:rsidR="00361913" w:rsidRPr="009F070A" w:rsidRDefault="00361913" w:rsidP="00D263E8">
      <w:pPr>
        <w:pStyle w:val="Heading3"/>
      </w:pPr>
      <w:bookmarkStart w:id="177" w:name="_Toc373477773"/>
      <w:bookmarkStart w:id="178" w:name="_Toc373480771"/>
      <w:r>
        <w:t>Ordering the sample and generated scores</w:t>
      </w:r>
      <w:bookmarkEnd w:id="177"/>
      <w:bookmarkEnd w:id="178"/>
    </w:p>
    <w:p w:rsidR="00361913" w:rsidRPr="00D34808" w:rsidRDefault="00361913" w:rsidP="0037717A">
      <w:pPr>
        <w:rPr>
          <w:noProof/>
        </w:rPr>
      </w:pPr>
      <w:r>
        <w:rPr>
          <w:i/>
          <w:noProof/>
        </w:rPr>
        <w:t>Pan paniscus</w:t>
      </w:r>
      <w:r>
        <w:rPr>
          <w:noProof/>
        </w:rPr>
        <w:t xml:space="preserve"> and </w:t>
      </w:r>
      <w:r>
        <w:rPr>
          <w:i/>
          <w:noProof/>
        </w:rPr>
        <w:t>Pan troglodytes</w:t>
      </w:r>
      <w:r>
        <w:rPr>
          <w:noProof/>
        </w:rPr>
        <w:t xml:space="preserve"> individuals were sorted into individual data sets by sex and then ordered by dental score from lowest to highest.  There were some instances where individuals had the same dental score, especially those </w:t>
      </w:r>
      <w:r w:rsidR="008C1FB7">
        <w:rPr>
          <w:noProof/>
        </w:rPr>
        <w:t>with</w:t>
      </w:r>
      <w:r>
        <w:rPr>
          <w:noProof/>
        </w:rPr>
        <w:t xml:space="preserve"> higher scores.  This was of particular importance </w:t>
      </w:r>
      <w:r w:rsidR="00260604">
        <w:rPr>
          <w:noProof/>
        </w:rPr>
        <w:t>for the</w:t>
      </w:r>
      <w:r w:rsidR="008C1FB7">
        <w:rPr>
          <w:noProof/>
        </w:rPr>
        <w:t xml:space="preserve"> case of </w:t>
      </w:r>
      <w:r>
        <w:rPr>
          <w:noProof/>
        </w:rPr>
        <w:t xml:space="preserve">individuals with </w:t>
      </w:r>
      <w:r w:rsidR="00444C15">
        <w:rPr>
          <w:noProof/>
        </w:rPr>
        <w:t xml:space="preserve">a </w:t>
      </w:r>
      <w:r>
        <w:rPr>
          <w:noProof/>
        </w:rPr>
        <w:t xml:space="preserve">dental score of 64 because this constituted fully mature dentition.  </w:t>
      </w:r>
      <w:r w:rsidR="00D34808">
        <w:rPr>
          <w:noProof/>
        </w:rPr>
        <w:t>For individuals with fully mature dentition (dental score 64), there t</w:t>
      </w:r>
      <w:r>
        <w:rPr>
          <w:noProof/>
        </w:rPr>
        <w:t xml:space="preserve">here were 23 female </w:t>
      </w:r>
      <w:r w:rsidR="006B3147">
        <w:rPr>
          <w:noProof/>
        </w:rPr>
        <w:t>and 5 male</w:t>
      </w:r>
      <w:r w:rsidR="00444C15">
        <w:rPr>
          <w:noProof/>
        </w:rPr>
        <w:t xml:space="preserve"> </w:t>
      </w:r>
      <w:r>
        <w:rPr>
          <w:i/>
          <w:noProof/>
        </w:rPr>
        <w:t>Pan troglodytes</w:t>
      </w:r>
      <w:r>
        <w:rPr>
          <w:noProof/>
        </w:rPr>
        <w:t xml:space="preserve"> </w:t>
      </w:r>
      <w:r w:rsidR="00444C15">
        <w:rPr>
          <w:noProof/>
        </w:rPr>
        <w:lastRenderedPageBreak/>
        <w:t xml:space="preserve">and </w:t>
      </w:r>
      <w:r w:rsidR="00D34808">
        <w:rPr>
          <w:noProof/>
        </w:rPr>
        <w:t>3</w:t>
      </w:r>
      <w:r w:rsidR="006B3147">
        <w:rPr>
          <w:noProof/>
        </w:rPr>
        <w:t xml:space="preserve"> female</w:t>
      </w:r>
      <w:r>
        <w:rPr>
          <w:noProof/>
        </w:rPr>
        <w:t xml:space="preserve"> and 2</w:t>
      </w:r>
      <w:r w:rsidR="00D34808">
        <w:rPr>
          <w:noProof/>
        </w:rPr>
        <w:t xml:space="preserve"> male</w:t>
      </w:r>
      <w:r>
        <w:rPr>
          <w:noProof/>
        </w:rPr>
        <w:t xml:space="preserve"> </w:t>
      </w:r>
      <w:r>
        <w:rPr>
          <w:i/>
          <w:noProof/>
        </w:rPr>
        <w:t>Pan paniscus</w:t>
      </w:r>
      <w:r w:rsidR="00D34808">
        <w:rPr>
          <w:noProof/>
        </w:rPr>
        <w:t xml:space="preserve">.  </w:t>
      </w:r>
      <w:r>
        <w:rPr>
          <w:noProof/>
        </w:rPr>
        <w:t xml:space="preserve">The presence of a large number of dental score 64 </w:t>
      </w:r>
      <w:r w:rsidR="00E17FED">
        <w:rPr>
          <w:noProof/>
        </w:rPr>
        <w:t xml:space="preserve">(DS64) </w:t>
      </w:r>
      <w:r>
        <w:rPr>
          <w:noProof/>
        </w:rPr>
        <w:t>individuals for</w:t>
      </w:r>
      <w:r w:rsidR="008C1FB7">
        <w:rPr>
          <w:noProof/>
        </w:rPr>
        <w:t xml:space="preserve"> both species</w:t>
      </w:r>
      <w:r w:rsidR="00E17FED">
        <w:rPr>
          <w:noProof/>
        </w:rPr>
        <w:t xml:space="preserve"> </w:t>
      </w:r>
      <w:r w:rsidR="008C1FB7">
        <w:rPr>
          <w:noProof/>
        </w:rPr>
        <w:t xml:space="preserve">and </w:t>
      </w:r>
      <w:r>
        <w:rPr>
          <w:noProof/>
        </w:rPr>
        <w:t>both sexes indicates that skeletal maturity proceeds dental maturity</w:t>
      </w:r>
      <w:r>
        <w:rPr>
          <w:noProof/>
          <w:color w:val="000000" w:themeColor="text1"/>
        </w:rPr>
        <w:t>.</w:t>
      </w:r>
    </w:p>
    <w:p w:rsidR="00361913" w:rsidRPr="00AC50AA" w:rsidRDefault="00361913" w:rsidP="0037717A">
      <w:pPr>
        <w:rPr>
          <w:noProof/>
        </w:rPr>
      </w:pPr>
      <w:r>
        <w:rPr>
          <w:noProof/>
        </w:rPr>
        <w:t>As opposed to the human pattern where the third molar erupts quite late</w:t>
      </w:r>
      <w:r w:rsidR="00C07AF3">
        <w:rPr>
          <w:noProof/>
        </w:rPr>
        <w:t xml:space="preserve"> in the developmental sequence</w:t>
      </w:r>
      <w:r>
        <w:rPr>
          <w:noProof/>
        </w:rPr>
        <w:t xml:space="preserve">, it is known from tooth </w:t>
      </w:r>
      <w:r w:rsidRPr="00FC0681">
        <w:rPr>
          <w:noProof/>
        </w:rPr>
        <w:t>emergence</w:t>
      </w:r>
      <w:r>
        <w:rPr>
          <w:noProof/>
        </w:rPr>
        <w:t xml:space="preserve"> data</w:t>
      </w:r>
      <w:r w:rsidRPr="00FC0681">
        <w:rPr>
          <w:noProof/>
        </w:rPr>
        <w:t xml:space="preserve"> that </w:t>
      </w:r>
      <w:r>
        <w:rPr>
          <w:noProof/>
        </w:rPr>
        <w:t xml:space="preserve">in </w:t>
      </w:r>
      <w:r w:rsidRPr="00FC0681">
        <w:rPr>
          <w:rFonts w:eastAsiaTheme="minorHAnsi"/>
          <w:lang w:val="en-GB"/>
        </w:rPr>
        <w:t>catarrhine</w:t>
      </w:r>
      <w:r>
        <w:rPr>
          <w:rFonts w:eastAsiaTheme="minorHAnsi"/>
          <w:lang w:val="en-GB"/>
        </w:rPr>
        <w:t xml:space="preserve"> primates including studies of apes that </w:t>
      </w:r>
      <w:r w:rsidR="00F22E99">
        <w:rPr>
          <w:rFonts w:eastAsiaTheme="minorHAnsi"/>
          <w:lang w:val="en-GB"/>
        </w:rPr>
        <w:t>full</w:t>
      </w:r>
      <w:r w:rsidR="00C07AF3">
        <w:rPr>
          <w:rFonts w:eastAsiaTheme="minorHAnsi"/>
          <w:lang w:val="en-GB"/>
        </w:rPr>
        <w:t xml:space="preserve"> </w:t>
      </w:r>
      <w:r>
        <w:rPr>
          <w:rFonts w:eastAsiaTheme="minorHAnsi"/>
          <w:lang w:val="en-GB"/>
        </w:rPr>
        <w:t xml:space="preserve">dentition is in place prior to full skeletal maturity </w:t>
      </w:r>
      <w:r>
        <w:rPr>
          <w:noProof/>
        </w:rPr>
        <w:t xml:space="preserve">(Bolter and Zihlman 2003, </w:t>
      </w:r>
      <w:r w:rsidR="00C07AF3">
        <w:rPr>
          <w:noProof/>
        </w:rPr>
        <w:t xml:space="preserve">Schultz 1942, </w:t>
      </w:r>
      <w:r>
        <w:rPr>
          <w:noProof/>
        </w:rPr>
        <w:t xml:space="preserve">Zihlman </w:t>
      </w:r>
      <w:r>
        <w:rPr>
          <w:i/>
          <w:noProof/>
        </w:rPr>
        <w:t>et al</w:t>
      </w:r>
      <w:r w:rsidR="00C07AF3">
        <w:rPr>
          <w:i/>
          <w:noProof/>
        </w:rPr>
        <w:t>.</w:t>
      </w:r>
      <w:r>
        <w:rPr>
          <w:noProof/>
        </w:rPr>
        <w:t xml:space="preserve"> 2007).  The timing of root completion, as opposed to emergence with respect to skeletal maturity</w:t>
      </w:r>
      <w:r w:rsidRPr="005433F7">
        <w:rPr>
          <w:noProof/>
        </w:rPr>
        <w:t xml:space="preserve"> </w:t>
      </w:r>
      <w:r>
        <w:rPr>
          <w:noProof/>
        </w:rPr>
        <w:t xml:space="preserve">has not been explored, although it would not be an unreasonable supposition to expect that the difference between the two would not be substantial.  The relative timing of these events is what this study seeks to clarify.  </w:t>
      </w:r>
      <w:r w:rsidR="00C07AF3">
        <w:rPr>
          <w:noProof/>
        </w:rPr>
        <w:t>C</w:t>
      </w:r>
      <w:r>
        <w:rPr>
          <w:noProof/>
        </w:rPr>
        <w:t xml:space="preserve">hronological timing of third molar completion </w:t>
      </w:r>
      <w:r w:rsidR="00C07AF3">
        <w:rPr>
          <w:noProof/>
        </w:rPr>
        <w:t xml:space="preserve">is available </w:t>
      </w:r>
      <w:r>
        <w:rPr>
          <w:noProof/>
        </w:rPr>
        <w:t xml:space="preserve">from </w:t>
      </w:r>
      <w:r w:rsidR="009867DD">
        <w:rPr>
          <w:noProof/>
        </w:rPr>
        <w:t xml:space="preserve">Anemone </w:t>
      </w:r>
      <w:r w:rsidR="009867DD">
        <w:rPr>
          <w:i/>
          <w:noProof/>
        </w:rPr>
        <w:t>et al</w:t>
      </w:r>
      <w:r w:rsidR="009867DD">
        <w:rPr>
          <w:noProof/>
        </w:rPr>
        <w:t>. (1991</w:t>
      </w:r>
      <w:r w:rsidR="00701EFB">
        <w:rPr>
          <w:noProof/>
        </w:rPr>
        <w:t>, 1996</w:t>
      </w:r>
      <w:r w:rsidR="009867DD">
        <w:rPr>
          <w:noProof/>
        </w:rPr>
        <w:t xml:space="preserve">), </w:t>
      </w:r>
      <w:r>
        <w:rPr>
          <w:noProof/>
        </w:rPr>
        <w:t>Kuykendall</w:t>
      </w:r>
      <w:r w:rsidR="00BA270E">
        <w:rPr>
          <w:noProof/>
        </w:rPr>
        <w:t xml:space="preserve"> (1996) and Kuykendall</w:t>
      </w:r>
      <w:r>
        <w:rPr>
          <w:noProof/>
        </w:rPr>
        <w:t xml:space="preserve"> and Conroy (1996)</w:t>
      </w:r>
      <w:r w:rsidR="009867DD">
        <w:rPr>
          <w:noProof/>
        </w:rPr>
        <w:t xml:space="preserve"> </w:t>
      </w:r>
      <w:r>
        <w:rPr>
          <w:noProof/>
        </w:rPr>
        <w:t xml:space="preserve">but </w:t>
      </w:r>
      <w:r w:rsidR="00C07AF3">
        <w:rPr>
          <w:noProof/>
        </w:rPr>
        <w:t xml:space="preserve">there is </w:t>
      </w:r>
      <w:r>
        <w:rPr>
          <w:noProof/>
        </w:rPr>
        <w:t xml:space="preserve">no </w:t>
      </w:r>
      <w:r w:rsidR="0020271E">
        <w:rPr>
          <w:noProof/>
        </w:rPr>
        <w:t xml:space="preserve">certainty as to how these age ranges relate </w:t>
      </w:r>
      <w:r>
        <w:rPr>
          <w:noProof/>
        </w:rPr>
        <w:t>to skeletal maturation</w:t>
      </w:r>
      <w:r w:rsidR="00641447">
        <w:rPr>
          <w:noProof/>
        </w:rPr>
        <w:t>.  Past reported ranges for later epiphyses by Bolter and Zihlman (2012)</w:t>
      </w:r>
      <w:r w:rsidR="0091717B">
        <w:rPr>
          <w:noProof/>
        </w:rPr>
        <w:t xml:space="preserve"> </w:t>
      </w:r>
      <w:r w:rsidR="00F05FAB">
        <w:rPr>
          <w:noProof/>
        </w:rPr>
        <w:t xml:space="preserve">and Kerley (1966) </w:t>
      </w:r>
      <w:r w:rsidR="00641447">
        <w:rPr>
          <w:noProof/>
        </w:rPr>
        <w:t>overlap third molar maturity</w:t>
      </w:r>
      <w:r>
        <w:rPr>
          <w:noProof/>
        </w:rPr>
        <w:t>.  This was evidently a problem for analysis</w:t>
      </w:r>
      <w:r w:rsidR="00127107">
        <w:rPr>
          <w:noProof/>
        </w:rPr>
        <w:t xml:space="preserve"> of this data set</w:t>
      </w:r>
      <w:r>
        <w:rPr>
          <w:noProof/>
        </w:rPr>
        <w:t xml:space="preserve"> due to the maximal age indicator being reached for many individuals</w:t>
      </w:r>
      <w:r w:rsidR="00651EF6">
        <w:rPr>
          <w:noProof/>
        </w:rPr>
        <w:t xml:space="preserve"> prior to </w:t>
      </w:r>
      <w:r w:rsidR="00EC4375">
        <w:rPr>
          <w:noProof/>
        </w:rPr>
        <w:t>the fusion of multiple epiphyses</w:t>
      </w:r>
      <w:r>
        <w:rPr>
          <w:noProof/>
        </w:rPr>
        <w:t>.</w:t>
      </w:r>
    </w:p>
    <w:p w:rsidR="00361913" w:rsidRDefault="003A1A4F" w:rsidP="00AC4742">
      <w:pPr>
        <w:rPr>
          <w:noProof/>
        </w:rPr>
      </w:pPr>
      <w:r>
        <w:rPr>
          <w:noProof/>
        </w:rPr>
        <w:t xml:space="preserve">For DS64 individuals in female </w:t>
      </w:r>
      <w:r>
        <w:rPr>
          <w:i/>
          <w:noProof/>
        </w:rPr>
        <w:t xml:space="preserve">Pan troglodytes </w:t>
      </w:r>
      <w:r>
        <w:rPr>
          <w:noProof/>
        </w:rPr>
        <w:t>i</w:t>
      </w:r>
      <w:r w:rsidR="00361913">
        <w:rPr>
          <w:noProof/>
        </w:rPr>
        <w:t xml:space="preserve">t was observed that unfused epiphyses for the distal radius, distal ulna, iliac crest, the acromium, the medial border of the scapula, and the medial clavicles were common.  The number of individuals with unfused epiphyses for these bones ranged from 5 to 16 depending on the epiphysis.  There were also 12 other epiphyses for which there were up to four individuals with unfused </w:t>
      </w:r>
      <w:r w:rsidR="00B228C2">
        <w:rPr>
          <w:noProof/>
        </w:rPr>
        <w:t xml:space="preserve">scores.  </w:t>
      </w:r>
      <w:r w:rsidR="00361913">
        <w:rPr>
          <w:noProof/>
        </w:rPr>
        <w:t xml:space="preserve">This pattern was repeated for the male </w:t>
      </w:r>
      <w:r w:rsidR="00361913">
        <w:rPr>
          <w:i/>
          <w:noProof/>
        </w:rPr>
        <w:t>Pan troglodytes</w:t>
      </w:r>
      <w:r w:rsidR="00361913">
        <w:rPr>
          <w:noProof/>
        </w:rPr>
        <w:t xml:space="preserve"> sample.  For </w:t>
      </w:r>
      <w:r w:rsidR="00361913">
        <w:rPr>
          <w:i/>
          <w:noProof/>
        </w:rPr>
        <w:t>Pan paniscus</w:t>
      </w:r>
      <w:r w:rsidR="00361913">
        <w:rPr>
          <w:noProof/>
        </w:rPr>
        <w:t xml:space="preserve"> individuals of both sexes these epiphyses were also unfused, although the numbers for each were inevitably smaller due to the difference in sample size.  </w:t>
      </w:r>
      <w:r w:rsidR="00227A9D">
        <w:rPr>
          <w:noProof/>
        </w:rPr>
        <w:t>T</w:t>
      </w:r>
      <w:r w:rsidR="00361913">
        <w:rPr>
          <w:noProof/>
        </w:rPr>
        <w:t xml:space="preserve">he criteria </w:t>
      </w:r>
      <w:r w:rsidR="00227A9D">
        <w:rPr>
          <w:noProof/>
        </w:rPr>
        <w:t>used</w:t>
      </w:r>
      <w:r w:rsidR="00361913">
        <w:rPr>
          <w:noProof/>
        </w:rPr>
        <w:t xml:space="preserve"> to select </w:t>
      </w:r>
      <w:r w:rsidR="0032077D">
        <w:rPr>
          <w:noProof/>
        </w:rPr>
        <w:t xml:space="preserve">individuals to be included in this sample was the presence of any remaining unfused epiphyses including individuals </w:t>
      </w:r>
      <w:r w:rsidR="00E92037">
        <w:rPr>
          <w:noProof/>
        </w:rPr>
        <w:t xml:space="preserve">with </w:t>
      </w:r>
      <w:r w:rsidR="0032077D">
        <w:rPr>
          <w:noProof/>
        </w:rPr>
        <w:t>only a r</w:t>
      </w:r>
      <w:r w:rsidR="0080145D">
        <w:rPr>
          <w:noProof/>
        </w:rPr>
        <w:t>emaining epiphyseal fusion scar</w:t>
      </w:r>
      <w:r w:rsidR="0032077D">
        <w:rPr>
          <w:noProof/>
        </w:rPr>
        <w:t xml:space="preserve"> line</w:t>
      </w:r>
      <w:r w:rsidR="00361913">
        <w:rPr>
          <w:noProof/>
        </w:rPr>
        <w:t>.  When</w:t>
      </w:r>
      <w:r w:rsidR="00302DDC">
        <w:rPr>
          <w:noProof/>
        </w:rPr>
        <w:t xml:space="preserve"> preliminary analysis </w:t>
      </w:r>
      <w:r w:rsidR="00BE1434">
        <w:rPr>
          <w:noProof/>
        </w:rPr>
        <w:t xml:space="preserve">of collections </w:t>
      </w:r>
      <w:r w:rsidR="00302DDC">
        <w:rPr>
          <w:noProof/>
        </w:rPr>
        <w:t xml:space="preserve">was completed </w:t>
      </w:r>
      <w:r w:rsidR="00361913">
        <w:rPr>
          <w:noProof/>
        </w:rPr>
        <w:t xml:space="preserve">prior to </w:t>
      </w:r>
      <w:r w:rsidR="00BE1434">
        <w:rPr>
          <w:noProof/>
        </w:rPr>
        <w:t xml:space="preserve">full-scale </w:t>
      </w:r>
      <w:r w:rsidR="00361913">
        <w:rPr>
          <w:noProof/>
        </w:rPr>
        <w:t xml:space="preserve">data collection </w:t>
      </w:r>
      <w:r w:rsidR="00EB4BCB">
        <w:rPr>
          <w:noProof/>
        </w:rPr>
        <w:t>for estimating</w:t>
      </w:r>
      <w:r w:rsidR="00361913">
        <w:rPr>
          <w:noProof/>
        </w:rPr>
        <w:t xml:space="preserve"> the number of sub-adults available, it was observed that it was either the iliac crest or the medial clavicle were the last remaining unfused epiphyses</w:t>
      </w:r>
      <w:r w:rsidR="00EB4BCB">
        <w:rPr>
          <w:noProof/>
        </w:rPr>
        <w:t xml:space="preserve">.  All </w:t>
      </w:r>
      <w:r w:rsidR="00361913">
        <w:rPr>
          <w:noProof/>
        </w:rPr>
        <w:t xml:space="preserve">other fusion centres </w:t>
      </w:r>
      <w:r w:rsidR="008B2D53">
        <w:rPr>
          <w:noProof/>
        </w:rPr>
        <w:t xml:space="preserve">were </w:t>
      </w:r>
      <w:r w:rsidR="00361913">
        <w:rPr>
          <w:noProof/>
        </w:rPr>
        <w:t>completely mature</w:t>
      </w:r>
      <w:r w:rsidR="00EB4BCB">
        <w:rPr>
          <w:noProof/>
        </w:rPr>
        <w:t xml:space="preserve"> before these epiphyses</w:t>
      </w:r>
      <w:r w:rsidR="00361913">
        <w:rPr>
          <w:noProof/>
        </w:rPr>
        <w:t xml:space="preserve">.  With the iliac crest and medial clavicle serving as an end-point and with unfused epiphyses present for the distal radius, distal ulna, the acromium and the medial border of the scapula, it would thus stand to reason that within this sample of </w:t>
      </w:r>
      <w:r w:rsidR="00D01280">
        <w:rPr>
          <w:noProof/>
        </w:rPr>
        <w:t xml:space="preserve">DS64 </w:t>
      </w:r>
      <w:r w:rsidR="00361913">
        <w:rPr>
          <w:noProof/>
        </w:rPr>
        <w:t>individuals that</w:t>
      </w:r>
      <w:r w:rsidR="00D01280">
        <w:rPr>
          <w:noProof/>
        </w:rPr>
        <w:t xml:space="preserve"> there</w:t>
      </w:r>
      <w:r w:rsidR="00361913">
        <w:rPr>
          <w:noProof/>
        </w:rPr>
        <w:t xml:space="preserve"> should </w:t>
      </w:r>
      <w:r w:rsidR="00D01280">
        <w:rPr>
          <w:noProof/>
        </w:rPr>
        <w:t xml:space="preserve">be </w:t>
      </w:r>
      <w:r w:rsidR="00361913">
        <w:rPr>
          <w:noProof/>
        </w:rPr>
        <w:t>a range of fusion states observable.</w:t>
      </w:r>
    </w:p>
    <w:p w:rsidR="00F6410E" w:rsidRDefault="00F6410E">
      <w:pPr>
        <w:spacing w:before="0" w:after="200" w:line="276" w:lineRule="auto"/>
        <w:jc w:val="left"/>
        <w:rPr>
          <w:b/>
          <w:i/>
          <w:noProof/>
        </w:rPr>
      </w:pPr>
      <w:r>
        <w:rPr>
          <w:b/>
          <w:i/>
          <w:noProof/>
        </w:rPr>
        <w:br w:type="page"/>
      </w:r>
    </w:p>
    <w:p w:rsidR="00361913" w:rsidRPr="00D74AC4" w:rsidRDefault="004B5A92" w:rsidP="00AC4742">
      <w:pPr>
        <w:rPr>
          <w:b/>
          <w:i/>
          <w:noProof/>
        </w:rPr>
      </w:pPr>
      <w:r w:rsidRPr="00D74AC4">
        <w:rPr>
          <w:b/>
          <w:i/>
          <w:noProof/>
        </w:rPr>
        <w:lastRenderedPageBreak/>
        <w:t>3.4</w:t>
      </w:r>
      <w:r w:rsidR="00C07AF3" w:rsidRPr="00D74AC4">
        <w:rPr>
          <w:b/>
          <w:i/>
          <w:noProof/>
        </w:rPr>
        <w:t>.2.a</w:t>
      </w:r>
      <w:r w:rsidR="00C07AF3" w:rsidRPr="00D74AC4">
        <w:rPr>
          <w:b/>
          <w:i/>
          <w:noProof/>
        </w:rPr>
        <w:tab/>
      </w:r>
      <w:r w:rsidR="00361913" w:rsidRPr="00D74AC4">
        <w:rPr>
          <w:b/>
          <w:i/>
          <w:noProof/>
        </w:rPr>
        <w:t>Generated Scores: Theory</w:t>
      </w:r>
    </w:p>
    <w:p w:rsidR="00361913" w:rsidRDefault="009C03BE" w:rsidP="00AC4742">
      <w:pPr>
        <w:rPr>
          <w:noProof/>
        </w:rPr>
      </w:pPr>
      <w:r>
        <w:rPr>
          <w:noProof/>
        </w:rPr>
        <w:t>A</w:t>
      </w:r>
      <w:r w:rsidR="00361913">
        <w:rPr>
          <w:noProof/>
        </w:rPr>
        <w:t xml:space="preserve"> core objective of this study</w:t>
      </w:r>
      <w:r w:rsidR="0043664F">
        <w:rPr>
          <w:noProof/>
        </w:rPr>
        <w:t xml:space="preserve"> is</w:t>
      </w:r>
      <w:r w:rsidR="00361913">
        <w:rPr>
          <w:noProof/>
        </w:rPr>
        <w:t xml:space="preserve"> to chart the sequence of epiphyseal fusion.  With dental score</w:t>
      </w:r>
      <w:r w:rsidR="00087A3D">
        <w:rPr>
          <w:noProof/>
        </w:rPr>
        <w:t xml:space="preserve"> being</w:t>
      </w:r>
      <w:r w:rsidR="00361913">
        <w:rPr>
          <w:noProof/>
        </w:rPr>
        <w:t xml:space="preserve"> a limiting factor for later stage fusion events, a different approach was </w:t>
      </w:r>
      <w:r w:rsidR="009B396C">
        <w:rPr>
          <w:noProof/>
        </w:rPr>
        <w:t>attempted</w:t>
      </w:r>
      <w:r w:rsidR="00361913">
        <w:rPr>
          <w:noProof/>
        </w:rPr>
        <w:t>.  To solve this problem, a strategy was used based on the simple premise that all epiphyseal fusion plates will eventually fuse and that there is a general underlying pattern in which they fuse.  Fundamentally this must be true given all past research.  Dermirjian scores for dentition were a sum of a series of ordinal variables that increase</w:t>
      </w:r>
      <w:r w:rsidR="00DE2C9B">
        <w:rPr>
          <w:noProof/>
        </w:rPr>
        <w:t>d</w:t>
      </w:r>
      <w:r w:rsidR="00361913">
        <w:rPr>
          <w:noProof/>
        </w:rPr>
        <w:t xml:space="preserve"> in value with time</w:t>
      </w:r>
      <w:r w:rsidR="00597390">
        <w:rPr>
          <w:noProof/>
        </w:rPr>
        <w:t>.  E</w:t>
      </w:r>
      <w:r w:rsidR="00361913">
        <w:rPr>
          <w:noProof/>
        </w:rPr>
        <w:t xml:space="preserve">piphyseal fusion scores, which are also a series of increasing ordinal variables, </w:t>
      </w:r>
      <w:r w:rsidR="001A028E">
        <w:rPr>
          <w:noProof/>
        </w:rPr>
        <w:t xml:space="preserve">behave </w:t>
      </w:r>
      <w:r w:rsidR="00EC1CA3">
        <w:rPr>
          <w:noProof/>
        </w:rPr>
        <w:t>likewise</w:t>
      </w:r>
      <w:r w:rsidR="00361913">
        <w:rPr>
          <w:noProof/>
        </w:rPr>
        <w:t xml:space="preserve">.  If a summary </w:t>
      </w:r>
      <w:r w:rsidR="002B4E26">
        <w:rPr>
          <w:noProof/>
        </w:rPr>
        <w:t xml:space="preserve">or mean value </w:t>
      </w:r>
      <w:r w:rsidR="00361913">
        <w:rPr>
          <w:noProof/>
        </w:rPr>
        <w:t xml:space="preserve">of these epiphyseal fusion scores was taken for each individual, then it would be expected that as age increased that summary epiphyseal fusion score would increase in tandem.  </w:t>
      </w:r>
      <w:r w:rsidR="002B4E26">
        <w:rPr>
          <w:noProof/>
        </w:rPr>
        <w:t xml:space="preserve">It shall be shown </w:t>
      </w:r>
      <w:r w:rsidR="005F42F3">
        <w:rPr>
          <w:noProof/>
        </w:rPr>
        <w:t>in section 3.4</w:t>
      </w:r>
      <w:r w:rsidR="002B4E26">
        <w:rPr>
          <w:noProof/>
        </w:rPr>
        <w:t>.2</w:t>
      </w:r>
      <w:r w:rsidR="005F42F3">
        <w:rPr>
          <w:noProof/>
        </w:rPr>
        <w:t>b</w:t>
      </w:r>
      <w:r w:rsidR="002B4E26">
        <w:rPr>
          <w:noProof/>
        </w:rPr>
        <w:t xml:space="preserve"> that mean value is more appropriate in this study.  </w:t>
      </w:r>
      <w:r w:rsidR="00361913">
        <w:rPr>
          <w:noProof/>
        </w:rPr>
        <w:t xml:space="preserve">These </w:t>
      </w:r>
      <w:r w:rsidR="002B4E26">
        <w:rPr>
          <w:noProof/>
        </w:rPr>
        <w:t xml:space="preserve">mean value </w:t>
      </w:r>
      <w:r w:rsidR="00361913">
        <w:rPr>
          <w:noProof/>
        </w:rPr>
        <w:t>scores could then be used to order individuals based on increasing levels of skeletal maturity.  This would not provide any means to anchor epiphyseal fusion events with respect to the dental maturity but it would provide information regarding the order in which epiphyses fuse beyond dental maturity.  The only potential challenge of doing this would be if fusion events substantially overlapped ranges of variation between epiphyses.  This would mean that epiphyseal fusion scores would tend to cluster around similar value</w:t>
      </w:r>
      <w:r w:rsidR="0044545D">
        <w:rPr>
          <w:noProof/>
        </w:rPr>
        <w:t>s.  I</w:t>
      </w:r>
      <w:r w:rsidR="00361913">
        <w:rPr>
          <w:noProof/>
        </w:rPr>
        <w:t xml:space="preserve">n section </w:t>
      </w:r>
      <w:r w:rsidR="00A41EA1">
        <w:rPr>
          <w:noProof/>
        </w:rPr>
        <w:t>4.2.4</w:t>
      </w:r>
      <w:r w:rsidR="00361913">
        <w:rPr>
          <w:noProof/>
        </w:rPr>
        <w:t xml:space="preserve"> this </w:t>
      </w:r>
      <w:r w:rsidR="00DE2C9B">
        <w:rPr>
          <w:noProof/>
        </w:rPr>
        <w:t xml:space="preserve">will be shown to </w:t>
      </w:r>
      <w:r w:rsidR="00361913">
        <w:rPr>
          <w:noProof/>
        </w:rPr>
        <w:t xml:space="preserve">not </w:t>
      </w:r>
      <w:r w:rsidR="00DE2C9B">
        <w:rPr>
          <w:noProof/>
        </w:rPr>
        <w:t xml:space="preserve">be </w:t>
      </w:r>
      <w:r w:rsidR="00361913">
        <w:rPr>
          <w:noProof/>
        </w:rPr>
        <w:t>the case</w:t>
      </w:r>
      <w:r w:rsidR="001C2688">
        <w:rPr>
          <w:noProof/>
        </w:rPr>
        <w:t xml:space="preserve"> and distinct differences</w:t>
      </w:r>
      <w:r w:rsidR="00FC58B4">
        <w:rPr>
          <w:noProof/>
        </w:rPr>
        <w:t xml:space="preserve"> in position of </w:t>
      </w:r>
      <w:r w:rsidR="001C2688">
        <w:rPr>
          <w:noProof/>
        </w:rPr>
        <w:t xml:space="preserve">fusion events </w:t>
      </w:r>
      <w:r w:rsidR="00066BDC">
        <w:rPr>
          <w:noProof/>
        </w:rPr>
        <w:t>will</w:t>
      </w:r>
      <w:r w:rsidR="00FC58B4">
        <w:rPr>
          <w:noProof/>
        </w:rPr>
        <w:t xml:space="preserve"> become apparent</w:t>
      </w:r>
      <w:r w:rsidR="00361913">
        <w:rPr>
          <w:noProof/>
        </w:rPr>
        <w:t>.</w:t>
      </w:r>
    </w:p>
    <w:p w:rsidR="00361913" w:rsidRPr="00D74AC4" w:rsidRDefault="004B5A92" w:rsidP="00AC4742">
      <w:pPr>
        <w:rPr>
          <w:b/>
          <w:i/>
          <w:noProof/>
        </w:rPr>
      </w:pPr>
      <w:r w:rsidRPr="00D74AC4">
        <w:rPr>
          <w:b/>
          <w:i/>
          <w:noProof/>
        </w:rPr>
        <w:t>3.4</w:t>
      </w:r>
      <w:r w:rsidR="00CC18B1" w:rsidRPr="00D74AC4">
        <w:rPr>
          <w:b/>
          <w:i/>
          <w:noProof/>
        </w:rPr>
        <w:t>.2.b</w:t>
      </w:r>
      <w:r w:rsidR="00CC18B1" w:rsidRPr="00D74AC4">
        <w:rPr>
          <w:b/>
          <w:i/>
          <w:noProof/>
        </w:rPr>
        <w:tab/>
      </w:r>
      <w:r w:rsidR="00361913" w:rsidRPr="00D74AC4">
        <w:rPr>
          <w:b/>
          <w:i/>
          <w:noProof/>
        </w:rPr>
        <w:t xml:space="preserve">Producing mean </w:t>
      </w:r>
      <w:r w:rsidR="004C552C" w:rsidRPr="00D74AC4">
        <w:rPr>
          <w:b/>
          <w:i/>
          <w:noProof/>
        </w:rPr>
        <w:t xml:space="preserve">epiphyseal fusion </w:t>
      </w:r>
      <w:r w:rsidR="00361913" w:rsidRPr="00D74AC4">
        <w:rPr>
          <w:b/>
          <w:i/>
          <w:noProof/>
        </w:rPr>
        <w:t>values for generated scores: Limitations and approach</w:t>
      </w:r>
    </w:p>
    <w:p w:rsidR="004C552C" w:rsidRDefault="00882390" w:rsidP="00AC4742">
      <w:pPr>
        <w:rPr>
          <w:noProof/>
        </w:rPr>
      </w:pPr>
      <w:r>
        <w:rPr>
          <w:noProof/>
        </w:rPr>
        <w:t>DS</w:t>
      </w:r>
      <w:r w:rsidR="00361913">
        <w:rPr>
          <w:noProof/>
        </w:rPr>
        <w:t>64 individuals from this point forward in the analysis of ep</w:t>
      </w:r>
      <w:r w:rsidR="00662871">
        <w:rPr>
          <w:noProof/>
        </w:rPr>
        <w:t>ip</w:t>
      </w:r>
      <w:r w:rsidR="00361913">
        <w:rPr>
          <w:noProof/>
        </w:rPr>
        <w:t xml:space="preserve">hyseal fusion will be considered a special subset of dental score.  </w:t>
      </w:r>
      <w:r w:rsidR="004C552C">
        <w:rPr>
          <w:noProof/>
        </w:rPr>
        <w:t>Ideally, producing a summary score for epiphyseal fusion centres would be the best method for assessing maturity and is a direct analogue of dental score.  A</w:t>
      </w:r>
      <w:r w:rsidR="00361913">
        <w:rPr>
          <w:noProof/>
        </w:rPr>
        <w:t xml:space="preserve"> sum of all scores could be taken and individuals ordered based on increasing score.  However, in reality determining a generated score by simply adding all values for each fusion event and comparing scores in a similar fashion to dental scores would have been inadequate due to the problem of incomplete data.  Missing data occurred no more frequently than it did with dental scores but the variables</w:t>
      </w:r>
      <w:r w:rsidR="00662871">
        <w:rPr>
          <w:noProof/>
        </w:rPr>
        <w:t xml:space="preserve"> involved</w:t>
      </w:r>
      <w:r w:rsidR="004C552C">
        <w:rPr>
          <w:noProof/>
        </w:rPr>
        <w:t xml:space="preserve"> were more numerous.  As opposed to </w:t>
      </w:r>
      <w:r w:rsidR="00361913">
        <w:rPr>
          <w:noProof/>
        </w:rPr>
        <w:t>8 teeth</w:t>
      </w:r>
      <w:r w:rsidR="004C552C">
        <w:rPr>
          <w:noProof/>
        </w:rPr>
        <w:t>, there were</w:t>
      </w:r>
      <w:r w:rsidR="00361913">
        <w:rPr>
          <w:noProof/>
        </w:rPr>
        <w:t xml:space="preserve"> 33 epiphyses, and thus the likelihood that an individual would be missing at least one data entry was </w:t>
      </w:r>
      <w:r w:rsidR="000D15B0">
        <w:rPr>
          <w:noProof/>
        </w:rPr>
        <w:t>much</w:t>
      </w:r>
      <w:r w:rsidR="00361913">
        <w:rPr>
          <w:noProof/>
        </w:rPr>
        <w:t xml:space="preserve"> higher.</w:t>
      </w:r>
    </w:p>
    <w:p w:rsidR="00361913" w:rsidRDefault="00361913" w:rsidP="00612F9A">
      <w:pPr>
        <w:rPr>
          <w:noProof/>
        </w:rPr>
      </w:pPr>
      <w:r>
        <w:rPr>
          <w:noProof/>
        </w:rPr>
        <w:t>Tables 3.2</w:t>
      </w:r>
      <w:r w:rsidR="002E401C">
        <w:rPr>
          <w:noProof/>
        </w:rPr>
        <w:t>1</w:t>
      </w:r>
      <w:r>
        <w:rPr>
          <w:noProof/>
        </w:rPr>
        <w:t xml:space="preserve"> and 3.2</w:t>
      </w:r>
      <w:r w:rsidR="002E401C">
        <w:rPr>
          <w:noProof/>
        </w:rPr>
        <w:t>2</w:t>
      </w:r>
      <w:r>
        <w:rPr>
          <w:noProof/>
        </w:rPr>
        <w:t xml:space="preserve"> </w:t>
      </w:r>
      <w:r w:rsidR="00745637">
        <w:rPr>
          <w:noProof/>
        </w:rPr>
        <w:t xml:space="preserve">show </w:t>
      </w:r>
      <w:r>
        <w:rPr>
          <w:noProof/>
        </w:rPr>
        <w:t xml:space="preserve">the distribution of </w:t>
      </w:r>
      <w:r w:rsidR="004C552C">
        <w:rPr>
          <w:noProof/>
        </w:rPr>
        <w:t xml:space="preserve">missing data </w:t>
      </w:r>
      <w:r>
        <w:rPr>
          <w:noProof/>
        </w:rPr>
        <w:t xml:space="preserve">for epiphyseal fusion.  The cumulative percentages show that that majority of individuals were missing </w:t>
      </w:r>
      <w:r w:rsidR="001B0E5A">
        <w:rPr>
          <w:noProof/>
        </w:rPr>
        <w:t>data entries for</w:t>
      </w:r>
      <w:r>
        <w:rPr>
          <w:noProof/>
        </w:rPr>
        <w:t xml:space="preserve"> small number of epiphyseal fusion </w:t>
      </w:r>
      <w:r w:rsidR="001B0E5A">
        <w:rPr>
          <w:noProof/>
        </w:rPr>
        <w:t>sites</w:t>
      </w:r>
      <w:r>
        <w:rPr>
          <w:noProof/>
        </w:rPr>
        <w:t xml:space="preserve">.  </w:t>
      </w:r>
      <w:r w:rsidR="00046F64">
        <w:rPr>
          <w:noProof/>
        </w:rPr>
        <w:t xml:space="preserve">Individuals missing </w:t>
      </w:r>
      <w:r>
        <w:rPr>
          <w:noProof/>
        </w:rPr>
        <w:t xml:space="preserve">greater than 10 </w:t>
      </w:r>
      <w:r w:rsidR="00046F64">
        <w:rPr>
          <w:noProof/>
        </w:rPr>
        <w:t xml:space="preserve">entries </w:t>
      </w:r>
      <w:r>
        <w:rPr>
          <w:noProof/>
        </w:rPr>
        <w:t>made up only 5.65% of individuals.  These individuals were ones where only a small number of bones were present but their inclusion was still considered useful due to the provision of a complete dental</w:t>
      </w:r>
      <w:r w:rsidR="00046F64">
        <w:rPr>
          <w:noProof/>
        </w:rPr>
        <w:t xml:space="preserve"> score.</w:t>
      </w:r>
    </w:p>
    <w:p w:rsidR="00361913" w:rsidRDefault="00C9288A" w:rsidP="00C9288A">
      <w:pPr>
        <w:pStyle w:val="Caption"/>
      </w:pPr>
      <w:bookmarkStart w:id="179" w:name="_Toc373180133"/>
      <w:proofErr w:type="gramStart"/>
      <w:r w:rsidRPr="00C9288A">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21</w:t>
      </w:r>
      <w:r w:rsidR="008943E4">
        <w:rPr>
          <w:b/>
        </w:rPr>
        <w:fldChar w:fldCharType="end"/>
      </w:r>
      <w:r w:rsidR="007D1ED7">
        <w:rPr>
          <w:b/>
        </w:rPr>
        <w:t xml:space="preserve"> </w:t>
      </w:r>
      <w:r>
        <w:t xml:space="preserve"> </w:t>
      </w:r>
      <w:r w:rsidR="0054172F">
        <w:t>F</w:t>
      </w:r>
      <w:r w:rsidR="00361913">
        <w:t>requenc</w:t>
      </w:r>
      <w:r w:rsidR="0049109D">
        <w:t>i</w:t>
      </w:r>
      <w:r w:rsidR="00361913">
        <w:t xml:space="preserve">es of missing values for epiphyseal fusion sites in </w:t>
      </w:r>
      <w:r w:rsidR="00361913">
        <w:rPr>
          <w:i/>
        </w:rPr>
        <w:t xml:space="preserve">Pan </w:t>
      </w:r>
      <w:proofErr w:type="gramStart"/>
      <w:r w:rsidR="00361913">
        <w:rPr>
          <w:i/>
        </w:rPr>
        <w:t>paniscus</w:t>
      </w:r>
      <w:proofErr w:type="gramEnd"/>
      <w:r w:rsidR="00361913">
        <w:t xml:space="preserve"> and </w:t>
      </w:r>
      <w:r w:rsidR="00361913">
        <w:rPr>
          <w:i/>
        </w:rPr>
        <w:t>Pan troglodytes</w:t>
      </w:r>
      <w:r w:rsidR="001312F4">
        <w:t>.</w:t>
      </w:r>
      <w:bookmarkEnd w:id="179"/>
    </w:p>
    <w:tbl>
      <w:tblPr>
        <w:tblW w:w="8804" w:type="dxa"/>
        <w:tblInd w:w="93" w:type="dxa"/>
        <w:tblBorders>
          <w:top w:val="single" w:sz="4" w:space="0" w:color="auto"/>
          <w:bottom w:val="single" w:sz="4" w:space="0" w:color="auto"/>
        </w:tblBorders>
        <w:tblLook w:val="04A0" w:firstRow="1" w:lastRow="0" w:firstColumn="1" w:lastColumn="0" w:noHBand="0" w:noVBand="1"/>
      </w:tblPr>
      <w:tblGrid>
        <w:gridCol w:w="2160"/>
        <w:gridCol w:w="2140"/>
        <w:gridCol w:w="2094"/>
        <w:gridCol w:w="2410"/>
      </w:tblGrid>
      <w:tr w:rsidR="00361913" w:rsidRPr="00F730ED" w:rsidTr="00CA5FBB">
        <w:trPr>
          <w:trHeight w:val="283"/>
        </w:trPr>
        <w:tc>
          <w:tcPr>
            <w:tcW w:w="2160" w:type="dxa"/>
            <w:tcBorders>
              <w:top w:val="single" w:sz="4" w:space="0" w:color="auto"/>
              <w:bottom w:val="single" w:sz="4" w:space="0" w:color="auto"/>
            </w:tcBorders>
            <w:shd w:val="clear" w:color="auto" w:fill="auto"/>
            <w:noWrap/>
            <w:vAlign w:val="center"/>
            <w:hideMark/>
          </w:tcPr>
          <w:p w:rsidR="00361913" w:rsidRPr="00CA5FBB" w:rsidRDefault="00394286" w:rsidP="007E1EEF">
            <w:pPr>
              <w:spacing w:before="0"/>
              <w:jc w:val="center"/>
              <w:rPr>
                <w:b/>
                <w:lang w:val="en-GB" w:eastAsia="en-GB"/>
              </w:rPr>
            </w:pPr>
            <w:r>
              <w:rPr>
                <w:b/>
                <w:lang w:val="en-GB" w:eastAsia="en-GB"/>
              </w:rPr>
              <w:t>n</w:t>
            </w:r>
            <w:r w:rsidR="008943E4" w:rsidRPr="00CA5FBB">
              <w:rPr>
                <w:b/>
                <w:lang w:val="en-GB" w:eastAsia="en-GB"/>
              </w:rPr>
              <w:t>o. missing entries</w:t>
            </w:r>
          </w:p>
        </w:tc>
        <w:tc>
          <w:tcPr>
            <w:tcW w:w="2140" w:type="dxa"/>
            <w:tcBorders>
              <w:top w:val="single" w:sz="4" w:space="0" w:color="auto"/>
              <w:bottom w:val="single" w:sz="4" w:space="0" w:color="auto"/>
            </w:tcBorders>
            <w:shd w:val="clear" w:color="auto" w:fill="auto"/>
            <w:noWrap/>
            <w:vAlign w:val="center"/>
            <w:hideMark/>
          </w:tcPr>
          <w:p w:rsidR="00361913" w:rsidRPr="00CA5FBB" w:rsidRDefault="00394286" w:rsidP="007E1EEF">
            <w:pPr>
              <w:spacing w:before="0"/>
              <w:jc w:val="center"/>
              <w:rPr>
                <w:b/>
                <w:lang w:val="en-GB" w:eastAsia="en-GB"/>
              </w:rPr>
            </w:pPr>
            <w:r>
              <w:rPr>
                <w:b/>
                <w:lang w:val="en-GB" w:eastAsia="en-GB"/>
              </w:rPr>
              <w:t>i</w:t>
            </w:r>
            <w:r w:rsidR="008943E4" w:rsidRPr="00CA5FBB">
              <w:rPr>
                <w:b/>
                <w:lang w:val="en-GB" w:eastAsia="en-GB"/>
              </w:rPr>
              <w:t>ndividuals</w:t>
            </w:r>
          </w:p>
        </w:tc>
        <w:tc>
          <w:tcPr>
            <w:tcW w:w="2094" w:type="dxa"/>
            <w:tcBorders>
              <w:top w:val="single" w:sz="4" w:space="0" w:color="auto"/>
              <w:bottom w:val="single" w:sz="4" w:space="0" w:color="auto"/>
            </w:tcBorders>
            <w:shd w:val="clear" w:color="auto" w:fill="auto"/>
            <w:noWrap/>
            <w:vAlign w:val="center"/>
            <w:hideMark/>
          </w:tcPr>
          <w:p w:rsidR="00361913" w:rsidRPr="00CA5FBB" w:rsidRDefault="00394286" w:rsidP="007E1EEF">
            <w:pPr>
              <w:spacing w:before="0"/>
              <w:jc w:val="center"/>
              <w:rPr>
                <w:b/>
                <w:lang w:val="en-GB" w:eastAsia="en-GB"/>
              </w:rPr>
            </w:pPr>
            <w:r>
              <w:rPr>
                <w:b/>
                <w:lang w:val="en-GB" w:eastAsia="en-GB"/>
              </w:rPr>
              <w:t>p</w:t>
            </w:r>
            <w:r w:rsidR="008943E4" w:rsidRPr="00CA5FBB">
              <w:rPr>
                <w:b/>
                <w:lang w:val="en-GB" w:eastAsia="en-GB"/>
              </w:rPr>
              <w:t>ercentage of total</w:t>
            </w:r>
          </w:p>
        </w:tc>
        <w:tc>
          <w:tcPr>
            <w:tcW w:w="2410" w:type="dxa"/>
            <w:tcBorders>
              <w:top w:val="single" w:sz="4" w:space="0" w:color="auto"/>
              <w:bottom w:val="single" w:sz="4" w:space="0" w:color="auto"/>
            </w:tcBorders>
            <w:shd w:val="clear" w:color="auto" w:fill="auto"/>
            <w:noWrap/>
            <w:vAlign w:val="center"/>
            <w:hideMark/>
          </w:tcPr>
          <w:p w:rsidR="00361913" w:rsidRPr="00CA5FBB" w:rsidRDefault="00394286" w:rsidP="007E1EEF">
            <w:pPr>
              <w:spacing w:before="0"/>
              <w:jc w:val="center"/>
              <w:rPr>
                <w:b/>
                <w:lang w:val="en-GB" w:eastAsia="en-GB"/>
              </w:rPr>
            </w:pPr>
            <w:r>
              <w:rPr>
                <w:b/>
                <w:lang w:val="en-GB" w:eastAsia="en-GB"/>
              </w:rPr>
              <w:t>c</w:t>
            </w:r>
            <w:r w:rsidR="008943E4" w:rsidRPr="00CA5FBB">
              <w:rPr>
                <w:b/>
                <w:lang w:val="en-GB" w:eastAsia="en-GB"/>
              </w:rPr>
              <w:t>umulative percentage</w:t>
            </w:r>
          </w:p>
        </w:tc>
      </w:tr>
      <w:tr w:rsidR="00361913" w:rsidRPr="00163FA7" w:rsidTr="00CA5FBB">
        <w:trPr>
          <w:trHeight w:val="300"/>
        </w:trPr>
        <w:tc>
          <w:tcPr>
            <w:tcW w:w="2160" w:type="dxa"/>
            <w:tcBorders>
              <w:top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0</w:t>
            </w:r>
          </w:p>
        </w:tc>
        <w:tc>
          <w:tcPr>
            <w:tcW w:w="2140" w:type="dxa"/>
            <w:tcBorders>
              <w:top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53</w:t>
            </w:r>
          </w:p>
        </w:tc>
        <w:tc>
          <w:tcPr>
            <w:tcW w:w="2094" w:type="dxa"/>
            <w:tcBorders>
              <w:top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29.94</w:t>
            </w:r>
          </w:p>
        </w:tc>
        <w:tc>
          <w:tcPr>
            <w:tcW w:w="2410" w:type="dxa"/>
            <w:tcBorders>
              <w:top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29.94</w:t>
            </w:r>
          </w:p>
        </w:tc>
      </w:tr>
      <w:tr w:rsidR="00361913" w:rsidRPr="00163FA7" w:rsidTr="00CA5FBB">
        <w:trPr>
          <w:trHeight w:val="300"/>
        </w:trPr>
        <w:tc>
          <w:tcPr>
            <w:tcW w:w="216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w:t>
            </w:r>
          </w:p>
        </w:tc>
        <w:tc>
          <w:tcPr>
            <w:tcW w:w="214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74</w:t>
            </w:r>
          </w:p>
        </w:tc>
        <w:tc>
          <w:tcPr>
            <w:tcW w:w="2094"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41.81</w:t>
            </w:r>
          </w:p>
        </w:tc>
        <w:tc>
          <w:tcPr>
            <w:tcW w:w="241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71.75</w:t>
            </w:r>
          </w:p>
        </w:tc>
      </w:tr>
      <w:tr w:rsidR="00361913" w:rsidRPr="00163FA7" w:rsidTr="00CA5FBB">
        <w:trPr>
          <w:trHeight w:val="300"/>
        </w:trPr>
        <w:tc>
          <w:tcPr>
            <w:tcW w:w="216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2</w:t>
            </w:r>
          </w:p>
        </w:tc>
        <w:tc>
          <w:tcPr>
            <w:tcW w:w="214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13</w:t>
            </w:r>
          </w:p>
        </w:tc>
        <w:tc>
          <w:tcPr>
            <w:tcW w:w="2094"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7.34</w:t>
            </w:r>
          </w:p>
        </w:tc>
        <w:tc>
          <w:tcPr>
            <w:tcW w:w="241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79.10</w:t>
            </w:r>
          </w:p>
        </w:tc>
      </w:tr>
      <w:tr w:rsidR="00361913" w:rsidRPr="00163FA7" w:rsidTr="00CA5FBB">
        <w:trPr>
          <w:trHeight w:val="300"/>
        </w:trPr>
        <w:tc>
          <w:tcPr>
            <w:tcW w:w="216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3</w:t>
            </w:r>
          </w:p>
        </w:tc>
        <w:tc>
          <w:tcPr>
            <w:tcW w:w="214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10</w:t>
            </w:r>
          </w:p>
        </w:tc>
        <w:tc>
          <w:tcPr>
            <w:tcW w:w="2094"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5.65</w:t>
            </w:r>
          </w:p>
        </w:tc>
        <w:tc>
          <w:tcPr>
            <w:tcW w:w="241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84.75</w:t>
            </w:r>
          </w:p>
        </w:tc>
      </w:tr>
      <w:tr w:rsidR="00361913" w:rsidRPr="00163FA7" w:rsidTr="00CA5FBB">
        <w:trPr>
          <w:trHeight w:val="300"/>
        </w:trPr>
        <w:tc>
          <w:tcPr>
            <w:tcW w:w="216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4</w:t>
            </w:r>
          </w:p>
        </w:tc>
        <w:tc>
          <w:tcPr>
            <w:tcW w:w="214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7</w:t>
            </w:r>
          </w:p>
        </w:tc>
        <w:tc>
          <w:tcPr>
            <w:tcW w:w="2094"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3.95</w:t>
            </w:r>
          </w:p>
        </w:tc>
        <w:tc>
          <w:tcPr>
            <w:tcW w:w="241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88.70</w:t>
            </w:r>
          </w:p>
        </w:tc>
      </w:tr>
      <w:tr w:rsidR="00361913" w:rsidRPr="00163FA7" w:rsidTr="00CA5FBB">
        <w:trPr>
          <w:trHeight w:val="300"/>
        </w:trPr>
        <w:tc>
          <w:tcPr>
            <w:tcW w:w="216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5</w:t>
            </w:r>
          </w:p>
        </w:tc>
        <w:tc>
          <w:tcPr>
            <w:tcW w:w="214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w:t>
            </w:r>
          </w:p>
        </w:tc>
        <w:tc>
          <w:tcPr>
            <w:tcW w:w="2094"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0.56</w:t>
            </w:r>
          </w:p>
        </w:tc>
        <w:tc>
          <w:tcPr>
            <w:tcW w:w="241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89.27</w:t>
            </w:r>
          </w:p>
        </w:tc>
      </w:tr>
      <w:tr w:rsidR="00361913" w:rsidRPr="00163FA7" w:rsidTr="00CA5FBB">
        <w:trPr>
          <w:trHeight w:val="300"/>
        </w:trPr>
        <w:tc>
          <w:tcPr>
            <w:tcW w:w="216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7</w:t>
            </w:r>
          </w:p>
        </w:tc>
        <w:tc>
          <w:tcPr>
            <w:tcW w:w="214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2</w:t>
            </w:r>
          </w:p>
        </w:tc>
        <w:tc>
          <w:tcPr>
            <w:tcW w:w="2094"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1.13</w:t>
            </w:r>
          </w:p>
        </w:tc>
        <w:tc>
          <w:tcPr>
            <w:tcW w:w="241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90.40</w:t>
            </w:r>
          </w:p>
        </w:tc>
      </w:tr>
      <w:tr w:rsidR="00361913" w:rsidRPr="00163FA7" w:rsidTr="00CA5FBB">
        <w:trPr>
          <w:trHeight w:val="300"/>
        </w:trPr>
        <w:tc>
          <w:tcPr>
            <w:tcW w:w="216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8</w:t>
            </w:r>
          </w:p>
        </w:tc>
        <w:tc>
          <w:tcPr>
            <w:tcW w:w="214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5</w:t>
            </w:r>
          </w:p>
        </w:tc>
        <w:tc>
          <w:tcPr>
            <w:tcW w:w="2094"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2.82</w:t>
            </w:r>
          </w:p>
        </w:tc>
        <w:tc>
          <w:tcPr>
            <w:tcW w:w="241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93.22</w:t>
            </w:r>
          </w:p>
        </w:tc>
      </w:tr>
      <w:tr w:rsidR="00361913" w:rsidRPr="00163FA7" w:rsidTr="00CA5FBB">
        <w:trPr>
          <w:trHeight w:val="300"/>
        </w:trPr>
        <w:tc>
          <w:tcPr>
            <w:tcW w:w="216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9</w:t>
            </w:r>
          </w:p>
        </w:tc>
        <w:tc>
          <w:tcPr>
            <w:tcW w:w="214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2</w:t>
            </w:r>
          </w:p>
        </w:tc>
        <w:tc>
          <w:tcPr>
            <w:tcW w:w="2094"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1.13</w:t>
            </w:r>
          </w:p>
        </w:tc>
        <w:tc>
          <w:tcPr>
            <w:tcW w:w="2410" w:type="dxa"/>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94.35</w:t>
            </w:r>
          </w:p>
        </w:tc>
      </w:tr>
      <w:tr w:rsidR="00361913" w:rsidRPr="00163FA7" w:rsidTr="00CA5FBB">
        <w:trPr>
          <w:trHeight w:val="300"/>
        </w:trPr>
        <w:tc>
          <w:tcPr>
            <w:tcW w:w="2160" w:type="dxa"/>
            <w:tcBorders>
              <w:bottom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Pr>
                <w:rFonts w:eastAsia="Times New Roman"/>
                <w:color w:val="000000"/>
                <w:lang w:val="en-GB" w:eastAsia="en-GB"/>
              </w:rPr>
              <w:t>10</w:t>
            </w:r>
            <w:r w:rsidRPr="00163FA7">
              <w:rPr>
                <w:rFonts w:eastAsia="Times New Roman"/>
                <w:color w:val="000000"/>
                <w:lang w:val="en-GB" w:eastAsia="en-GB"/>
              </w:rPr>
              <w:t>+</w:t>
            </w:r>
          </w:p>
        </w:tc>
        <w:tc>
          <w:tcPr>
            <w:tcW w:w="2140" w:type="dxa"/>
            <w:tcBorders>
              <w:bottom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10</w:t>
            </w:r>
          </w:p>
        </w:tc>
        <w:tc>
          <w:tcPr>
            <w:tcW w:w="2094" w:type="dxa"/>
            <w:tcBorders>
              <w:bottom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5.65</w:t>
            </w:r>
          </w:p>
        </w:tc>
        <w:tc>
          <w:tcPr>
            <w:tcW w:w="2410" w:type="dxa"/>
            <w:tcBorders>
              <w:bottom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100.00</w:t>
            </w:r>
          </w:p>
        </w:tc>
      </w:tr>
      <w:tr w:rsidR="00361913" w:rsidRPr="00163FA7" w:rsidTr="00CA5FBB">
        <w:trPr>
          <w:trHeight w:val="300"/>
        </w:trPr>
        <w:tc>
          <w:tcPr>
            <w:tcW w:w="2160" w:type="dxa"/>
            <w:tcBorders>
              <w:top w:val="single" w:sz="4" w:space="0" w:color="auto"/>
              <w:bottom w:val="single" w:sz="4" w:space="0" w:color="auto"/>
            </w:tcBorders>
            <w:shd w:val="clear" w:color="auto" w:fill="auto"/>
            <w:noWrap/>
            <w:vAlign w:val="center"/>
            <w:hideMark/>
          </w:tcPr>
          <w:p w:rsidR="00361913" w:rsidRPr="00163FA7" w:rsidRDefault="00A21935" w:rsidP="002E401C">
            <w:pPr>
              <w:spacing w:before="0" w:line="240" w:lineRule="auto"/>
              <w:jc w:val="center"/>
              <w:rPr>
                <w:rFonts w:eastAsia="Times New Roman"/>
                <w:color w:val="000000"/>
                <w:lang w:val="en-GB" w:eastAsia="en-GB"/>
              </w:rPr>
            </w:pPr>
            <w:r>
              <w:rPr>
                <w:rFonts w:eastAsia="Times New Roman"/>
                <w:color w:val="000000"/>
                <w:lang w:val="en-GB" w:eastAsia="en-GB"/>
              </w:rPr>
              <w:t>t</w:t>
            </w:r>
            <w:r w:rsidR="00361913" w:rsidRPr="00163FA7">
              <w:rPr>
                <w:rFonts w:eastAsia="Times New Roman"/>
                <w:color w:val="000000"/>
                <w:lang w:val="en-GB" w:eastAsia="en-GB"/>
              </w:rPr>
              <w:t>otal</w:t>
            </w:r>
          </w:p>
        </w:tc>
        <w:tc>
          <w:tcPr>
            <w:tcW w:w="2140" w:type="dxa"/>
            <w:tcBorders>
              <w:top w:val="single" w:sz="4" w:space="0" w:color="auto"/>
              <w:bottom w:val="single" w:sz="4" w:space="0" w:color="auto"/>
            </w:tcBorders>
            <w:shd w:val="clear" w:color="auto" w:fill="auto"/>
            <w:noWrap/>
            <w:vAlign w:val="center"/>
            <w:hideMark/>
          </w:tcPr>
          <w:p w:rsidR="00361913" w:rsidRPr="00163FA7" w:rsidRDefault="00361913" w:rsidP="002E401C">
            <w:pPr>
              <w:spacing w:before="0" w:line="240" w:lineRule="auto"/>
              <w:jc w:val="center"/>
              <w:rPr>
                <w:rFonts w:eastAsia="Times New Roman"/>
                <w:color w:val="000000"/>
                <w:lang w:val="en-GB" w:eastAsia="en-GB"/>
              </w:rPr>
            </w:pPr>
            <w:r w:rsidRPr="00163FA7">
              <w:rPr>
                <w:rFonts w:eastAsia="Times New Roman"/>
                <w:color w:val="000000"/>
                <w:lang w:val="en-GB" w:eastAsia="en-GB"/>
              </w:rPr>
              <w:t>177</w:t>
            </w:r>
          </w:p>
        </w:tc>
        <w:tc>
          <w:tcPr>
            <w:tcW w:w="2094" w:type="dxa"/>
            <w:tcBorders>
              <w:top w:val="single" w:sz="4" w:space="0" w:color="auto"/>
              <w:bottom w:val="single" w:sz="4" w:space="0" w:color="auto"/>
            </w:tcBorders>
            <w:shd w:val="clear" w:color="auto" w:fill="auto"/>
            <w:noWrap/>
            <w:vAlign w:val="center"/>
            <w:hideMark/>
          </w:tcPr>
          <w:p w:rsidR="00361913" w:rsidRPr="00163FA7" w:rsidRDefault="00613651" w:rsidP="002E401C">
            <w:pPr>
              <w:spacing w:before="0" w:line="240" w:lineRule="auto"/>
              <w:jc w:val="center"/>
              <w:rPr>
                <w:rFonts w:eastAsia="Times New Roman"/>
                <w:color w:val="000000"/>
                <w:lang w:val="en-GB" w:eastAsia="en-GB"/>
              </w:rPr>
            </w:pPr>
            <w:r>
              <w:rPr>
                <w:rFonts w:eastAsia="Times New Roman"/>
                <w:color w:val="000000"/>
                <w:lang w:val="en-GB" w:eastAsia="en-GB"/>
              </w:rPr>
              <w:t>100.00</w:t>
            </w:r>
            <w:r w:rsidR="007E1EEF">
              <w:rPr>
                <w:rFonts w:eastAsia="Times New Roman"/>
                <w:color w:val="000000"/>
                <w:lang w:val="en-GB" w:eastAsia="en-GB"/>
              </w:rPr>
              <w:t>%</w:t>
            </w:r>
          </w:p>
        </w:tc>
        <w:tc>
          <w:tcPr>
            <w:tcW w:w="2410" w:type="dxa"/>
            <w:tcBorders>
              <w:top w:val="single" w:sz="4" w:space="0" w:color="auto"/>
              <w:bottom w:val="single" w:sz="4" w:space="0" w:color="auto"/>
            </w:tcBorders>
            <w:shd w:val="clear" w:color="auto" w:fill="auto"/>
            <w:noWrap/>
            <w:vAlign w:val="center"/>
            <w:hideMark/>
          </w:tcPr>
          <w:p w:rsidR="00361913" w:rsidRPr="00163FA7" w:rsidRDefault="00613651" w:rsidP="002E401C">
            <w:pPr>
              <w:spacing w:before="0" w:line="240" w:lineRule="auto"/>
              <w:jc w:val="center"/>
              <w:rPr>
                <w:rFonts w:eastAsia="Times New Roman"/>
                <w:color w:val="000000"/>
                <w:lang w:val="en-GB" w:eastAsia="en-GB"/>
              </w:rPr>
            </w:pPr>
            <w:r>
              <w:rPr>
                <w:rFonts w:eastAsia="Times New Roman"/>
                <w:color w:val="000000"/>
                <w:lang w:val="en-GB" w:eastAsia="en-GB"/>
              </w:rPr>
              <w:t>100.00</w:t>
            </w:r>
            <w:r w:rsidR="007E1EEF">
              <w:rPr>
                <w:rFonts w:eastAsia="Times New Roman"/>
                <w:color w:val="000000"/>
                <w:lang w:val="en-GB" w:eastAsia="en-GB"/>
              </w:rPr>
              <w:t>%</w:t>
            </w:r>
          </w:p>
        </w:tc>
      </w:tr>
    </w:tbl>
    <w:p w:rsidR="00A35CA0" w:rsidRDefault="00B57497" w:rsidP="00CA5FBB">
      <w:pPr>
        <w:pStyle w:val="ListParagraph"/>
        <w:numPr>
          <w:ilvl w:val="0"/>
          <w:numId w:val="7"/>
        </w:numPr>
        <w:tabs>
          <w:tab w:val="left" w:pos="360"/>
        </w:tabs>
        <w:spacing w:before="120" w:line="240" w:lineRule="auto"/>
        <w:ind w:left="284" w:hanging="284"/>
        <w:rPr>
          <w:noProof/>
          <w:sz w:val="20"/>
          <w:szCs w:val="20"/>
        </w:rPr>
      </w:pPr>
      <w:r w:rsidRPr="00D15DD7">
        <w:rPr>
          <w:noProof/>
          <w:sz w:val="20"/>
          <w:szCs w:val="20"/>
        </w:rPr>
        <w:t>The cumulative percentage is calculated as the sum of all individuals in the current stage and all stages with lower numbers of data points missing presented as a percentage of the total sample.</w:t>
      </w:r>
    </w:p>
    <w:p w:rsidR="00F6410E" w:rsidRPr="00101DCB" w:rsidRDefault="00F6410E" w:rsidP="00D80F45">
      <w:pPr>
        <w:spacing w:before="120"/>
        <w:rPr>
          <w:b/>
          <w:noProof/>
        </w:rPr>
      </w:pPr>
      <w:r>
        <w:rPr>
          <w:noProof/>
        </w:rPr>
        <w:t xml:space="preserve">Apart from the distal phalanges of the hand, </w:t>
      </w:r>
      <w:r w:rsidR="007505C5">
        <w:rPr>
          <w:noProof/>
        </w:rPr>
        <w:t>the number of missing entries was</w:t>
      </w:r>
      <w:r>
        <w:rPr>
          <w:noProof/>
        </w:rPr>
        <w:t xml:space="preserve"> quite small per epiphysis.  The</w:t>
      </w:r>
      <w:r w:rsidRPr="00EB0502">
        <w:rPr>
          <w:noProof/>
        </w:rPr>
        <w:t xml:space="preserve"> </w:t>
      </w:r>
      <w:r>
        <w:rPr>
          <w:lang w:val="en-GB" w:eastAsia="en-GB"/>
        </w:rPr>
        <w:t>number of missi</w:t>
      </w:r>
      <w:r w:rsidR="007505C5">
        <w:rPr>
          <w:lang w:val="en-GB" w:eastAsia="en-GB"/>
        </w:rPr>
        <w:t>ng entries for individuals showed</w:t>
      </w:r>
      <w:r>
        <w:rPr>
          <w:lang w:val="en-GB" w:eastAsia="en-GB"/>
        </w:rPr>
        <w:t xml:space="preserve"> a</w:t>
      </w:r>
      <w:r w:rsidR="007505C5">
        <w:rPr>
          <w:lang w:val="en-GB" w:eastAsia="en-GB"/>
        </w:rPr>
        <w:t>n</w:t>
      </w:r>
      <w:r>
        <w:rPr>
          <w:lang w:val="en-GB" w:eastAsia="en-GB"/>
        </w:rPr>
        <w:t xml:space="preserve"> even spread of missing data throughout the sample set except for distal phalanges (Table 3.21).  </w:t>
      </w:r>
      <w:r>
        <w:rPr>
          <w:noProof/>
        </w:rPr>
        <w:t>With the pattern of missing values evenly spread, simply removing variables with missing data points such that all sets would be complete would not be practical.  For example, this would require the loss of the medial border of the scapula and all pelvic fusion sites except the tri-radiate.  The removal of the affected individuals is also problematic due to the fact that individuals missing on</w:t>
      </w:r>
      <w:r w:rsidR="006B6D43">
        <w:rPr>
          <w:noProof/>
        </w:rPr>
        <w:t>e</w:t>
      </w:r>
      <w:r>
        <w:rPr>
          <w:noProof/>
        </w:rPr>
        <w:t xml:space="preserve"> of these entries for one bone were not necessarily the same individuals that were missing </w:t>
      </w:r>
      <w:r w:rsidR="00107C19">
        <w:rPr>
          <w:noProof/>
        </w:rPr>
        <w:t xml:space="preserve">entries for </w:t>
      </w:r>
      <w:r>
        <w:rPr>
          <w:noProof/>
        </w:rPr>
        <w:t>another.  This would cause the sample size to shrink to</w:t>
      </w:r>
      <w:r w:rsidR="00A55B45">
        <w:rPr>
          <w:noProof/>
        </w:rPr>
        <w:t xml:space="preserve"> an</w:t>
      </w:r>
      <w:r>
        <w:rPr>
          <w:noProof/>
        </w:rPr>
        <w:t xml:space="preserve"> unacceptably small </w:t>
      </w:r>
      <w:r w:rsidR="00A55B45">
        <w:rPr>
          <w:noProof/>
        </w:rPr>
        <w:t>size</w:t>
      </w:r>
      <w:r>
        <w:rPr>
          <w:noProof/>
        </w:rPr>
        <w:t>.  However, wha</w:t>
      </w:r>
      <w:r w:rsidR="00226718">
        <w:rPr>
          <w:noProof/>
        </w:rPr>
        <w:t>t</w:t>
      </w:r>
      <w:r>
        <w:rPr>
          <w:noProof/>
        </w:rPr>
        <w:t xml:space="preserve"> has been shown here is that the overall level of mis</w:t>
      </w:r>
      <w:r w:rsidR="007E6AEC">
        <w:rPr>
          <w:noProof/>
        </w:rPr>
        <w:t>sing data for most individuals wa</w:t>
      </w:r>
      <w:r>
        <w:rPr>
          <w:noProof/>
        </w:rPr>
        <w:t xml:space="preserve">s quite small with typically only a few percent of entries missing.  An approach </w:t>
      </w:r>
      <w:r w:rsidR="00DF632C">
        <w:rPr>
          <w:noProof/>
        </w:rPr>
        <w:t xml:space="preserve">was taken </w:t>
      </w:r>
      <w:r>
        <w:rPr>
          <w:noProof/>
        </w:rPr>
        <w:t xml:space="preserve">whereby </w:t>
      </w:r>
      <w:r w:rsidR="003E2397">
        <w:rPr>
          <w:noProof/>
        </w:rPr>
        <w:t>a</w:t>
      </w:r>
      <w:r>
        <w:rPr>
          <w:noProof/>
        </w:rPr>
        <w:t xml:space="preserve"> mean value for </w:t>
      </w:r>
      <w:r w:rsidR="003F3160">
        <w:rPr>
          <w:noProof/>
        </w:rPr>
        <w:t xml:space="preserve">all </w:t>
      </w:r>
      <w:r>
        <w:rPr>
          <w:noProof/>
        </w:rPr>
        <w:t>epiphy</w:t>
      </w:r>
      <w:r w:rsidR="003E2397">
        <w:rPr>
          <w:noProof/>
        </w:rPr>
        <w:t>seal fusion</w:t>
      </w:r>
      <w:r w:rsidR="003F3160">
        <w:rPr>
          <w:noProof/>
        </w:rPr>
        <w:t xml:space="preserve"> sites</w:t>
      </w:r>
      <w:r w:rsidR="003E2397">
        <w:rPr>
          <w:noProof/>
        </w:rPr>
        <w:t xml:space="preserve"> for each individual was produced</w:t>
      </w:r>
      <w:r>
        <w:rPr>
          <w:noProof/>
        </w:rPr>
        <w:t xml:space="preserve"> as opposed to a summed score</w:t>
      </w:r>
      <w:r w:rsidR="003E2397">
        <w:rPr>
          <w:noProof/>
        </w:rPr>
        <w:t>.  This method</w:t>
      </w:r>
      <w:r>
        <w:rPr>
          <w:noProof/>
        </w:rPr>
        <w:t xml:space="preserve"> would smooth out occasi</w:t>
      </w:r>
      <w:r w:rsidR="003E2397">
        <w:rPr>
          <w:noProof/>
        </w:rPr>
        <w:t>onal missing data and approach</w:t>
      </w:r>
      <w:r>
        <w:rPr>
          <w:noProof/>
        </w:rPr>
        <w:t xml:space="preserve"> the robusticity of summed scores du</w:t>
      </w:r>
      <w:r w:rsidRPr="00101DCB">
        <w:rPr>
          <w:noProof/>
        </w:rPr>
        <w:t xml:space="preserve">e to the comparatively small level of incompleteness.  A mean value is more appropriate than a median value in this circumstance because all epiphyses present contribute to a mean.  If, for example, a very young individual begins fusion at two epiphyses, the median value for all epiphyses would remain 1, while the mean would encompass these fusion events and be slightly greater than 1. </w:t>
      </w:r>
      <w:r>
        <w:rPr>
          <w:noProof/>
        </w:rPr>
        <w:t xml:space="preserve"> Mean epiphyseal fusion scores were calculated for all individuals with DS64 for both the </w:t>
      </w:r>
      <w:r>
        <w:rPr>
          <w:i/>
          <w:noProof/>
        </w:rPr>
        <w:t>Pan paniscus</w:t>
      </w:r>
      <w:r>
        <w:rPr>
          <w:noProof/>
        </w:rPr>
        <w:t xml:space="preserve"> and </w:t>
      </w:r>
      <w:r>
        <w:rPr>
          <w:i/>
          <w:noProof/>
        </w:rPr>
        <w:t>Pan troglodytes</w:t>
      </w:r>
      <w:r>
        <w:rPr>
          <w:noProof/>
        </w:rPr>
        <w:t xml:space="preserve"> sample.  </w:t>
      </w:r>
      <w:r>
        <w:rPr>
          <w:noProof/>
          <w:lang w:val="en-GB" w:eastAsia="en-GB"/>
        </w:rPr>
        <w:t>Mean values for epiphyseal fusion of DS64 individuals score ranged from</w:t>
      </w:r>
      <w:r>
        <w:rPr>
          <w:noProof/>
          <w:color w:val="000000" w:themeColor="text1"/>
        </w:rPr>
        <w:t xml:space="preserve"> 2.47 to 4.91</w:t>
      </w:r>
      <w:r w:rsidRPr="00F10547">
        <w:rPr>
          <w:noProof/>
          <w:color w:val="000000" w:themeColor="text1"/>
        </w:rPr>
        <w:t xml:space="preserve"> with the</w:t>
      </w:r>
      <w:r>
        <w:rPr>
          <w:noProof/>
          <w:color w:val="000000" w:themeColor="text1"/>
        </w:rPr>
        <w:t xml:space="preserve"> m</w:t>
      </w:r>
      <w:r w:rsidRPr="00F10547">
        <w:rPr>
          <w:noProof/>
          <w:color w:val="000000" w:themeColor="text1"/>
        </w:rPr>
        <w:t>aj</w:t>
      </w:r>
      <w:r>
        <w:rPr>
          <w:noProof/>
          <w:color w:val="000000" w:themeColor="text1"/>
        </w:rPr>
        <w:t>ority of the values</w:t>
      </w:r>
      <w:r w:rsidRPr="00F10547">
        <w:rPr>
          <w:noProof/>
          <w:color w:val="000000" w:themeColor="text1"/>
        </w:rPr>
        <w:t xml:space="preserve"> </w:t>
      </w:r>
      <w:r>
        <w:rPr>
          <w:noProof/>
          <w:color w:val="000000" w:themeColor="text1"/>
        </w:rPr>
        <w:t xml:space="preserve">falling </w:t>
      </w:r>
      <w:r w:rsidRPr="00F10547">
        <w:rPr>
          <w:noProof/>
          <w:color w:val="000000" w:themeColor="text1"/>
        </w:rPr>
        <w:t>between 4 and 4.91</w:t>
      </w:r>
      <w:r>
        <w:rPr>
          <w:noProof/>
          <w:color w:val="000000" w:themeColor="text1"/>
        </w:rPr>
        <w:t>.</w:t>
      </w:r>
      <w:r w:rsidRPr="00F10547">
        <w:rPr>
          <w:noProof/>
          <w:color w:val="000000" w:themeColor="text1"/>
        </w:rPr>
        <w:t xml:space="preserve"> </w:t>
      </w:r>
      <w:r>
        <w:rPr>
          <w:noProof/>
          <w:color w:val="000000" w:themeColor="text1"/>
        </w:rPr>
        <w:t xml:space="preserve"> </w:t>
      </w:r>
      <w:r w:rsidRPr="00F10547">
        <w:rPr>
          <w:noProof/>
          <w:color w:val="000000" w:themeColor="text1"/>
        </w:rPr>
        <w:t>It can be fairly confidently asserted that ther</w:t>
      </w:r>
      <w:r>
        <w:rPr>
          <w:noProof/>
        </w:rPr>
        <w:t>e was a considerable amount of fusion occuring after dental maturity.</w:t>
      </w:r>
    </w:p>
    <w:p w:rsidR="00361913" w:rsidRPr="00B57497" w:rsidRDefault="00C9288A" w:rsidP="00E1725F">
      <w:pPr>
        <w:pStyle w:val="Caption"/>
        <w:spacing w:after="120"/>
      </w:pPr>
      <w:bookmarkStart w:id="180" w:name="_Toc373180134"/>
      <w:proofErr w:type="gramStart"/>
      <w:r w:rsidRPr="00C9288A">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22</w:t>
      </w:r>
      <w:r w:rsidR="008943E4">
        <w:rPr>
          <w:b/>
        </w:rPr>
        <w:fldChar w:fldCharType="end"/>
      </w:r>
      <w:r w:rsidR="00361913">
        <w:t xml:space="preserve"> </w:t>
      </w:r>
      <w:r w:rsidR="00301B4E">
        <w:t xml:space="preserve">Missing data </w:t>
      </w:r>
      <w:r w:rsidR="00361913">
        <w:t xml:space="preserve">by epiphysis showing number of individuals for the entire sample and for </w:t>
      </w:r>
      <w:r w:rsidR="001431F3">
        <w:t>DS</w:t>
      </w:r>
      <w:r w:rsidR="00361913">
        <w:t>64 individuals</w:t>
      </w:r>
      <w:bookmarkEnd w:id="180"/>
    </w:p>
    <w:tbl>
      <w:tblPr>
        <w:tblW w:w="9521" w:type="dxa"/>
        <w:jc w:val="center"/>
        <w:tblBorders>
          <w:top w:val="single" w:sz="4" w:space="0" w:color="auto"/>
          <w:bottom w:val="single" w:sz="4" w:space="0" w:color="auto"/>
        </w:tblBorders>
        <w:tblLook w:val="04A0" w:firstRow="1" w:lastRow="0" w:firstColumn="1" w:lastColumn="0" w:noHBand="0" w:noVBand="1"/>
      </w:tblPr>
      <w:tblGrid>
        <w:gridCol w:w="1096"/>
        <w:gridCol w:w="3439"/>
        <w:gridCol w:w="1135"/>
        <w:gridCol w:w="1164"/>
        <w:gridCol w:w="1358"/>
        <w:gridCol w:w="1329"/>
      </w:tblGrid>
      <w:tr w:rsidR="00191756" w:rsidRPr="00B82B61" w:rsidTr="0024776E">
        <w:trPr>
          <w:trHeight w:val="284"/>
          <w:jc w:val="center"/>
        </w:trPr>
        <w:tc>
          <w:tcPr>
            <w:tcW w:w="1096" w:type="dxa"/>
            <w:tcBorders>
              <w:top w:val="single" w:sz="4" w:space="0" w:color="auto"/>
              <w:bottom w:val="single" w:sz="4" w:space="0" w:color="auto"/>
            </w:tcBorders>
            <w:shd w:val="clear" w:color="auto" w:fill="auto"/>
            <w:noWrap/>
            <w:vAlign w:val="center"/>
            <w:hideMark/>
          </w:tcPr>
          <w:p w:rsidR="00361913" w:rsidRPr="00B82B61" w:rsidRDefault="0024776E" w:rsidP="0024776E">
            <w:pPr>
              <w:spacing w:before="0" w:line="220" w:lineRule="exact"/>
              <w:jc w:val="center"/>
              <w:rPr>
                <w:rFonts w:eastAsia="Times New Roman"/>
                <w:b/>
                <w:bCs/>
                <w:color w:val="000000"/>
                <w:lang w:val="en-GB" w:eastAsia="en-GB"/>
              </w:rPr>
            </w:pPr>
            <w:r>
              <w:rPr>
                <w:rFonts w:eastAsia="Times New Roman"/>
                <w:b/>
                <w:bCs/>
                <w:color w:val="000000"/>
                <w:lang w:val="en-GB" w:eastAsia="en-GB"/>
              </w:rPr>
              <w:t>b</w:t>
            </w:r>
            <w:r w:rsidR="00361913" w:rsidRPr="00B82B61">
              <w:rPr>
                <w:rFonts w:eastAsia="Times New Roman"/>
                <w:b/>
                <w:bCs/>
                <w:color w:val="000000"/>
                <w:lang w:val="en-GB" w:eastAsia="en-GB"/>
              </w:rPr>
              <w:t>one</w:t>
            </w:r>
          </w:p>
        </w:tc>
        <w:tc>
          <w:tcPr>
            <w:tcW w:w="3439" w:type="dxa"/>
            <w:tcBorders>
              <w:top w:val="single" w:sz="4" w:space="0" w:color="auto"/>
              <w:bottom w:val="single" w:sz="4" w:space="0" w:color="auto"/>
            </w:tcBorders>
            <w:shd w:val="clear" w:color="auto" w:fill="auto"/>
            <w:noWrap/>
            <w:vAlign w:val="center"/>
            <w:hideMark/>
          </w:tcPr>
          <w:p w:rsidR="00361913" w:rsidRPr="00B82B61" w:rsidRDefault="0024776E" w:rsidP="0024776E">
            <w:pPr>
              <w:spacing w:before="0" w:line="220" w:lineRule="exact"/>
              <w:jc w:val="center"/>
              <w:rPr>
                <w:rFonts w:eastAsia="Times New Roman"/>
                <w:b/>
                <w:bCs/>
                <w:color w:val="000000"/>
                <w:lang w:val="en-GB" w:eastAsia="en-GB"/>
              </w:rPr>
            </w:pPr>
            <w:r>
              <w:rPr>
                <w:rFonts w:eastAsia="Times New Roman"/>
                <w:b/>
                <w:bCs/>
                <w:color w:val="000000"/>
                <w:lang w:val="en-GB" w:eastAsia="en-GB"/>
              </w:rPr>
              <w:t>e</w:t>
            </w:r>
            <w:r w:rsidR="00361913" w:rsidRPr="00B82B61">
              <w:rPr>
                <w:rFonts w:eastAsia="Times New Roman"/>
                <w:b/>
                <w:bCs/>
                <w:color w:val="000000"/>
                <w:lang w:val="en-GB" w:eastAsia="en-GB"/>
              </w:rPr>
              <w:t>piphysis</w:t>
            </w:r>
          </w:p>
        </w:tc>
        <w:tc>
          <w:tcPr>
            <w:tcW w:w="1135" w:type="dxa"/>
            <w:tcBorders>
              <w:top w:val="single" w:sz="4" w:space="0" w:color="auto"/>
              <w:bottom w:val="single" w:sz="4" w:space="0" w:color="auto"/>
            </w:tcBorders>
            <w:shd w:val="clear" w:color="auto" w:fill="auto"/>
            <w:noWrap/>
            <w:vAlign w:val="center"/>
            <w:hideMark/>
          </w:tcPr>
          <w:p w:rsidR="00361913" w:rsidRPr="00B82B61" w:rsidRDefault="0024776E" w:rsidP="0024776E">
            <w:pPr>
              <w:spacing w:before="0" w:line="220" w:lineRule="exact"/>
              <w:jc w:val="center"/>
              <w:rPr>
                <w:rFonts w:eastAsia="Times New Roman"/>
                <w:b/>
                <w:bCs/>
                <w:color w:val="000000"/>
                <w:lang w:val="en-GB" w:eastAsia="en-GB"/>
              </w:rPr>
            </w:pPr>
            <w:r>
              <w:rPr>
                <w:rFonts w:eastAsia="Times New Roman"/>
                <w:b/>
                <w:bCs/>
                <w:color w:val="000000"/>
                <w:lang w:val="en-GB" w:eastAsia="en-GB"/>
              </w:rPr>
              <w:t>d</w:t>
            </w:r>
            <w:r w:rsidR="00361913" w:rsidRPr="00B82B61">
              <w:rPr>
                <w:rFonts w:eastAsia="Times New Roman"/>
                <w:b/>
                <w:bCs/>
                <w:color w:val="000000"/>
                <w:lang w:val="en-GB" w:eastAsia="en-GB"/>
              </w:rPr>
              <w:t>ata entries (whole sample)</w:t>
            </w:r>
          </w:p>
        </w:tc>
        <w:tc>
          <w:tcPr>
            <w:tcW w:w="1164" w:type="dxa"/>
            <w:tcBorders>
              <w:top w:val="single" w:sz="4" w:space="0" w:color="auto"/>
              <w:bottom w:val="single" w:sz="4" w:space="0" w:color="auto"/>
            </w:tcBorders>
            <w:shd w:val="clear" w:color="auto" w:fill="auto"/>
            <w:noWrap/>
            <w:vAlign w:val="center"/>
            <w:hideMark/>
          </w:tcPr>
          <w:p w:rsidR="00361913" w:rsidRPr="00B82B61" w:rsidRDefault="0024776E" w:rsidP="0024776E">
            <w:pPr>
              <w:spacing w:before="0" w:line="220" w:lineRule="exact"/>
              <w:jc w:val="center"/>
              <w:rPr>
                <w:rFonts w:eastAsia="Times New Roman"/>
                <w:b/>
                <w:bCs/>
                <w:color w:val="000000"/>
                <w:lang w:val="en-GB" w:eastAsia="en-GB"/>
              </w:rPr>
            </w:pPr>
            <w:r>
              <w:rPr>
                <w:rFonts w:eastAsia="Times New Roman"/>
                <w:b/>
                <w:bCs/>
                <w:color w:val="000000"/>
                <w:lang w:val="en-GB" w:eastAsia="en-GB"/>
              </w:rPr>
              <w:t>n</w:t>
            </w:r>
            <w:r w:rsidR="00361913" w:rsidRPr="00B82B61">
              <w:rPr>
                <w:rFonts w:eastAsia="Times New Roman"/>
                <w:b/>
                <w:bCs/>
                <w:color w:val="000000"/>
                <w:lang w:val="en-GB" w:eastAsia="en-GB"/>
              </w:rPr>
              <w:t>umber missing (whole sample)</w:t>
            </w:r>
          </w:p>
        </w:tc>
        <w:tc>
          <w:tcPr>
            <w:tcW w:w="1358" w:type="dxa"/>
            <w:tcBorders>
              <w:top w:val="single" w:sz="4" w:space="0" w:color="auto"/>
              <w:bottom w:val="single" w:sz="4" w:space="0" w:color="auto"/>
            </w:tcBorders>
            <w:shd w:val="clear" w:color="auto" w:fill="auto"/>
            <w:noWrap/>
            <w:vAlign w:val="center"/>
            <w:hideMark/>
          </w:tcPr>
          <w:p w:rsidR="00361913" w:rsidRPr="00B82B61" w:rsidRDefault="0024776E" w:rsidP="0024776E">
            <w:pPr>
              <w:spacing w:before="0" w:line="220" w:lineRule="exact"/>
              <w:jc w:val="center"/>
              <w:rPr>
                <w:rFonts w:eastAsia="Times New Roman"/>
                <w:b/>
                <w:bCs/>
                <w:color w:val="000000"/>
                <w:lang w:val="en-GB" w:eastAsia="en-GB"/>
              </w:rPr>
            </w:pPr>
            <w:r>
              <w:rPr>
                <w:rFonts w:eastAsia="Times New Roman"/>
                <w:b/>
                <w:bCs/>
                <w:color w:val="000000"/>
                <w:lang w:val="en-GB" w:eastAsia="en-GB"/>
              </w:rPr>
              <w:t>d</w:t>
            </w:r>
            <w:r w:rsidR="00361913" w:rsidRPr="00B82B61">
              <w:rPr>
                <w:rFonts w:eastAsia="Times New Roman"/>
                <w:b/>
                <w:bCs/>
                <w:color w:val="000000"/>
                <w:lang w:val="en-GB" w:eastAsia="en-GB"/>
              </w:rPr>
              <w:t>ata entries (dental score 64 individuals)</w:t>
            </w:r>
          </w:p>
        </w:tc>
        <w:tc>
          <w:tcPr>
            <w:tcW w:w="1329" w:type="dxa"/>
            <w:tcBorders>
              <w:top w:val="single" w:sz="4" w:space="0" w:color="auto"/>
              <w:bottom w:val="single" w:sz="4" w:space="0" w:color="auto"/>
            </w:tcBorders>
            <w:shd w:val="clear" w:color="auto" w:fill="auto"/>
            <w:noWrap/>
            <w:vAlign w:val="center"/>
            <w:hideMark/>
          </w:tcPr>
          <w:p w:rsidR="00361913" w:rsidRPr="00B82B61" w:rsidRDefault="0024776E" w:rsidP="0024776E">
            <w:pPr>
              <w:spacing w:before="0" w:line="220" w:lineRule="exact"/>
              <w:jc w:val="center"/>
              <w:rPr>
                <w:rFonts w:eastAsia="Times New Roman"/>
                <w:b/>
                <w:bCs/>
                <w:color w:val="000000"/>
                <w:lang w:val="en-GB" w:eastAsia="en-GB"/>
              </w:rPr>
            </w:pPr>
            <w:r>
              <w:rPr>
                <w:rFonts w:eastAsia="Times New Roman"/>
                <w:b/>
                <w:bCs/>
                <w:color w:val="000000"/>
                <w:lang w:val="en-GB" w:eastAsia="en-GB"/>
              </w:rPr>
              <w:t>n</w:t>
            </w:r>
            <w:r w:rsidR="00361913" w:rsidRPr="00B82B61">
              <w:rPr>
                <w:rFonts w:eastAsia="Times New Roman"/>
                <w:b/>
                <w:bCs/>
                <w:color w:val="000000"/>
                <w:lang w:val="en-GB" w:eastAsia="en-GB"/>
              </w:rPr>
              <w:t>umber missing (dental score 64 individuals)</w:t>
            </w:r>
          </w:p>
        </w:tc>
      </w:tr>
      <w:tr w:rsidR="001F2880" w:rsidRPr="00B82B61" w:rsidTr="0024776E">
        <w:trPr>
          <w:trHeight w:hRule="exact" w:val="284"/>
          <w:jc w:val="center"/>
        </w:trPr>
        <w:tc>
          <w:tcPr>
            <w:tcW w:w="1096" w:type="dxa"/>
            <w:vMerge w:val="restart"/>
            <w:tcBorders>
              <w:top w:val="single" w:sz="4" w:space="0" w:color="auto"/>
              <w:bottom w:val="nil"/>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Pr>
                <w:rFonts w:eastAsia="Times New Roman"/>
                <w:color w:val="000000"/>
                <w:lang w:val="en-GB" w:eastAsia="en-GB"/>
              </w:rPr>
              <w:t>h</w:t>
            </w:r>
            <w:r w:rsidRPr="00B82B61">
              <w:rPr>
                <w:rFonts w:eastAsia="Times New Roman"/>
                <w:color w:val="000000"/>
                <w:lang w:val="en-GB" w:eastAsia="en-GB"/>
              </w:rPr>
              <w:t>umerus</w:t>
            </w:r>
          </w:p>
        </w:tc>
        <w:tc>
          <w:tcPr>
            <w:tcW w:w="3439" w:type="dxa"/>
            <w:tcBorders>
              <w:top w:val="single" w:sz="4" w:space="0" w:color="auto"/>
              <w:bottom w:val="nil"/>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proximal epiphysis fusion</w:t>
            </w:r>
          </w:p>
        </w:tc>
        <w:tc>
          <w:tcPr>
            <w:tcW w:w="1135" w:type="dxa"/>
            <w:tcBorders>
              <w:top w:val="single" w:sz="4" w:space="0" w:color="auto"/>
              <w:bottom w:val="nil"/>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tcBorders>
              <w:top w:val="single" w:sz="4" w:space="0" w:color="auto"/>
              <w:bottom w:val="nil"/>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tcBorders>
              <w:top w:val="single" w:sz="4" w:space="0" w:color="auto"/>
              <w:bottom w:val="nil"/>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single" w:sz="4" w:space="0" w:color="auto"/>
              <w:bottom w:val="nil"/>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533"/>
          <w:jc w:val="center"/>
        </w:trPr>
        <w:tc>
          <w:tcPr>
            <w:tcW w:w="1096" w:type="dxa"/>
            <w:vMerge/>
            <w:tcBorders>
              <w:top w:val="nil"/>
              <w:bottom w:val="nil"/>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tcBorders>
              <w:top w:val="nil"/>
              <w:bottom w:val="nil"/>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capiptulum/trochlea/lateral epicondyle fusion</w:t>
            </w:r>
          </w:p>
        </w:tc>
        <w:tc>
          <w:tcPr>
            <w:tcW w:w="1135" w:type="dxa"/>
            <w:tcBorders>
              <w:top w:val="nil"/>
              <w:bottom w:val="nil"/>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tcBorders>
              <w:top w:val="nil"/>
              <w:bottom w:val="nil"/>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tcBorders>
              <w:top w:val="nil"/>
              <w:bottom w:val="nil"/>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nil"/>
              <w:bottom w:val="nil"/>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tcBorders>
              <w:top w:val="nil"/>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tcBorders>
              <w:top w:val="nil"/>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medial epipcondyle fusion</w:t>
            </w:r>
          </w:p>
        </w:tc>
        <w:tc>
          <w:tcPr>
            <w:tcW w:w="1135" w:type="dxa"/>
            <w:tcBorders>
              <w:top w:val="nil"/>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tcBorders>
              <w:top w:val="nil"/>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tcBorders>
              <w:top w:val="nil"/>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nil"/>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val="restart"/>
            <w:tcBorders>
              <w:top w:val="single" w:sz="4" w:space="0" w:color="auto"/>
            </w:tcBorders>
            <w:shd w:val="clear" w:color="000000" w:fill="FFFFFF"/>
            <w:noWrap/>
            <w:vAlign w:val="center"/>
            <w:hideMark/>
          </w:tcPr>
          <w:p w:rsidR="00A35CA0" w:rsidRDefault="001F2880"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r</w:t>
            </w:r>
            <w:r w:rsidRPr="00B82B61">
              <w:rPr>
                <w:rFonts w:eastAsia="Times New Roman"/>
                <w:color w:val="000000"/>
                <w:lang w:val="en-GB" w:eastAsia="en-GB"/>
              </w:rPr>
              <w:t>adius</w:t>
            </w:r>
          </w:p>
        </w:tc>
        <w:tc>
          <w:tcPr>
            <w:tcW w:w="3439" w:type="dxa"/>
            <w:tcBorders>
              <w:top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proximal epiphysis fusion</w:t>
            </w:r>
          </w:p>
        </w:tc>
        <w:tc>
          <w:tcPr>
            <w:tcW w:w="1135"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171</w:t>
            </w:r>
          </w:p>
        </w:tc>
        <w:tc>
          <w:tcPr>
            <w:tcW w:w="1164"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6</w:t>
            </w:r>
          </w:p>
        </w:tc>
        <w:tc>
          <w:tcPr>
            <w:tcW w:w="1358"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tcBorders>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epiphyses fusion</w:t>
            </w:r>
          </w:p>
        </w:tc>
        <w:tc>
          <w:tcPr>
            <w:tcW w:w="1135"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170</w:t>
            </w:r>
          </w:p>
        </w:tc>
        <w:tc>
          <w:tcPr>
            <w:tcW w:w="1164"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7</w:t>
            </w:r>
          </w:p>
        </w:tc>
        <w:tc>
          <w:tcPr>
            <w:tcW w:w="1358"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val="restart"/>
            <w:tcBorders>
              <w:top w:val="single" w:sz="4" w:space="0" w:color="auto"/>
            </w:tcBorders>
            <w:shd w:val="clear" w:color="000000" w:fill="FFFFFF"/>
            <w:noWrap/>
            <w:vAlign w:val="center"/>
            <w:hideMark/>
          </w:tcPr>
          <w:p w:rsidR="00A35CA0" w:rsidRDefault="001F2880"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u</w:t>
            </w:r>
            <w:r w:rsidRPr="00B82B61">
              <w:rPr>
                <w:rFonts w:eastAsia="Times New Roman"/>
                <w:color w:val="000000"/>
                <w:lang w:val="en-GB" w:eastAsia="en-GB"/>
              </w:rPr>
              <w:t>lna</w:t>
            </w:r>
          </w:p>
        </w:tc>
        <w:tc>
          <w:tcPr>
            <w:tcW w:w="3439" w:type="dxa"/>
            <w:tcBorders>
              <w:top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proximal epiphysis fusion</w:t>
            </w:r>
          </w:p>
        </w:tc>
        <w:tc>
          <w:tcPr>
            <w:tcW w:w="1135"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172</w:t>
            </w:r>
          </w:p>
        </w:tc>
        <w:tc>
          <w:tcPr>
            <w:tcW w:w="1164"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5</w:t>
            </w:r>
          </w:p>
        </w:tc>
        <w:tc>
          <w:tcPr>
            <w:tcW w:w="1358"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tcBorders>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epiphyses fusion</w:t>
            </w:r>
          </w:p>
        </w:tc>
        <w:tc>
          <w:tcPr>
            <w:tcW w:w="1135"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171</w:t>
            </w:r>
          </w:p>
        </w:tc>
        <w:tc>
          <w:tcPr>
            <w:tcW w:w="1164"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6</w:t>
            </w:r>
          </w:p>
        </w:tc>
        <w:tc>
          <w:tcPr>
            <w:tcW w:w="1358"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val="restart"/>
            <w:tcBorders>
              <w:top w:val="single" w:sz="4" w:space="0" w:color="auto"/>
            </w:tcBorders>
            <w:shd w:val="clear" w:color="000000" w:fill="FFFFFF"/>
            <w:noWrap/>
            <w:vAlign w:val="center"/>
            <w:hideMark/>
          </w:tcPr>
          <w:p w:rsidR="00A35CA0" w:rsidRDefault="001F2880" w:rsidP="00CA5FBB">
            <w:pPr>
              <w:spacing w:before="0" w:line="240" w:lineRule="auto"/>
              <w:ind w:right="56"/>
              <w:jc w:val="center"/>
              <w:rPr>
                <w:rFonts w:eastAsia="Times New Roman"/>
                <w:b/>
                <w:bCs/>
                <w:color w:val="000000"/>
                <w:sz w:val="24"/>
                <w:szCs w:val="24"/>
                <w:lang w:val="en-GB" w:eastAsia="en-GB"/>
              </w:rPr>
            </w:pPr>
            <w:r>
              <w:rPr>
                <w:rFonts w:eastAsia="Times New Roman"/>
                <w:color w:val="000000"/>
                <w:lang w:val="en-GB" w:eastAsia="en-GB"/>
              </w:rPr>
              <w:t>h</w:t>
            </w:r>
            <w:r w:rsidRPr="00B82B61">
              <w:rPr>
                <w:rFonts w:eastAsia="Times New Roman"/>
                <w:color w:val="000000"/>
                <w:lang w:val="en-GB" w:eastAsia="en-GB"/>
              </w:rPr>
              <w:t>an</w:t>
            </w:r>
            <w:r>
              <w:rPr>
                <w:rFonts w:eastAsia="Times New Roman"/>
                <w:color w:val="000000"/>
                <w:lang w:val="en-GB" w:eastAsia="en-GB"/>
              </w:rPr>
              <w:t>d</w:t>
            </w:r>
          </w:p>
        </w:tc>
        <w:tc>
          <w:tcPr>
            <w:tcW w:w="3439" w:type="dxa"/>
            <w:tcBorders>
              <w:top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phalangeal epiphyses fusion</w:t>
            </w:r>
          </w:p>
        </w:tc>
        <w:tc>
          <w:tcPr>
            <w:tcW w:w="1135"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66</w:t>
            </w:r>
          </w:p>
        </w:tc>
        <w:tc>
          <w:tcPr>
            <w:tcW w:w="1164"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111</w:t>
            </w:r>
          </w:p>
        </w:tc>
        <w:tc>
          <w:tcPr>
            <w:tcW w:w="1358"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6</w:t>
            </w:r>
          </w:p>
        </w:tc>
        <w:tc>
          <w:tcPr>
            <w:tcW w:w="1329"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24</w:t>
            </w:r>
          </w:p>
        </w:tc>
      </w:tr>
      <w:tr w:rsidR="001F2880" w:rsidRPr="00B82B61" w:rsidTr="0024776E">
        <w:trPr>
          <w:trHeight w:hRule="exact" w:val="284"/>
          <w:jc w:val="center"/>
        </w:trPr>
        <w:tc>
          <w:tcPr>
            <w:tcW w:w="1096" w:type="dxa"/>
            <w:vMerge/>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base of metacarpal 1 fusion</w:t>
            </w:r>
          </w:p>
        </w:tc>
        <w:tc>
          <w:tcPr>
            <w:tcW w:w="1135"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134</w:t>
            </w:r>
          </w:p>
        </w:tc>
        <w:tc>
          <w:tcPr>
            <w:tcW w:w="1164"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43</w:t>
            </w:r>
          </w:p>
        </w:tc>
        <w:tc>
          <w:tcPr>
            <w:tcW w:w="1358"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27</w:t>
            </w:r>
          </w:p>
        </w:tc>
        <w:tc>
          <w:tcPr>
            <w:tcW w:w="1329"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w:t>
            </w:r>
          </w:p>
        </w:tc>
      </w:tr>
      <w:tr w:rsidR="001F2880" w:rsidRPr="00B82B61" w:rsidTr="0024776E">
        <w:trPr>
          <w:trHeight w:val="284"/>
          <w:jc w:val="center"/>
        </w:trPr>
        <w:tc>
          <w:tcPr>
            <w:tcW w:w="1096" w:type="dxa"/>
            <w:vMerge/>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proximal and middle phalangeal epiphysis fusion</w:t>
            </w:r>
          </w:p>
        </w:tc>
        <w:tc>
          <w:tcPr>
            <w:tcW w:w="1135"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150</w:t>
            </w:r>
          </w:p>
        </w:tc>
        <w:tc>
          <w:tcPr>
            <w:tcW w:w="1164"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27</w:t>
            </w:r>
          </w:p>
        </w:tc>
        <w:tc>
          <w:tcPr>
            <w:tcW w:w="1358"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29</w:t>
            </w:r>
          </w:p>
        </w:tc>
        <w:tc>
          <w:tcPr>
            <w:tcW w:w="1329"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w:t>
            </w:r>
          </w:p>
        </w:tc>
      </w:tr>
      <w:tr w:rsidR="001F2880" w:rsidRPr="00B82B61" w:rsidTr="0024776E">
        <w:trPr>
          <w:trHeight w:hRule="exact" w:val="284"/>
          <w:jc w:val="center"/>
        </w:trPr>
        <w:tc>
          <w:tcPr>
            <w:tcW w:w="1096" w:type="dxa"/>
            <w:vMerge/>
            <w:tcBorders>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heads of metacarpals 2-5 fusion</w:t>
            </w:r>
          </w:p>
        </w:tc>
        <w:tc>
          <w:tcPr>
            <w:tcW w:w="1135"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162</w:t>
            </w:r>
          </w:p>
        </w:tc>
        <w:tc>
          <w:tcPr>
            <w:tcW w:w="1164"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15</w:t>
            </w:r>
          </w:p>
        </w:tc>
        <w:tc>
          <w:tcPr>
            <w:tcW w:w="1358"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29</w:t>
            </w:r>
          </w:p>
        </w:tc>
        <w:tc>
          <w:tcPr>
            <w:tcW w:w="1329"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w:t>
            </w:r>
          </w:p>
        </w:tc>
      </w:tr>
      <w:tr w:rsidR="001F2880" w:rsidRPr="00B82B61" w:rsidTr="0024776E">
        <w:trPr>
          <w:trHeight w:hRule="exact" w:val="284"/>
          <w:jc w:val="center"/>
        </w:trPr>
        <w:tc>
          <w:tcPr>
            <w:tcW w:w="1096" w:type="dxa"/>
            <w:vMerge w:val="restart"/>
            <w:tcBorders>
              <w:top w:val="single" w:sz="4" w:space="0" w:color="auto"/>
            </w:tcBorders>
            <w:shd w:val="clear" w:color="auto" w:fill="auto"/>
            <w:noWrap/>
            <w:vAlign w:val="center"/>
            <w:hideMark/>
          </w:tcPr>
          <w:p w:rsidR="00A35CA0" w:rsidRDefault="001F2880"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f</w:t>
            </w:r>
            <w:r w:rsidRPr="00B82B61">
              <w:rPr>
                <w:rFonts w:eastAsia="Times New Roman"/>
                <w:color w:val="000000"/>
                <w:lang w:val="en-GB" w:eastAsia="en-GB"/>
              </w:rPr>
              <w:t>emu</w:t>
            </w:r>
            <w:r w:rsidR="007E409C">
              <w:rPr>
                <w:rFonts w:eastAsia="Times New Roman"/>
                <w:color w:val="000000"/>
                <w:lang w:val="en-GB" w:eastAsia="en-GB"/>
              </w:rPr>
              <w:t>r</w:t>
            </w:r>
          </w:p>
        </w:tc>
        <w:tc>
          <w:tcPr>
            <w:tcW w:w="3439" w:type="dxa"/>
            <w:tcBorders>
              <w:top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femoral head fusion</w:t>
            </w:r>
          </w:p>
        </w:tc>
        <w:tc>
          <w:tcPr>
            <w:tcW w:w="1135"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greater trochanter fusion</w:t>
            </w:r>
          </w:p>
        </w:tc>
        <w:tc>
          <w:tcPr>
            <w:tcW w:w="1135"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lesser trochanter fusion</w:t>
            </w:r>
          </w:p>
        </w:tc>
        <w:tc>
          <w:tcPr>
            <w:tcW w:w="1135"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1F2880" w:rsidRPr="00B82B61" w:rsidTr="0024776E">
        <w:trPr>
          <w:trHeight w:hRule="exact" w:val="284"/>
          <w:jc w:val="center"/>
        </w:trPr>
        <w:tc>
          <w:tcPr>
            <w:tcW w:w="1096" w:type="dxa"/>
            <w:vMerge/>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epiphysis fusion</w:t>
            </w:r>
          </w:p>
        </w:tc>
        <w:tc>
          <w:tcPr>
            <w:tcW w:w="1135"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bottom w:val="single" w:sz="4" w:space="0" w:color="auto"/>
            </w:tcBorders>
            <w:shd w:val="clear" w:color="auto" w:fill="auto"/>
            <w:noWrap/>
            <w:vAlign w:val="center"/>
            <w:hideMark/>
          </w:tcPr>
          <w:p w:rsidR="001F2880" w:rsidRPr="00B82B61" w:rsidRDefault="001F2880"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284"/>
          <w:jc w:val="center"/>
        </w:trPr>
        <w:tc>
          <w:tcPr>
            <w:tcW w:w="1096" w:type="dxa"/>
            <w:vMerge w:val="restart"/>
            <w:tcBorders>
              <w:top w:val="single" w:sz="4" w:space="0" w:color="auto"/>
            </w:tcBorders>
            <w:shd w:val="clear" w:color="auto" w:fill="auto"/>
            <w:noWrap/>
            <w:vAlign w:val="center"/>
            <w:hideMark/>
          </w:tcPr>
          <w:p w:rsidR="00A35CA0" w:rsidRDefault="007E409C"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t</w:t>
            </w:r>
            <w:r w:rsidRPr="00B82B61">
              <w:rPr>
                <w:rFonts w:eastAsia="Times New Roman"/>
                <w:color w:val="000000"/>
                <w:lang w:val="en-GB" w:eastAsia="en-GB"/>
              </w:rPr>
              <w:t>ibia</w:t>
            </w:r>
          </w:p>
        </w:tc>
        <w:tc>
          <w:tcPr>
            <w:tcW w:w="3439" w:type="dxa"/>
            <w:tcBorders>
              <w:top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proximal epiphysis fusion</w:t>
            </w:r>
          </w:p>
        </w:tc>
        <w:tc>
          <w:tcPr>
            <w:tcW w:w="1135"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172</w:t>
            </w:r>
          </w:p>
        </w:tc>
        <w:tc>
          <w:tcPr>
            <w:tcW w:w="1164"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5</w:t>
            </w:r>
          </w:p>
        </w:tc>
        <w:tc>
          <w:tcPr>
            <w:tcW w:w="1358"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284"/>
          <w:jc w:val="center"/>
        </w:trPr>
        <w:tc>
          <w:tcPr>
            <w:tcW w:w="1096" w:type="dxa"/>
            <w:vMerge/>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epiphysis fusion</w:t>
            </w:r>
          </w:p>
        </w:tc>
        <w:tc>
          <w:tcPr>
            <w:tcW w:w="1135"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171</w:t>
            </w:r>
          </w:p>
        </w:tc>
        <w:tc>
          <w:tcPr>
            <w:tcW w:w="1164"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6</w:t>
            </w:r>
          </w:p>
        </w:tc>
        <w:tc>
          <w:tcPr>
            <w:tcW w:w="1358"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284"/>
          <w:jc w:val="center"/>
        </w:trPr>
        <w:tc>
          <w:tcPr>
            <w:tcW w:w="1096" w:type="dxa"/>
            <w:vMerge w:val="restart"/>
            <w:tcBorders>
              <w:top w:val="single" w:sz="4" w:space="0" w:color="auto"/>
            </w:tcBorders>
            <w:shd w:val="clear" w:color="auto" w:fill="auto"/>
            <w:noWrap/>
            <w:vAlign w:val="center"/>
            <w:hideMark/>
          </w:tcPr>
          <w:p w:rsidR="00A35CA0" w:rsidRDefault="007E409C"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f</w:t>
            </w:r>
            <w:r w:rsidRPr="00B82B61">
              <w:rPr>
                <w:rFonts w:eastAsia="Times New Roman"/>
                <w:color w:val="000000"/>
                <w:lang w:val="en-GB" w:eastAsia="en-GB"/>
              </w:rPr>
              <w:t>ibula</w:t>
            </w:r>
          </w:p>
        </w:tc>
        <w:tc>
          <w:tcPr>
            <w:tcW w:w="3439" w:type="dxa"/>
            <w:tcBorders>
              <w:top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proximal epiphysis fusion</w:t>
            </w:r>
          </w:p>
        </w:tc>
        <w:tc>
          <w:tcPr>
            <w:tcW w:w="1135"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170</w:t>
            </w:r>
          </w:p>
        </w:tc>
        <w:tc>
          <w:tcPr>
            <w:tcW w:w="1164"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7</w:t>
            </w:r>
          </w:p>
        </w:tc>
        <w:tc>
          <w:tcPr>
            <w:tcW w:w="1358"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29</w:t>
            </w:r>
          </w:p>
        </w:tc>
        <w:tc>
          <w:tcPr>
            <w:tcW w:w="1329"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w:t>
            </w:r>
          </w:p>
        </w:tc>
      </w:tr>
      <w:tr w:rsidR="007E409C" w:rsidRPr="00B82B61" w:rsidTr="0024776E">
        <w:trPr>
          <w:trHeight w:hRule="exact" w:val="284"/>
          <w:jc w:val="center"/>
        </w:trPr>
        <w:tc>
          <w:tcPr>
            <w:tcW w:w="1096" w:type="dxa"/>
            <w:vMerge/>
            <w:tcBorders>
              <w:bottom w:val="single" w:sz="4" w:space="0" w:color="auto"/>
            </w:tcBorders>
            <w:shd w:val="clear" w:color="auto" w:fill="auto"/>
            <w:noWrap/>
            <w:vAlign w:val="center"/>
            <w:hideMark/>
          </w:tcPr>
          <w:p w:rsidR="00A35CA0" w:rsidRDefault="00A35CA0">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epiphysis fusion</w:t>
            </w:r>
          </w:p>
        </w:tc>
        <w:tc>
          <w:tcPr>
            <w:tcW w:w="1135"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171</w:t>
            </w:r>
          </w:p>
        </w:tc>
        <w:tc>
          <w:tcPr>
            <w:tcW w:w="1164"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6</w:t>
            </w:r>
          </w:p>
        </w:tc>
        <w:tc>
          <w:tcPr>
            <w:tcW w:w="1358"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284"/>
          <w:jc w:val="center"/>
        </w:trPr>
        <w:tc>
          <w:tcPr>
            <w:tcW w:w="1096" w:type="dxa"/>
            <w:vMerge w:val="restart"/>
            <w:tcBorders>
              <w:top w:val="single" w:sz="4" w:space="0" w:color="auto"/>
            </w:tcBorders>
            <w:shd w:val="clear" w:color="auto" w:fill="auto"/>
            <w:noWrap/>
            <w:vAlign w:val="center"/>
            <w:hideMark/>
          </w:tcPr>
          <w:p w:rsidR="00A35CA0" w:rsidRDefault="007E409C"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f</w:t>
            </w:r>
            <w:r w:rsidRPr="00B82B61">
              <w:rPr>
                <w:rFonts w:eastAsia="Times New Roman"/>
                <w:color w:val="000000"/>
                <w:lang w:val="en-GB" w:eastAsia="en-GB"/>
              </w:rPr>
              <w:t>oot</w:t>
            </w:r>
          </w:p>
        </w:tc>
        <w:tc>
          <w:tcPr>
            <w:tcW w:w="3439" w:type="dxa"/>
            <w:tcBorders>
              <w:top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calcaneal epiphysis fusion</w:t>
            </w:r>
          </w:p>
        </w:tc>
        <w:tc>
          <w:tcPr>
            <w:tcW w:w="1135"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163</w:t>
            </w:r>
          </w:p>
        </w:tc>
        <w:tc>
          <w:tcPr>
            <w:tcW w:w="1164"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14</w:t>
            </w:r>
          </w:p>
        </w:tc>
        <w:tc>
          <w:tcPr>
            <w:tcW w:w="1358"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29</w:t>
            </w:r>
          </w:p>
        </w:tc>
        <w:tc>
          <w:tcPr>
            <w:tcW w:w="1329"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w:t>
            </w:r>
          </w:p>
        </w:tc>
      </w:tr>
      <w:tr w:rsidR="007E409C" w:rsidRPr="00B82B61" w:rsidTr="0024776E">
        <w:trPr>
          <w:trHeight w:hRule="exact" w:val="284"/>
          <w:jc w:val="center"/>
        </w:trPr>
        <w:tc>
          <w:tcPr>
            <w:tcW w:w="1096" w:type="dxa"/>
            <w:vMerge/>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talar epiphysis fusion</w:t>
            </w:r>
          </w:p>
        </w:tc>
        <w:tc>
          <w:tcPr>
            <w:tcW w:w="1135"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160</w:t>
            </w:r>
          </w:p>
        </w:tc>
        <w:tc>
          <w:tcPr>
            <w:tcW w:w="1164"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w:t>
            </w:r>
          </w:p>
        </w:tc>
        <w:tc>
          <w:tcPr>
            <w:tcW w:w="1358"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29</w:t>
            </w:r>
          </w:p>
        </w:tc>
        <w:tc>
          <w:tcPr>
            <w:tcW w:w="1329"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w:t>
            </w:r>
          </w:p>
        </w:tc>
      </w:tr>
      <w:tr w:rsidR="007E409C" w:rsidRPr="00B82B61" w:rsidTr="0024776E">
        <w:trPr>
          <w:trHeight w:val="284"/>
          <w:jc w:val="center"/>
        </w:trPr>
        <w:tc>
          <w:tcPr>
            <w:tcW w:w="1096" w:type="dxa"/>
            <w:vMerge/>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distal phalanges, middle phalanges, metatarsal heads 2-5 fusion</w:t>
            </w:r>
          </w:p>
        </w:tc>
        <w:tc>
          <w:tcPr>
            <w:tcW w:w="1135"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156</w:t>
            </w:r>
          </w:p>
        </w:tc>
        <w:tc>
          <w:tcPr>
            <w:tcW w:w="1164"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21</w:t>
            </w:r>
          </w:p>
        </w:tc>
        <w:tc>
          <w:tcPr>
            <w:tcW w:w="1358"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28</w:t>
            </w:r>
          </w:p>
        </w:tc>
        <w:tc>
          <w:tcPr>
            <w:tcW w:w="1329"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w:t>
            </w:r>
          </w:p>
        </w:tc>
      </w:tr>
      <w:tr w:rsidR="007E409C" w:rsidRPr="00B82B61" w:rsidTr="0024776E">
        <w:trPr>
          <w:trHeight w:val="284"/>
          <w:jc w:val="center"/>
        </w:trPr>
        <w:tc>
          <w:tcPr>
            <w:tcW w:w="1096" w:type="dxa"/>
            <w:vMerge/>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proximal phalanges and base of metatarsal 1 fusion</w:t>
            </w:r>
          </w:p>
        </w:tc>
        <w:tc>
          <w:tcPr>
            <w:tcW w:w="1135"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160</w:t>
            </w:r>
          </w:p>
        </w:tc>
        <w:tc>
          <w:tcPr>
            <w:tcW w:w="1164"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w:t>
            </w:r>
          </w:p>
        </w:tc>
        <w:tc>
          <w:tcPr>
            <w:tcW w:w="1358"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29</w:t>
            </w:r>
          </w:p>
        </w:tc>
        <w:tc>
          <w:tcPr>
            <w:tcW w:w="1329"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w:t>
            </w:r>
          </w:p>
        </w:tc>
      </w:tr>
      <w:tr w:rsidR="007E409C" w:rsidRPr="00B82B61" w:rsidTr="0024776E">
        <w:trPr>
          <w:trHeight w:hRule="exact" w:val="284"/>
          <w:jc w:val="center"/>
        </w:trPr>
        <w:tc>
          <w:tcPr>
            <w:tcW w:w="1096" w:type="dxa"/>
            <w:vMerge w:val="restart"/>
            <w:tcBorders>
              <w:top w:val="single" w:sz="4" w:space="0" w:color="auto"/>
            </w:tcBorders>
            <w:shd w:val="clear" w:color="auto" w:fill="auto"/>
            <w:noWrap/>
            <w:vAlign w:val="center"/>
            <w:hideMark/>
          </w:tcPr>
          <w:p w:rsidR="00A35CA0" w:rsidRDefault="007E409C"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p</w:t>
            </w:r>
            <w:r w:rsidRPr="00B82B61">
              <w:rPr>
                <w:rFonts w:eastAsia="Times New Roman"/>
                <w:color w:val="000000"/>
                <w:lang w:val="en-GB" w:eastAsia="en-GB"/>
              </w:rPr>
              <w:t>elvis</w:t>
            </w:r>
          </w:p>
        </w:tc>
        <w:tc>
          <w:tcPr>
            <w:tcW w:w="3439" w:type="dxa"/>
            <w:tcBorders>
              <w:top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triradiate epiphysis fusion</w:t>
            </w:r>
          </w:p>
        </w:tc>
        <w:tc>
          <w:tcPr>
            <w:tcW w:w="1135"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284"/>
          <w:jc w:val="center"/>
        </w:trPr>
        <w:tc>
          <w:tcPr>
            <w:tcW w:w="1096" w:type="dxa"/>
            <w:vMerge/>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anterior inferior iliac spine fusion</w:t>
            </w:r>
          </w:p>
        </w:tc>
        <w:tc>
          <w:tcPr>
            <w:tcW w:w="1135"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170</w:t>
            </w:r>
          </w:p>
        </w:tc>
        <w:tc>
          <w:tcPr>
            <w:tcW w:w="1164"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7</w:t>
            </w:r>
          </w:p>
        </w:tc>
        <w:tc>
          <w:tcPr>
            <w:tcW w:w="1358"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29</w:t>
            </w:r>
          </w:p>
        </w:tc>
        <w:tc>
          <w:tcPr>
            <w:tcW w:w="1329"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w:t>
            </w:r>
          </w:p>
        </w:tc>
      </w:tr>
      <w:tr w:rsidR="007E409C" w:rsidRPr="00B82B61" w:rsidTr="0024776E">
        <w:trPr>
          <w:trHeight w:hRule="exact" w:val="284"/>
          <w:jc w:val="center"/>
        </w:trPr>
        <w:tc>
          <w:tcPr>
            <w:tcW w:w="1096" w:type="dxa"/>
            <w:vMerge/>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iliac crest fusion</w:t>
            </w:r>
          </w:p>
        </w:tc>
        <w:tc>
          <w:tcPr>
            <w:tcW w:w="1135"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167</w:t>
            </w:r>
          </w:p>
        </w:tc>
        <w:tc>
          <w:tcPr>
            <w:tcW w:w="1164"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10</w:t>
            </w:r>
          </w:p>
        </w:tc>
        <w:tc>
          <w:tcPr>
            <w:tcW w:w="1358"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28</w:t>
            </w:r>
          </w:p>
        </w:tc>
        <w:tc>
          <w:tcPr>
            <w:tcW w:w="1329"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w:t>
            </w:r>
          </w:p>
        </w:tc>
      </w:tr>
      <w:tr w:rsidR="007E409C" w:rsidRPr="00B82B61" w:rsidTr="0024776E">
        <w:trPr>
          <w:trHeight w:hRule="exact" w:val="284"/>
          <w:jc w:val="center"/>
        </w:trPr>
        <w:tc>
          <w:tcPr>
            <w:tcW w:w="1096" w:type="dxa"/>
            <w:vMerge/>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ischial epiphysis fusion</w:t>
            </w:r>
          </w:p>
        </w:tc>
        <w:tc>
          <w:tcPr>
            <w:tcW w:w="1135"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169</w:t>
            </w:r>
          </w:p>
        </w:tc>
        <w:tc>
          <w:tcPr>
            <w:tcW w:w="1164"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8</w:t>
            </w:r>
          </w:p>
        </w:tc>
        <w:tc>
          <w:tcPr>
            <w:tcW w:w="1358"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28</w:t>
            </w:r>
          </w:p>
        </w:tc>
        <w:tc>
          <w:tcPr>
            <w:tcW w:w="1329"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w:t>
            </w:r>
          </w:p>
        </w:tc>
      </w:tr>
      <w:tr w:rsidR="007E409C" w:rsidRPr="00B82B61" w:rsidTr="0024776E">
        <w:trPr>
          <w:trHeight w:hRule="exact" w:val="284"/>
          <w:jc w:val="center"/>
        </w:trPr>
        <w:tc>
          <w:tcPr>
            <w:tcW w:w="1096" w:type="dxa"/>
            <w:vMerge w:val="restart"/>
            <w:tcBorders>
              <w:top w:val="single" w:sz="4" w:space="0" w:color="auto"/>
            </w:tcBorders>
            <w:shd w:val="clear" w:color="auto" w:fill="auto"/>
            <w:noWrap/>
            <w:vAlign w:val="center"/>
            <w:hideMark/>
          </w:tcPr>
          <w:p w:rsidR="00A35CA0" w:rsidRDefault="007E409C"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c</w:t>
            </w:r>
            <w:r w:rsidRPr="00B82B61">
              <w:rPr>
                <w:rFonts w:eastAsia="Times New Roman"/>
                <w:color w:val="000000"/>
                <w:lang w:val="en-GB" w:eastAsia="en-GB"/>
              </w:rPr>
              <w:t>lavicle</w:t>
            </w:r>
          </w:p>
        </w:tc>
        <w:tc>
          <w:tcPr>
            <w:tcW w:w="3439" w:type="dxa"/>
            <w:tcBorders>
              <w:top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medial epiphysis fusion</w:t>
            </w:r>
          </w:p>
        </w:tc>
        <w:tc>
          <w:tcPr>
            <w:tcW w:w="1135"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171</w:t>
            </w:r>
          </w:p>
        </w:tc>
        <w:tc>
          <w:tcPr>
            <w:tcW w:w="1164"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6</w:t>
            </w:r>
          </w:p>
        </w:tc>
        <w:tc>
          <w:tcPr>
            <w:tcW w:w="1358"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284"/>
          <w:jc w:val="center"/>
        </w:trPr>
        <w:tc>
          <w:tcPr>
            <w:tcW w:w="1096" w:type="dxa"/>
            <w:vMerge/>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lateral epiphysis fusion</w:t>
            </w:r>
          </w:p>
        </w:tc>
        <w:tc>
          <w:tcPr>
            <w:tcW w:w="1135"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159</w:t>
            </w:r>
          </w:p>
        </w:tc>
        <w:tc>
          <w:tcPr>
            <w:tcW w:w="1164"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18</w:t>
            </w:r>
          </w:p>
        </w:tc>
        <w:tc>
          <w:tcPr>
            <w:tcW w:w="1358"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28</w:t>
            </w:r>
          </w:p>
        </w:tc>
        <w:tc>
          <w:tcPr>
            <w:tcW w:w="1329"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w:t>
            </w:r>
          </w:p>
        </w:tc>
      </w:tr>
      <w:tr w:rsidR="007E409C" w:rsidRPr="00B82B61" w:rsidTr="0024776E">
        <w:trPr>
          <w:trHeight w:hRule="exact" w:val="284"/>
          <w:jc w:val="center"/>
        </w:trPr>
        <w:tc>
          <w:tcPr>
            <w:tcW w:w="1096" w:type="dxa"/>
            <w:vMerge w:val="restart"/>
            <w:tcBorders>
              <w:top w:val="single" w:sz="4" w:space="0" w:color="auto"/>
            </w:tcBorders>
            <w:shd w:val="clear" w:color="auto" w:fill="auto"/>
            <w:noWrap/>
            <w:vAlign w:val="center"/>
            <w:hideMark/>
          </w:tcPr>
          <w:p w:rsidR="00A35CA0" w:rsidRDefault="007E409C"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s</w:t>
            </w:r>
            <w:r w:rsidRPr="00B82B61">
              <w:rPr>
                <w:rFonts w:eastAsia="Times New Roman"/>
                <w:color w:val="000000"/>
                <w:lang w:val="en-GB" w:eastAsia="en-GB"/>
              </w:rPr>
              <w:t>capula</w:t>
            </w:r>
          </w:p>
        </w:tc>
        <w:tc>
          <w:tcPr>
            <w:tcW w:w="3439" w:type="dxa"/>
            <w:tcBorders>
              <w:top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coracoid process fusion</w:t>
            </w:r>
          </w:p>
        </w:tc>
        <w:tc>
          <w:tcPr>
            <w:tcW w:w="1135"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173</w:t>
            </w:r>
          </w:p>
        </w:tc>
        <w:tc>
          <w:tcPr>
            <w:tcW w:w="1164"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4</w:t>
            </w:r>
          </w:p>
        </w:tc>
        <w:tc>
          <w:tcPr>
            <w:tcW w:w="1358"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tcBorders>
              <w:top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551"/>
          <w:jc w:val="center"/>
        </w:trPr>
        <w:tc>
          <w:tcPr>
            <w:tcW w:w="1096" w:type="dxa"/>
            <w:vMerge/>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sub-coracoid centre and glenoid epiphysis fusion</w:t>
            </w:r>
          </w:p>
        </w:tc>
        <w:tc>
          <w:tcPr>
            <w:tcW w:w="1135"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172</w:t>
            </w:r>
          </w:p>
        </w:tc>
        <w:tc>
          <w:tcPr>
            <w:tcW w:w="1164"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5</w:t>
            </w:r>
          </w:p>
        </w:tc>
        <w:tc>
          <w:tcPr>
            <w:tcW w:w="1358"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284"/>
          <w:jc w:val="center"/>
        </w:trPr>
        <w:tc>
          <w:tcPr>
            <w:tcW w:w="1096" w:type="dxa"/>
            <w:vMerge/>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acromial epiphysis fusion</w:t>
            </w:r>
          </w:p>
        </w:tc>
        <w:tc>
          <w:tcPr>
            <w:tcW w:w="1135"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172</w:t>
            </w:r>
          </w:p>
        </w:tc>
        <w:tc>
          <w:tcPr>
            <w:tcW w:w="1164"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5</w:t>
            </w:r>
          </w:p>
        </w:tc>
        <w:tc>
          <w:tcPr>
            <w:tcW w:w="1358"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30</w:t>
            </w:r>
          </w:p>
        </w:tc>
        <w:tc>
          <w:tcPr>
            <w:tcW w:w="1329" w:type="dxa"/>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0</w:t>
            </w:r>
          </w:p>
        </w:tc>
      </w:tr>
      <w:tr w:rsidR="007E409C" w:rsidRPr="00B82B61" w:rsidTr="0024776E">
        <w:trPr>
          <w:trHeight w:hRule="exact" w:val="284"/>
          <w:jc w:val="center"/>
        </w:trPr>
        <w:tc>
          <w:tcPr>
            <w:tcW w:w="1096" w:type="dxa"/>
            <w:vMerge/>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p>
        </w:tc>
        <w:tc>
          <w:tcPr>
            <w:tcW w:w="3439" w:type="dxa"/>
            <w:tcBorders>
              <w:bottom w:val="single" w:sz="4" w:space="0" w:color="auto"/>
            </w:tcBorders>
            <w:shd w:val="clear" w:color="000000" w:fill="FFFFFF"/>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medial border</w:t>
            </w:r>
          </w:p>
        </w:tc>
        <w:tc>
          <w:tcPr>
            <w:tcW w:w="1135"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170</w:t>
            </w:r>
          </w:p>
        </w:tc>
        <w:tc>
          <w:tcPr>
            <w:tcW w:w="1164"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7</w:t>
            </w:r>
          </w:p>
        </w:tc>
        <w:tc>
          <w:tcPr>
            <w:tcW w:w="1358"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29</w:t>
            </w:r>
          </w:p>
        </w:tc>
        <w:tc>
          <w:tcPr>
            <w:tcW w:w="1329" w:type="dxa"/>
            <w:tcBorders>
              <w:bottom w:val="single" w:sz="4" w:space="0" w:color="auto"/>
            </w:tcBorders>
            <w:shd w:val="clear" w:color="auto" w:fill="auto"/>
            <w:noWrap/>
            <w:vAlign w:val="center"/>
            <w:hideMark/>
          </w:tcPr>
          <w:p w:rsidR="007E409C" w:rsidRPr="00B82B61" w:rsidRDefault="007E409C" w:rsidP="0024776E">
            <w:pPr>
              <w:spacing w:before="0" w:line="240" w:lineRule="auto"/>
              <w:jc w:val="center"/>
              <w:rPr>
                <w:rFonts w:eastAsia="Times New Roman"/>
                <w:color w:val="000000"/>
                <w:lang w:val="en-GB" w:eastAsia="en-GB"/>
              </w:rPr>
            </w:pPr>
            <w:r w:rsidRPr="00B82B61">
              <w:rPr>
                <w:rFonts w:eastAsia="Times New Roman"/>
                <w:color w:val="000000"/>
                <w:lang w:val="en-GB" w:eastAsia="en-GB"/>
              </w:rPr>
              <w:t>1</w:t>
            </w:r>
          </w:p>
        </w:tc>
      </w:tr>
      <w:tr w:rsidR="00097275" w:rsidRPr="00B82B61" w:rsidTr="0024776E">
        <w:trPr>
          <w:trHeight w:hRule="exact" w:val="284"/>
          <w:jc w:val="center"/>
        </w:trPr>
        <w:tc>
          <w:tcPr>
            <w:tcW w:w="4535" w:type="dxa"/>
            <w:gridSpan w:val="2"/>
            <w:tcBorders>
              <w:top w:val="single" w:sz="4" w:space="0" w:color="auto"/>
            </w:tcBorders>
            <w:shd w:val="clear" w:color="auto" w:fill="auto"/>
            <w:noWrap/>
            <w:vAlign w:val="center"/>
            <w:hideMark/>
          </w:tcPr>
          <w:p w:rsidR="00097275" w:rsidRPr="00B82B61" w:rsidRDefault="00097275" w:rsidP="0024776E">
            <w:pPr>
              <w:spacing w:before="0" w:line="240" w:lineRule="auto"/>
              <w:jc w:val="center"/>
              <w:rPr>
                <w:rFonts w:eastAsia="Times New Roman"/>
                <w:b/>
                <w:bCs/>
                <w:color w:val="000000"/>
                <w:lang w:val="en-GB" w:eastAsia="en-GB"/>
              </w:rPr>
            </w:pPr>
            <w:r w:rsidRPr="00B82B61">
              <w:rPr>
                <w:rFonts w:eastAsia="Times New Roman"/>
                <w:b/>
                <w:bCs/>
                <w:color w:val="000000"/>
                <w:lang w:val="en-GB" w:eastAsia="en-GB"/>
              </w:rPr>
              <w:t>mean values</w:t>
            </w:r>
          </w:p>
        </w:tc>
        <w:tc>
          <w:tcPr>
            <w:tcW w:w="1135" w:type="dxa"/>
            <w:tcBorders>
              <w:top w:val="single" w:sz="4" w:space="0" w:color="auto"/>
            </w:tcBorders>
            <w:shd w:val="clear" w:color="auto" w:fill="auto"/>
            <w:noWrap/>
            <w:vAlign w:val="center"/>
            <w:hideMark/>
          </w:tcPr>
          <w:p w:rsidR="00097275" w:rsidRDefault="00097275" w:rsidP="00CA5FBB">
            <w:pPr>
              <w:spacing w:before="0" w:line="240" w:lineRule="auto"/>
              <w:jc w:val="center"/>
              <w:rPr>
                <w:rFonts w:eastAsia="Times New Roman"/>
                <w:b/>
                <w:bCs/>
                <w:color w:val="000000"/>
                <w:sz w:val="24"/>
                <w:szCs w:val="24"/>
                <w:lang w:val="en-GB" w:eastAsia="en-GB"/>
              </w:rPr>
            </w:pPr>
            <w:r w:rsidRPr="00B82B61">
              <w:rPr>
                <w:rFonts w:eastAsia="Times New Roman"/>
                <w:b/>
                <w:bCs/>
                <w:color w:val="000000"/>
                <w:lang w:val="en-GB" w:eastAsia="en-GB"/>
              </w:rPr>
              <w:t>164.42</w:t>
            </w:r>
          </w:p>
        </w:tc>
        <w:tc>
          <w:tcPr>
            <w:tcW w:w="1164" w:type="dxa"/>
            <w:tcBorders>
              <w:top w:val="single" w:sz="4" w:space="0" w:color="auto"/>
            </w:tcBorders>
            <w:shd w:val="clear" w:color="auto" w:fill="auto"/>
            <w:noWrap/>
            <w:vAlign w:val="center"/>
            <w:hideMark/>
          </w:tcPr>
          <w:p w:rsidR="00097275" w:rsidRDefault="00097275" w:rsidP="00CA5FBB">
            <w:pPr>
              <w:spacing w:before="0" w:line="240" w:lineRule="auto"/>
              <w:jc w:val="center"/>
              <w:rPr>
                <w:rFonts w:eastAsia="Times New Roman"/>
                <w:b/>
                <w:bCs/>
                <w:color w:val="000000"/>
                <w:sz w:val="24"/>
                <w:szCs w:val="24"/>
                <w:lang w:val="en-GB" w:eastAsia="en-GB"/>
              </w:rPr>
            </w:pPr>
            <w:r w:rsidRPr="00B82B61">
              <w:rPr>
                <w:rFonts w:eastAsia="Times New Roman"/>
                <w:b/>
                <w:bCs/>
                <w:color w:val="000000"/>
                <w:lang w:val="en-GB" w:eastAsia="en-GB"/>
              </w:rPr>
              <w:t>12.58</w:t>
            </w:r>
          </w:p>
        </w:tc>
        <w:tc>
          <w:tcPr>
            <w:tcW w:w="1358" w:type="dxa"/>
            <w:tcBorders>
              <w:top w:val="single" w:sz="4" w:space="0" w:color="auto"/>
            </w:tcBorders>
            <w:shd w:val="clear" w:color="auto" w:fill="auto"/>
            <w:noWrap/>
            <w:vAlign w:val="center"/>
            <w:hideMark/>
          </w:tcPr>
          <w:p w:rsidR="00097275" w:rsidRDefault="00097275" w:rsidP="00CA5FBB">
            <w:pPr>
              <w:spacing w:before="0" w:line="240" w:lineRule="auto"/>
              <w:jc w:val="center"/>
              <w:rPr>
                <w:rFonts w:eastAsia="Times New Roman"/>
                <w:b/>
                <w:bCs/>
                <w:color w:val="000000"/>
                <w:sz w:val="24"/>
                <w:szCs w:val="24"/>
                <w:lang w:val="en-GB" w:eastAsia="en-GB"/>
              </w:rPr>
            </w:pPr>
            <w:r w:rsidRPr="00B82B61">
              <w:rPr>
                <w:rFonts w:eastAsia="Times New Roman"/>
                <w:b/>
                <w:bCs/>
                <w:color w:val="000000"/>
                <w:lang w:val="en-GB" w:eastAsia="en-GB"/>
              </w:rPr>
              <w:t>28.70</w:t>
            </w:r>
          </w:p>
        </w:tc>
        <w:tc>
          <w:tcPr>
            <w:tcW w:w="1329" w:type="dxa"/>
            <w:tcBorders>
              <w:top w:val="single" w:sz="4" w:space="0" w:color="auto"/>
            </w:tcBorders>
            <w:shd w:val="clear" w:color="auto" w:fill="auto"/>
            <w:noWrap/>
            <w:vAlign w:val="center"/>
            <w:hideMark/>
          </w:tcPr>
          <w:p w:rsidR="00097275" w:rsidRDefault="00097275" w:rsidP="00CA5FBB">
            <w:pPr>
              <w:spacing w:before="0" w:line="240" w:lineRule="auto"/>
              <w:jc w:val="center"/>
              <w:rPr>
                <w:rFonts w:eastAsia="Times New Roman"/>
                <w:b/>
                <w:bCs/>
                <w:color w:val="000000"/>
                <w:sz w:val="24"/>
                <w:szCs w:val="24"/>
                <w:lang w:val="en-GB" w:eastAsia="en-GB"/>
              </w:rPr>
            </w:pPr>
            <w:r w:rsidRPr="00B82B61">
              <w:rPr>
                <w:rFonts w:eastAsia="Times New Roman"/>
                <w:b/>
                <w:bCs/>
                <w:color w:val="000000"/>
                <w:lang w:val="en-GB" w:eastAsia="en-GB"/>
              </w:rPr>
              <w:t>1.30</w:t>
            </w:r>
          </w:p>
        </w:tc>
      </w:tr>
    </w:tbl>
    <w:p w:rsidR="00361913" w:rsidRPr="00D74AC4" w:rsidRDefault="004B5A92" w:rsidP="00C01899">
      <w:pPr>
        <w:rPr>
          <w:b/>
          <w:i/>
          <w:noProof/>
        </w:rPr>
      </w:pPr>
      <w:r w:rsidRPr="00D74AC4">
        <w:rPr>
          <w:b/>
          <w:i/>
          <w:noProof/>
        </w:rPr>
        <w:lastRenderedPageBreak/>
        <w:t>3.4</w:t>
      </w:r>
      <w:r w:rsidR="002A55C8" w:rsidRPr="00D74AC4">
        <w:rPr>
          <w:b/>
          <w:i/>
          <w:noProof/>
        </w:rPr>
        <w:t>.2.c</w:t>
      </w:r>
      <w:r w:rsidR="002A55C8" w:rsidRPr="00D74AC4">
        <w:rPr>
          <w:b/>
          <w:i/>
          <w:noProof/>
        </w:rPr>
        <w:tab/>
      </w:r>
      <w:r w:rsidR="00361913" w:rsidRPr="00D74AC4">
        <w:rPr>
          <w:b/>
          <w:i/>
          <w:noProof/>
        </w:rPr>
        <w:t>Using mean values to produce generated extended dental scores</w:t>
      </w:r>
    </w:p>
    <w:p w:rsidR="00361913" w:rsidRDefault="00361913" w:rsidP="00241215">
      <w:pPr>
        <w:spacing w:before="120"/>
        <w:rPr>
          <w:noProof/>
        </w:rPr>
      </w:pPr>
      <w:r>
        <w:rPr>
          <w:noProof/>
        </w:rPr>
        <w:t xml:space="preserve">These special subsets of </w:t>
      </w:r>
      <w:r w:rsidR="0072651E">
        <w:rPr>
          <w:noProof/>
        </w:rPr>
        <w:t xml:space="preserve">DS64 individuals </w:t>
      </w:r>
      <w:r>
        <w:rPr>
          <w:noProof/>
        </w:rPr>
        <w:t xml:space="preserve">were analysed separately as four sub-sets, these being </w:t>
      </w:r>
      <w:r>
        <w:rPr>
          <w:i/>
          <w:noProof/>
        </w:rPr>
        <w:t>Pan paniscus</w:t>
      </w:r>
      <w:r>
        <w:rPr>
          <w:noProof/>
        </w:rPr>
        <w:t xml:space="preserve"> females</w:t>
      </w:r>
      <w:r>
        <w:rPr>
          <w:i/>
          <w:noProof/>
        </w:rPr>
        <w:t xml:space="preserve">, Pan </w:t>
      </w:r>
      <w:r w:rsidRPr="002E59EB">
        <w:rPr>
          <w:noProof/>
        </w:rPr>
        <w:t>paniscus</w:t>
      </w:r>
      <w:r>
        <w:rPr>
          <w:noProof/>
        </w:rPr>
        <w:t xml:space="preserve"> males, </w:t>
      </w:r>
      <w:r w:rsidRPr="00E135AA">
        <w:rPr>
          <w:i/>
          <w:noProof/>
        </w:rPr>
        <w:t>Pan</w:t>
      </w:r>
      <w:r>
        <w:rPr>
          <w:i/>
          <w:noProof/>
        </w:rPr>
        <w:t xml:space="preserve"> troglodytes</w:t>
      </w:r>
      <w:r>
        <w:rPr>
          <w:noProof/>
        </w:rPr>
        <w:t xml:space="preserve"> females and </w:t>
      </w:r>
      <w:r>
        <w:rPr>
          <w:i/>
          <w:noProof/>
        </w:rPr>
        <w:t>Pan troglodytes</w:t>
      </w:r>
      <w:r>
        <w:rPr>
          <w:noProof/>
        </w:rPr>
        <w:t xml:space="preserve"> males.  For un</w:t>
      </w:r>
      <w:r w:rsidR="00F158FE">
        <w:rPr>
          <w:noProof/>
        </w:rPr>
        <w:t>-</w:t>
      </w:r>
      <w:r>
        <w:rPr>
          <w:noProof/>
        </w:rPr>
        <w:t xml:space="preserve">sexed individuals, none of the </w:t>
      </w:r>
      <w:r>
        <w:rPr>
          <w:i/>
          <w:noProof/>
        </w:rPr>
        <w:t xml:space="preserve">Pan </w:t>
      </w:r>
      <w:r w:rsidRPr="002926DF">
        <w:rPr>
          <w:i/>
          <w:noProof/>
        </w:rPr>
        <w:t>paniscus</w:t>
      </w:r>
      <w:r>
        <w:rPr>
          <w:noProof/>
        </w:rPr>
        <w:t xml:space="preserve"> </w:t>
      </w:r>
      <w:r w:rsidR="002624E3">
        <w:rPr>
          <w:noProof/>
        </w:rPr>
        <w:t>specimens</w:t>
      </w:r>
      <w:r>
        <w:rPr>
          <w:noProof/>
        </w:rPr>
        <w:t xml:space="preserve"> had </w:t>
      </w:r>
      <w:r w:rsidR="00514529">
        <w:rPr>
          <w:noProof/>
        </w:rPr>
        <w:t>DS</w:t>
      </w:r>
      <w:r>
        <w:rPr>
          <w:noProof/>
        </w:rPr>
        <w:t xml:space="preserve">64 </w:t>
      </w:r>
      <w:r w:rsidR="00514529">
        <w:rPr>
          <w:noProof/>
        </w:rPr>
        <w:t xml:space="preserve">while </w:t>
      </w:r>
      <w:r>
        <w:rPr>
          <w:noProof/>
        </w:rPr>
        <w:t xml:space="preserve">there was </w:t>
      </w:r>
      <w:r w:rsidR="00514529">
        <w:rPr>
          <w:noProof/>
        </w:rPr>
        <w:t xml:space="preserve">a single </w:t>
      </w:r>
      <w:r>
        <w:rPr>
          <w:i/>
          <w:noProof/>
        </w:rPr>
        <w:t>Pan troglodytes</w:t>
      </w:r>
      <w:r>
        <w:rPr>
          <w:noProof/>
        </w:rPr>
        <w:t xml:space="preserve"> individual</w:t>
      </w:r>
      <w:r w:rsidR="00514529">
        <w:rPr>
          <w:noProof/>
        </w:rPr>
        <w:t xml:space="preserve"> in this category.  As such,</w:t>
      </w:r>
      <w:r>
        <w:rPr>
          <w:noProof/>
        </w:rPr>
        <w:t xml:space="preserve"> un</w:t>
      </w:r>
      <w:r w:rsidR="00514529">
        <w:rPr>
          <w:noProof/>
        </w:rPr>
        <w:t>-</w:t>
      </w:r>
      <w:r>
        <w:rPr>
          <w:noProof/>
        </w:rPr>
        <w:t xml:space="preserve">sexed individuals are not included here. </w:t>
      </w:r>
      <w:r w:rsidR="000F3CA4">
        <w:rPr>
          <w:noProof/>
        </w:rPr>
        <w:t xml:space="preserve"> </w:t>
      </w:r>
      <w:r w:rsidRPr="002926DF">
        <w:rPr>
          <w:noProof/>
        </w:rPr>
        <w:t>Mean</w:t>
      </w:r>
      <w:r>
        <w:rPr>
          <w:noProof/>
        </w:rPr>
        <w:t xml:space="preserve"> epiphyseal fusion values were used to order each of these sub-sets by their skeletal maturity</w:t>
      </w:r>
      <w:r w:rsidR="008C1D32">
        <w:rPr>
          <w:noProof/>
        </w:rPr>
        <w:t>, which resulted in</w:t>
      </w:r>
      <w:r>
        <w:rPr>
          <w:noProof/>
        </w:rPr>
        <w:t xml:space="preserve"> two separate systems, dental score and skeletal score.  Dental score allows </w:t>
      </w:r>
      <w:r w:rsidR="00D16F8B">
        <w:rPr>
          <w:noProof/>
        </w:rPr>
        <w:t>for analysis of</w:t>
      </w:r>
      <w:r>
        <w:rPr>
          <w:noProof/>
        </w:rPr>
        <w:t xml:space="preserve"> development up to the point of dental maturity while skeletal score allows </w:t>
      </w:r>
      <w:r w:rsidR="00D16F8B">
        <w:rPr>
          <w:noProof/>
        </w:rPr>
        <w:t>for observation of fusion events</w:t>
      </w:r>
      <w:r>
        <w:rPr>
          <w:noProof/>
        </w:rPr>
        <w:t xml:space="preserve"> after </w:t>
      </w:r>
      <w:r w:rsidR="00DB147E">
        <w:rPr>
          <w:noProof/>
        </w:rPr>
        <w:t xml:space="preserve">dental </w:t>
      </w:r>
      <w:r w:rsidR="00D16F8B">
        <w:rPr>
          <w:noProof/>
        </w:rPr>
        <w:t>maturity.</w:t>
      </w:r>
    </w:p>
    <w:p w:rsidR="00361913" w:rsidRDefault="007C6183" w:rsidP="00241215">
      <w:pPr>
        <w:spacing w:before="120"/>
        <w:rPr>
          <w:noProof/>
        </w:rPr>
      </w:pPr>
      <w:r>
        <w:rPr>
          <w:noProof/>
        </w:rPr>
        <w:t>A means by which to visualise fu</w:t>
      </w:r>
      <w:r w:rsidR="00E35BE6">
        <w:rPr>
          <w:noProof/>
        </w:rPr>
        <w:t>sion events after dental matu</w:t>
      </w:r>
      <w:r>
        <w:rPr>
          <w:noProof/>
        </w:rPr>
        <w:t>r</w:t>
      </w:r>
      <w:r w:rsidR="00E35BE6">
        <w:rPr>
          <w:noProof/>
        </w:rPr>
        <w:t>i</w:t>
      </w:r>
      <w:r>
        <w:rPr>
          <w:noProof/>
        </w:rPr>
        <w:t xml:space="preserve">ty but still using dental score would be to add increments to DS64 individuals </w:t>
      </w:r>
      <w:r w:rsidR="000D553B">
        <w:rPr>
          <w:noProof/>
        </w:rPr>
        <w:t xml:space="preserve">such that the </w:t>
      </w:r>
      <w:r>
        <w:rPr>
          <w:noProof/>
        </w:rPr>
        <w:t xml:space="preserve">relative state of fusion past dental maturity may be observed.  </w:t>
      </w:r>
      <w:r w:rsidR="00C86015">
        <w:rPr>
          <w:noProof/>
        </w:rPr>
        <w:t>As an example, if there are</w:t>
      </w:r>
      <w:r w:rsidR="00953EB0">
        <w:rPr>
          <w:noProof/>
        </w:rPr>
        <w:t xml:space="preserve"> </w:t>
      </w:r>
      <w:r w:rsidR="008943E4" w:rsidRPr="00CA5FBB">
        <w:rPr>
          <w:i/>
          <w:noProof/>
        </w:rPr>
        <w:t>n</w:t>
      </w:r>
      <w:r w:rsidR="00361913">
        <w:rPr>
          <w:noProof/>
        </w:rPr>
        <w:t xml:space="preserve"> individuals with </w:t>
      </w:r>
      <w:r w:rsidR="00C86015">
        <w:rPr>
          <w:noProof/>
        </w:rPr>
        <w:t>DS</w:t>
      </w:r>
      <w:r w:rsidR="00361913">
        <w:rPr>
          <w:noProof/>
        </w:rPr>
        <w:t>64</w:t>
      </w:r>
      <w:r w:rsidR="00953EB0">
        <w:rPr>
          <w:noProof/>
        </w:rPr>
        <w:t xml:space="preserve">, </w:t>
      </w:r>
      <w:r w:rsidR="00361913">
        <w:rPr>
          <w:noProof/>
        </w:rPr>
        <w:t xml:space="preserve">an incremental additional value </w:t>
      </w:r>
      <w:r w:rsidR="00953EB0">
        <w:rPr>
          <w:noProof/>
        </w:rPr>
        <w:t>w</w:t>
      </w:r>
      <w:r w:rsidR="00915F7E">
        <w:rPr>
          <w:noProof/>
        </w:rPr>
        <w:t>ould</w:t>
      </w:r>
      <w:r w:rsidR="00953EB0">
        <w:rPr>
          <w:noProof/>
        </w:rPr>
        <w:t xml:space="preserve"> be added </w:t>
      </w:r>
      <w:r w:rsidR="00361913">
        <w:rPr>
          <w:noProof/>
        </w:rPr>
        <w:t>to 64 of x for the i</w:t>
      </w:r>
      <w:r w:rsidR="00361913" w:rsidRPr="00D363AF">
        <w:rPr>
          <w:noProof/>
          <w:vertAlign w:val="superscript"/>
        </w:rPr>
        <w:t>th</w:t>
      </w:r>
      <w:r w:rsidR="00361913">
        <w:rPr>
          <w:noProof/>
        </w:rPr>
        <w:t xml:space="preserve"> individual, generating a new score </w:t>
      </w:r>
      <w:r w:rsidR="008943E4" w:rsidRPr="00CA5FBB">
        <w:rPr>
          <w:i/>
          <w:noProof/>
        </w:rPr>
        <w:t>S</w:t>
      </w:r>
      <w:r w:rsidR="008943E4" w:rsidRPr="00CA5FBB">
        <w:rPr>
          <w:i/>
          <w:noProof/>
          <w:vertAlign w:val="subscript"/>
        </w:rPr>
        <w:t>i</w:t>
      </w:r>
      <w:r w:rsidR="00361913">
        <w:rPr>
          <w:noProof/>
        </w:rPr>
        <w:t xml:space="preserve">.  In other words, </w:t>
      </w:r>
      <w:r w:rsidR="008943E4" w:rsidRPr="00CA5FBB">
        <w:rPr>
          <w:i/>
          <w:noProof/>
        </w:rPr>
        <w:t>S</w:t>
      </w:r>
      <w:r w:rsidR="00361913" w:rsidRPr="00D363AF">
        <w:rPr>
          <w:noProof/>
          <w:vertAlign w:val="subscript"/>
        </w:rPr>
        <w:t>i</w:t>
      </w:r>
      <w:r w:rsidR="00920673">
        <w:rPr>
          <w:noProof/>
          <w:vertAlign w:val="subscript"/>
        </w:rPr>
        <w:t xml:space="preserve"> </w:t>
      </w:r>
      <w:r w:rsidR="00361913">
        <w:rPr>
          <w:noProof/>
        </w:rPr>
        <w:t>= 64+</w:t>
      </w:r>
      <w:r w:rsidR="008943E4" w:rsidRPr="00CA5FBB">
        <w:rPr>
          <w:i/>
          <w:noProof/>
        </w:rPr>
        <w:t>i</w:t>
      </w:r>
      <w:r w:rsidR="00361913">
        <w:rPr>
          <w:noProof/>
        </w:rPr>
        <w:t>(</w:t>
      </w:r>
      <w:r w:rsidR="008943E4" w:rsidRPr="00CA5FBB">
        <w:rPr>
          <w:i/>
          <w:noProof/>
        </w:rPr>
        <w:t>x</w:t>
      </w:r>
      <w:r w:rsidR="00361913">
        <w:rPr>
          <w:noProof/>
        </w:rPr>
        <w:t xml:space="preserve">).  If </w:t>
      </w:r>
      <w:r w:rsidR="008943E4" w:rsidRPr="00CA5FBB">
        <w:rPr>
          <w:i/>
          <w:noProof/>
        </w:rPr>
        <w:t>x</w:t>
      </w:r>
      <w:r w:rsidR="00920673">
        <w:rPr>
          <w:i/>
          <w:noProof/>
        </w:rPr>
        <w:t xml:space="preserve"> </w:t>
      </w:r>
      <w:r w:rsidR="00361913">
        <w:rPr>
          <w:noProof/>
        </w:rPr>
        <w:t>=</w:t>
      </w:r>
      <w:r w:rsidR="00920673">
        <w:rPr>
          <w:noProof/>
        </w:rPr>
        <w:t xml:space="preserve"> </w:t>
      </w:r>
      <w:r w:rsidR="00361913">
        <w:rPr>
          <w:noProof/>
        </w:rPr>
        <w:t xml:space="preserve">0.3, then this will mean that for individuals </w:t>
      </w:r>
      <w:r w:rsidR="008943E4" w:rsidRPr="00CA5FBB">
        <w:rPr>
          <w:i/>
          <w:noProof/>
        </w:rPr>
        <w:t>S</w:t>
      </w:r>
      <w:r w:rsidR="00361913">
        <w:rPr>
          <w:noProof/>
          <w:vertAlign w:val="subscript"/>
        </w:rPr>
        <w:t>0</w:t>
      </w:r>
      <w:r w:rsidR="00361913">
        <w:rPr>
          <w:noProof/>
        </w:rPr>
        <w:t xml:space="preserve">, </w:t>
      </w:r>
      <w:r w:rsidR="008943E4" w:rsidRPr="00CA5FBB">
        <w:rPr>
          <w:i/>
          <w:noProof/>
        </w:rPr>
        <w:t>S</w:t>
      </w:r>
      <w:r w:rsidR="00361913">
        <w:rPr>
          <w:noProof/>
          <w:vertAlign w:val="subscript"/>
        </w:rPr>
        <w:t>1</w:t>
      </w:r>
      <w:r w:rsidR="00361913">
        <w:rPr>
          <w:noProof/>
        </w:rPr>
        <w:t xml:space="preserve">, </w:t>
      </w:r>
      <w:r w:rsidR="008943E4" w:rsidRPr="00CA5FBB">
        <w:rPr>
          <w:i/>
          <w:noProof/>
        </w:rPr>
        <w:t>S</w:t>
      </w:r>
      <w:r w:rsidR="00361913">
        <w:rPr>
          <w:noProof/>
          <w:vertAlign w:val="subscript"/>
        </w:rPr>
        <w:t>2</w:t>
      </w:r>
      <w:r w:rsidR="00361913">
        <w:rPr>
          <w:noProof/>
        </w:rPr>
        <w:t xml:space="preserve"> … </w:t>
      </w:r>
      <w:r w:rsidR="008943E4" w:rsidRPr="00CA5FBB">
        <w:rPr>
          <w:i/>
          <w:noProof/>
        </w:rPr>
        <w:t>S</w:t>
      </w:r>
      <w:r w:rsidR="008943E4" w:rsidRPr="00CA5FBB">
        <w:rPr>
          <w:i/>
          <w:noProof/>
          <w:vertAlign w:val="subscript"/>
        </w:rPr>
        <w:t>n</w:t>
      </w:r>
      <w:r w:rsidR="00361913">
        <w:rPr>
          <w:noProof/>
        </w:rPr>
        <w:t xml:space="preserve"> </w:t>
      </w:r>
      <w:r w:rsidR="00C86015">
        <w:rPr>
          <w:noProof/>
        </w:rPr>
        <w:t xml:space="preserve">the </w:t>
      </w:r>
      <w:r w:rsidR="00361913">
        <w:rPr>
          <w:noProof/>
        </w:rPr>
        <w:t>values 64.0, 64.3, 64.6 … 64.0 + (</w:t>
      </w:r>
      <w:r w:rsidR="008943E4" w:rsidRPr="00CA5FBB">
        <w:rPr>
          <w:i/>
          <w:noProof/>
        </w:rPr>
        <w:t>n</w:t>
      </w:r>
      <w:r w:rsidR="00361913">
        <w:rPr>
          <w:noProof/>
        </w:rPr>
        <w:t xml:space="preserve"> </w:t>
      </w:r>
      <w:r w:rsidR="00036EDD">
        <w:rPr>
          <w:noProof/>
        </w:rPr>
        <w:t>×</w:t>
      </w:r>
      <w:r w:rsidR="00361913">
        <w:rPr>
          <w:noProof/>
        </w:rPr>
        <w:t xml:space="preserve"> 0.3)</w:t>
      </w:r>
      <w:r w:rsidR="00C86015">
        <w:rPr>
          <w:noProof/>
        </w:rPr>
        <w:t xml:space="preserve"> are achieved</w:t>
      </w:r>
      <w:r w:rsidR="00361913">
        <w:rPr>
          <w:noProof/>
        </w:rPr>
        <w:t xml:space="preserve">.  The value of </w:t>
      </w:r>
      <w:r w:rsidR="008943E4" w:rsidRPr="00CA5FBB">
        <w:rPr>
          <w:i/>
          <w:noProof/>
        </w:rPr>
        <w:t>x</w:t>
      </w:r>
      <w:r w:rsidR="00361913">
        <w:rPr>
          <w:noProof/>
        </w:rPr>
        <w:t xml:space="preserve"> is arbitrary.  However, the choice of value does have an impact on scaling and should be proportionate to the number of individuals present.  For </w:t>
      </w:r>
      <w:r w:rsidR="00361913">
        <w:rPr>
          <w:i/>
          <w:noProof/>
        </w:rPr>
        <w:t>Pan troglodytes</w:t>
      </w:r>
      <w:r w:rsidR="00361913">
        <w:rPr>
          <w:noProof/>
        </w:rPr>
        <w:t xml:space="preserve"> females, for example, </w:t>
      </w:r>
      <w:r w:rsidR="006A38D6">
        <w:rPr>
          <w:noProof/>
        </w:rPr>
        <w:t>there we</w:t>
      </w:r>
      <w:r w:rsidR="00953EB0">
        <w:rPr>
          <w:noProof/>
        </w:rPr>
        <w:t>re</w:t>
      </w:r>
      <w:r w:rsidR="00361913">
        <w:rPr>
          <w:noProof/>
        </w:rPr>
        <w:t xml:space="preserve"> 23 individuals with </w:t>
      </w:r>
      <w:r w:rsidR="00C86015">
        <w:rPr>
          <w:noProof/>
        </w:rPr>
        <w:t>DS</w:t>
      </w:r>
      <w:r w:rsidR="00361913">
        <w:rPr>
          <w:noProof/>
        </w:rPr>
        <w:t xml:space="preserve">64.  If the incremental score of 0.3 is used, then </w:t>
      </w:r>
      <w:r w:rsidR="00953EB0">
        <w:rPr>
          <w:noProof/>
        </w:rPr>
        <w:t>there is</w:t>
      </w:r>
      <w:r w:rsidR="00361913">
        <w:rPr>
          <w:noProof/>
        </w:rPr>
        <w:t xml:space="preserve"> a range from the youngest individuals of 64 to 70.6 for the oldest individuals.  As </w:t>
      </w:r>
      <w:r w:rsidR="00953EB0">
        <w:rPr>
          <w:noProof/>
        </w:rPr>
        <w:t>will be shown</w:t>
      </w:r>
      <w:r w:rsidR="00361913">
        <w:rPr>
          <w:noProof/>
        </w:rPr>
        <w:t xml:space="preserve"> in </w:t>
      </w:r>
      <w:r w:rsidR="00AF6D17">
        <w:rPr>
          <w:noProof/>
        </w:rPr>
        <w:t>section</w:t>
      </w:r>
      <w:r w:rsidR="00953EB0">
        <w:rPr>
          <w:noProof/>
        </w:rPr>
        <w:t xml:space="preserve"> </w:t>
      </w:r>
      <w:r w:rsidR="00AF6D17">
        <w:rPr>
          <w:noProof/>
        </w:rPr>
        <w:t>4.2.4</w:t>
      </w:r>
      <w:r w:rsidR="00361913">
        <w:rPr>
          <w:noProof/>
        </w:rPr>
        <w:t>, this scaling factor allows for the relative timing of fusion events to become clearly visible beyond</w:t>
      </w:r>
      <w:r w:rsidR="00E93F3B">
        <w:rPr>
          <w:noProof/>
        </w:rPr>
        <w:t xml:space="preserve"> the</w:t>
      </w:r>
      <w:r w:rsidR="00361913">
        <w:rPr>
          <w:noProof/>
        </w:rPr>
        <w:t xml:space="preserve"> dental score</w:t>
      </w:r>
      <w:r w:rsidR="00E93F3B">
        <w:rPr>
          <w:noProof/>
        </w:rPr>
        <w:t xml:space="preserve"> of</w:t>
      </w:r>
      <w:r w:rsidR="00361913">
        <w:rPr>
          <w:noProof/>
        </w:rPr>
        <w:t xml:space="preserve"> 64.  With individuals sorted by dental score and additionally by mean epiphyseal fusion score </w:t>
      </w:r>
      <w:r w:rsidR="0017378D">
        <w:rPr>
          <w:noProof/>
        </w:rPr>
        <w:t>it is possible</w:t>
      </w:r>
      <w:r w:rsidR="00361913">
        <w:rPr>
          <w:noProof/>
        </w:rPr>
        <w:t xml:space="preserve"> to proceed to analyse epiphyseal fusion sequences.</w:t>
      </w:r>
    </w:p>
    <w:p w:rsidR="006040D1" w:rsidRPr="00D74AC4" w:rsidRDefault="006040D1" w:rsidP="00241215">
      <w:pPr>
        <w:spacing w:before="120"/>
        <w:rPr>
          <w:b/>
          <w:i/>
          <w:noProof/>
        </w:rPr>
      </w:pPr>
      <w:r w:rsidRPr="006040D1">
        <w:rPr>
          <w:b/>
          <w:i/>
          <w:noProof/>
        </w:rPr>
        <w:t xml:space="preserve">3.4.2d </w:t>
      </w:r>
      <w:r>
        <w:rPr>
          <w:b/>
          <w:i/>
          <w:noProof/>
        </w:rPr>
        <w:t>Consideration of other methods</w:t>
      </w:r>
    </w:p>
    <w:p w:rsidR="00965DC4" w:rsidRPr="00241215" w:rsidRDefault="006040D1" w:rsidP="00241215">
      <w:pPr>
        <w:spacing w:before="120"/>
        <w:rPr>
          <w:noProof/>
        </w:rPr>
      </w:pPr>
      <w:r>
        <w:rPr>
          <w:noProof/>
        </w:rPr>
        <w:t>It is of note that dental wear has been used in prior studies of both humans and other animals to determine age at death</w:t>
      </w:r>
      <w:r w:rsidR="00994658">
        <w:rPr>
          <w:noProof/>
        </w:rPr>
        <w:t xml:space="preserve"> (e.g., Lovejoy 1985)</w:t>
      </w:r>
      <w:r>
        <w:rPr>
          <w:noProof/>
        </w:rPr>
        <w:t xml:space="preserve">.  </w:t>
      </w:r>
      <w:r w:rsidR="00965DC4">
        <w:rPr>
          <w:noProof/>
        </w:rPr>
        <w:t xml:space="preserve">The use of this methodology has shown some reliability in humans for estimating age </w:t>
      </w:r>
      <w:r w:rsidR="00B305BB">
        <w:rPr>
          <w:noProof/>
        </w:rPr>
        <w:t>in</w:t>
      </w:r>
      <w:r w:rsidR="00965DC4">
        <w:rPr>
          <w:noProof/>
        </w:rPr>
        <w:t xml:space="preserve"> larger samples.  However, there are some critical limitations for the application of such an approach in this study.  There are some studies of chimpanzee dental wear (e.g., </w:t>
      </w:r>
      <w:r w:rsidR="00732311">
        <w:rPr>
          <w:noProof/>
        </w:rPr>
        <w:t>Ungar and M’Kirera 2003</w:t>
      </w:r>
      <w:r w:rsidR="00965DC4">
        <w:rPr>
          <w:noProof/>
        </w:rPr>
        <w:t xml:space="preserve">) but equivalent studies predicting age by dental wear in chimpanzees do not exist as they do for humans.  </w:t>
      </w:r>
      <w:r w:rsidR="00A24228">
        <w:rPr>
          <w:noProof/>
        </w:rPr>
        <w:t>Additionally such</w:t>
      </w:r>
      <w:r w:rsidR="00965DC4">
        <w:rPr>
          <w:noProof/>
        </w:rPr>
        <w:t xml:space="preserve"> methods rely on consistent dietary patterns within the population of study.  With a mixed-sample of captive and wild, this cannot be assured and dental wear may prove much more variable.</w:t>
      </w:r>
      <w:r w:rsidR="00B305BB">
        <w:rPr>
          <w:noProof/>
        </w:rPr>
        <w:t xml:space="preserve">  Futher complicating this approach is the fact that the ages of interest are all very young at which point there is little dental wear to observe.</w:t>
      </w:r>
      <w:r w:rsidR="00401769">
        <w:rPr>
          <w:noProof/>
        </w:rPr>
        <w:t xml:space="preserve">  It is considered that </w:t>
      </w:r>
      <w:r w:rsidR="00BC264A">
        <w:rPr>
          <w:noProof/>
        </w:rPr>
        <w:t>generated dental score</w:t>
      </w:r>
      <w:r w:rsidR="00401769">
        <w:rPr>
          <w:noProof/>
        </w:rPr>
        <w:t xml:space="preserve"> is a more reliable means for projecting extended maturational age in this study</w:t>
      </w:r>
      <w:r w:rsidR="00A41E8E">
        <w:rPr>
          <w:noProof/>
        </w:rPr>
        <w:t xml:space="preserve"> than attempting the use of dental wear</w:t>
      </w:r>
      <w:r w:rsidR="00401769">
        <w:rPr>
          <w:noProof/>
        </w:rPr>
        <w:t>.</w:t>
      </w:r>
    </w:p>
    <w:p w:rsidR="00C86015" w:rsidRPr="00B86079" w:rsidRDefault="0050005C" w:rsidP="00D263E8">
      <w:pPr>
        <w:pStyle w:val="Heading3"/>
      </w:pPr>
      <w:bookmarkStart w:id="181" w:name="_Toc373477774"/>
      <w:bookmarkStart w:id="182" w:name="_Toc373480772"/>
      <w:r>
        <w:lastRenderedPageBreak/>
        <w:t>Application of m</w:t>
      </w:r>
      <w:r w:rsidR="00C86015" w:rsidRPr="00B86079">
        <w:t>ean epiphyseal fusion</w:t>
      </w:r>
      <w:r w:rsidR="00B234B1">
        <w:t xml:space="preserve"> values for seriating epiphyses</w:t>
      </w:r>
      <w:bookmarkEnd w:id="181"/>
      <w:bookmarkEnd w:id="182"/>
    </w:p>
    <w:p w:rsidR="0050005C" w:rsidRPr="0050005C" w:rsidRDefault="00794C13" w:rsidP="00956D1F">
      <w:pPr>
        <w:rPr>
          <w:noProof/>
        </w:rPr>
      </w:pPr>
      <w:r>
        <w:rPr>
          <w:noProof/>
        </w:rPr>
        <w:t xml:space="preserve">The aforementioned addition of generated dental score values allows for </w:t>
      </w:r>
      <w:r w:rsidR="00B234B1">
        <w:rPr>
          <w:noProof/>
        </w:rPr>
        <w:t>observation of fusion events beyond dental maturity but due the system being an artificial combination of two systems, this makes any quantitative analysis of these differences invalid.  It will be observed that there are several fusion events that occur after dental maturity.  Any estimates of ages may not be calculated for these epiphyses but with their mean epiphyseal fusion scores they may be ordered.  Mean epiphyseal fusion scores were determined for all individuals in the data set.  Individuals could then be seriated based on increasing maturity irrespective of dental score.</w:t>
      </w:r>
    </w:p>
    <w:p w:rsidR="0050005C" w:rsidRPr="005E5B66" w:rsidRDefault="0008420C" w:rsidP="00D263E8">
      <w:pPr>
        <w:pStyle w:val="Heading3"/>
      </w:pPr>
      <w:bookmarkStart w:id="183" w:name="_Toc373477775"/>
      <w:bookmarkStart w:id="184" w:name="_Toc373480773"/>
      <w:r>
        <w:t xml:space="preserve">Estimation of </w:t>
      </w:r>
      <w:r w:rsidR="00ED279C">
        <w:t xml:space="preserve">age for </w:t>
      </w:r>
      <w:r>
        <w:t>fusion timing</w:t>
      </w:r>
      <w:r w:rsidR="0050005C" w:rsidRPr="005E5B66">
        <w:t xml:space="preserve"> </w:t>
      </w:r>
      <w:r w:rsidR="00ED279C">
        <w:t xml:space="preserve">using </w:t>
      </w:r>
      <w:r w:rsidR="0050005C" w:rsidRPr="005E5B66">
        <w:t>dental score</w:t>
      </w:r>
      <w:bookmarkEnd w:id="183"/>
      <w:bookmarkEnd w:id="184"/>
    </w:p>
    <w:p w:rsidR="00190E61" w:rsidRDefault="0050005C" w:rsidP="005E5B66">
      <w:pPr>
        <w:rPr>
          <w:noProof/>
        </w:rPr>
      </w:pPr>
      <w:r>
        <w:rPr>
          <w:noProof/>
        </w:rPr>
        <w:t xml:space="preserve">As estimation of age is a critical component of this study, estimated ages for fusion events based on dental maturity will still be estimated for those epiphyses that had ranges </w:t>
      </w:r>
      <w:r w:rsidR="00BE4162">
        <w:rPr>
          <w:noProof/>
        </w:rPr>
        <w:t>below</w:t>
      </w:r>
      <w:r>
        <w:rPr>
          <w:noProof/>
        </w:rPr>
        <w:t xml:space="preserve"> DS64.  </w:t>
      </w:r>
      <w:r w:rsidR="00BA5000">
        <w:rPr>
          <w:noProof/>
        </w:rPr>
        <w:t xml:space="preserve">It will be shown in </w:t>
      </w:r>
      <w:r w:rsidR="00142716">
        <w:rPr>
          <w:noProof/>
        </w:rPr>
        <w:t>C</w:t>
      </w:r>
      <w:r w:rsidR="00BA5000">
        <w:rPr>
          <w:noProof/>
        </w:rPr>
        <w:t>hapter 4 that many mid-fusion ranges do fall below the cut-off of dental maturity and estimated ages of attainment may be determined.</w:t>
      </w:r>
    </w:p>
    <w:p w:rsidR="007673FF" w:rsidRPr="005E5B66" w:rsidRDefault="0027521B" w:rsidP="00D263E8">
      <w:pPr>
        <w:pStyle w:val="Heading3"/>
      </w:pPr>
      <w:bookmarkStart w:id="185" w:name="_Toc373477776"/>
      <w:bookmarkStart w:id="186" w:name="_Toc373480774"/>
      <w:r>
        <w:t>Evaluating number of individuals at each stage and recoding results into three stages</w:t>
      </w:r>
      <w:bookmarkEnd w:id="185"/>
      <w:bookmarkEnd w:id="186"/>
    </w:p>
    <w:p w:rsidR="008317D4" w:rsidRDefault="007673FF" w:rsidP="007673FF">
      <w:pPr>
        <w:rPr>
          <w:noProof/>
        </w:rPr>
      </w:pPr>
      <w:r w:rsidRPr="006631BB">
        <w:rPr>
          <w:noProof/>
        </w:rPr>
        <w:t>Table</w:t>
      </w:r>
      <w:r>
        <w:rPr>
          <w:noProof/>
        </w:rPr>
        <w:t xml:space="preserve"> </w:t>
      </w:r>
      <w:r w:rsidR="00D421AE">
        <w:rPr>
          <w:noProof/>
        </w:rPr>
        <w:t>3.23 p</w:t>
      </w:r>
      <w:r>
        <w:rPr>
          <w:noProof/>
        </w:rPr>
        <w:t xml:space="preserve">rovides </w:t>
      </w:r>
      <w:r w:rsidRPr="006631BB">
        <w:rPr>
          <w:noProof/>
        </w:rPr>
        <w:t xml:space="preserve">sample sizes </w:t>
      </w:r>
      <w:r>
        <w:rPr>
          <w:noProof/>
        </w:rPr>
        <w:t xml:space="preserve">of </w:t>
      </w:r>
      <w:r w:rsidRPr="006631BB">
        <w:rPr>
          <w:noProof/>
        </w:rPr>
        <w:t>mid-fusion</w:t>
      </w:r>
      <w:r>
        <w:rPr>
          <w:noProof/>
        </w:rPr>
        <w:t xml:space="preserve"> (recorded stages 2-4)</w:t>
      </w:r>
      <w:r w:rsidRPr="006631BB">
        <w:rPr>
          <w:noProof/>
        </w:rPr>
        <w:t xml:space="preserve"> and complete fusion </w:t>
      </w:r>
      <w:r>
        <w:rPr>
          <w:noProof/>
        </w:rPr>
        <w:t xml:space="preserve">(recorded stage 5) for all epiphyses in </w:t>
      </w:r>
      <w:r>
        <w:rPr>
          <w:i/>
          <w:noProof/>
        </w:rPr>
        <w:t>Pan troglodytes</w:t>
      </w:r>
      <w:r>
        <w:rPr>
          <w:noProof/>
        </w:rPr>
        <w:t xml:space="preserve"> females</w:t>
      </w:r>
      <w:r w:rsidRPr="006631BB">
        <w:rPr>
          <w:noProof/>
        </w:rPr>
        <w:t xml:space="preserve">. </w:t>
      </w:r>
      <w:r>
        <w:rPr>
          <w:noProof/>
        </w:rPr>
        <w:t xml:space="preserve"> Table </w:t>
      </w:r>
      <w:r w:rsidR="00F52137">
        <w:rPr>
          <w:noProof/>
        </w:rPr>
        <w:t>3.24</w:t>
      </w:r>
      <w:r>
        <w:rPr>
          <w:noProof/>
        </w:rPr>
        <w:t xml:space="preserve"> compares mid-fusion and complete fusion values in the upper limb for both species and sexes.  </w:t>
      </w:r>
      <w:r w:rsidRPr="006631BB">
        <w:rPr>
          <w:noProof/>
        </w:rPr>
        <w:t xml:space="preserve">It is important to note that the sample size for female </w:t>
      </w:r>
      <w:r w:rsidRPr="006631BB">
        <w:rPr>
          <w:i/>
          <w:noProof/>
        </w:rPr>
        <w:t>Pan paniscus</w:t>
      </w:r>
      <w:r>
        <w:rPr>
          <w:noProof/>
        </w:rPr>
        <w:t xml:space="preserve"> individuals wa</w:t>
      </w:r>
      <w:r w:rsidRPr="006631BB">
        <w:rPr>
          <w:noProof/>
        </w:rPr>
        <w:t xml:space="preserve">s quite small once all dentally incomplete individuals </w:t>
      </w:r>
      <w:r>
        <w:rPr>
          <w:noProof/>
        </w:rPr>
        <w:t xml:space="preserve">were </w:t>
      </w:r>
      <w:r w:rsidRPr="006631BB">
        <w:rPr>
          <w:noProof/>
        </w:rPr>
        <w:t>removed.  There were two cases</w:t>
      </w:r>
      <w:r>
        <w:rPr>
          <w:noProof/>
        </w:rPr>
        <w:t xml:space="preserve"> of fusion centres</w:t>
      </w:r>
      <w:r w:rsidRPr="006631BB">
        <w:rPr>
          <w:noProof/>
        </w:rPr>
        <w:t xml:space="preserve"> where no mid-fusion values were present and likewise two cases where no complete fusion was found.  For </w:t>
      </w:r>
      <w:r w:rsidRPr="006631BB">
        <w:rPr>
          <w:i/>
          <w:noProof/>
        </w:rPr>
        <w:t xml:space="preserve">Pan troglodytes </w:t>
      </w:r>
      <w:r w:rsidRPr="006631BB">
        <w:rPr>
          <w:noProof/>
        </w:rPr>
        <w:t>the number</w:t>
      </w:r>
      <w:r>
        <w:rPr>
          <w:noProof/>
        </w:rPr>
        <w:t xml:space="preserve"> of individuals for each epiphysis were much larger.</w:t>
      </w:r>
    </w:p>
    <w:p w:rsidR="008317D4" w:rsidRDefault="008317D4" w:rsidP="008317D4">
      <w:pPr>
        <w:rPr>
          <w:noProof/>
        </w:rPr>
      </w:pPr>
      <w:r>
        <w:rPr>
          <w:noProof/>
        </w:rPr>
        <w:t xml:space="preserve">Mid-fusion values are of the greatest concern with respect to analysis as this state indicates when the process of fusion is occuring.  </w:t>
      </w:r>
      <w:r w:rsidRPr="00F3611C">
        <w:rPr>
          <w:noProof/>
        </w:rPr>
        <w:t xml:space="preserve">Table </w:t>
      </w:r>
      <w:r>
        <w:rPr>
          <w:noProof/>
        </w:rPr>
        <w:t>3.23</w:t>
      </w:r>
      <w:r w:rsidRPr="00F3611C">
        <w:rPr>
          <w:noProof/>
        </w:rPr>
        <w:t xml:space="preserve"> </w:t>
      </w:r>
      <w:r w:rsidR="004917B3">
        <w:rPr>
          <w:noProof/>
        </w:rPr>
        <w:t>indicates that there we</w:t>
      </w:r>
      <w:r>
        <w:rPr>
          <w:noProof/>
        </w:rPr>
        <w:t xml:space="preserve">re typically around 9 values for mid-fusion for each epiphysis in </w:t>
      </w:r>
      <w:r>
        <w:rPr>
          <w:i/>
          <w:noProof/>
        </w:rPr>
        <w:t>Pan troglodytes</w:t>
      </w:r>
      <w:r>
        <w:rPr>
          <w:noProof/>
        </w:rPr>
        <w:t xml:space="preserve"> females.</w:t>
      </w:r>
      <w:r w:rsidR="00705575">
        <w:rPr>
          <w:noProof/>
        </w:rPr>
        <w:t xml:space="preserve">  Proportionate values relative to sample size were found for </w:t>
      </w:r>
      <w:r w:rsidR="00705575">
        <w:rPr>
          <w:i/>
          <w:noProof/>
        </w:rPr>
        <w:t xml:space="preserve">Pan troglodytes </w:t>
      </w:r>
      <w:r w:rsidR="00705575">
        <w:rPr>
          <w:noProof/>
        </w:rPr>
        <w:t xml:space="preserve">males and </w:t>
      </w:r>
      <w:r w:rsidR="00705575">
        <w:rPr>
          <w:i/>
          <w:noProof/>
        </w:rPr>
        <w:t>Pan paniscus</w:t>
      </w:r>
      <w:r w:rsidR="00705575">
        <w:rPr>
          <w:noProof/>
        </w:rPr>
        <w:t xml:space="preserve"> males and females.</w:t>
      </w:r>
      <w:r>
        <w:rPr>
          <w:noProof/>
        </w:rPr>
        <w:t xml:space="preserve">  Table 3.24 indicates that the number of data entries for each epiphysis in the upper limb are greatest for females </w:t>
      </w:r>
      <w:r>
        <w:rPr>
          <w:i/>
          <w:noProof/>
        </w:rPr>
        <w:t>Pan troglodytes</w:t>
      </w:r>
      <w:r>
        <w:rPr>
          <w:noProof/>
        </w:rPr>
        <w:t xml:space="preserve">.  This should be expected as </w:t>
      </w:r>
      <w:r>
        <w:rPr>
          <w:i/>
          <w:noProof/>
        </w:rPr>
        <w:t>Pan troglodytes</w:t>
      </w:r>
      <w:r>
        <w:rPr>
          <w:noProof/>
        </w:rPr>
        <w:t xml:space="preserve"> females provide</w:t>
      </w:r>
      <w:r w:rsidR="00E80FA1">
        <w:rPr>
          <w:noProof/>
        </w:rPr>
        <w:t>d</w:t>
      </w:r>
      <w:r>
        <w:rPr>
          <w:noProof/>
        </w:rPr>
        <w:t xml:space="preserve"> the largest sample for any of males or females of both species.  With only 9 individuals being typical of mid-fusion </w:t>
      </w:r>
      <w:r w:rsidR="007A522D">
        <w:rPr>
          <w:noProof/>
        </w:rPr>
        <w:t xml:space="preserve">events </w:t>
      </w:r>
      <w:r>
        <w:rPr>
          <w:noProof/>
        </w:rPr>
        <w:t xml:space="preserve">in </w:t>
      </w:r>
      <w:r>
        <w:rPr>
          <w:i/>
          <w:noProof/>
        </w:rPr>
        <w:t>Pan troglodytes</w:t>
      </w:r>
      <w:r>
        <w:rPr>
          <w:noProof/>
        </w:rPr>
        <w:t xml:space="preserve"> females, most individual recorded stages (stages 2</w:t>
      </w:r>
      <w:r w:rsidR="00712819">
        <w:rPr>
          <w:noProof/>
        </w:rPr>
        <w:t xml:space="preserve"> </w:t>
      </w:r>
      <w:r>
        <w:rPr>
          <w:noProof/>
        </w:rPr>
        <w:t>-</w:t>
      </w:r>
      <w:r w:rsidR="00712819">
        <w:rPr>
          <w:noProof/>
        </w:rPr>
        <w:t xml:space="preserve"> </w:t>
      </w:r>
      <w:r>
        <w:rPr>
          <w:noProof/>
        </w:rPr>
        <w:t xml:space="preserve">4) would provide not more than 3 or 4 individuals for </w:t>
      </w:r>
      <w:r>
        <w:rPr>
          <w:i/>
          <w:noProof/>
        </w:rPr>
        <w:t>Pan troglodytes</w:t>
      </w:r>
      <w:r>
        <w:rPr>
          <w:noProof/>
        </w:rPr>
        <w:t xml:space="preserve"> and single data points common for </w:t>
      </w:r>
      <w:r>
        <w:rPr>
          <w:i/>
          <w:noProof/>
        </w:rPr>
        <w:t>Pan paniscus</w:t>
      </w:r>
      <w:r>
        <w:rPr>
          <w:noProof/>
        </w:rPr>
        <w:t>.  It was decided to</w:t>
      </w:r>
      <w:r w:rsidRPr="005B04A9">
        <w:rPr>
          <w:noProof/>
        </w:rPr>
        <w:t xml:space="preserve"> consider mid-fusion as a single category from this point in the analysis.  A case-by-case review may be possible in the future for some epiphys</w:t>
      </w:r>
      <w:r>
        <w:rPr>
          <w:noProof/>
        </w:rPr>
        <w:t>es, but certainly not for all.</w:t>
      </w:r>
    </w:p>
    <w:p w:rsidR="007673FF" w:rsidRPr="000B4FFA" w:rsidRDefault="007673FF" w:rsidP="007673FF">
      <w:pPr>
        <w:pStyle w:val="Caption"/>
        <w:rPr>
          <w:noProof/>
        </w:rPr>
      </w:pPr>
      <w:bookmarkStart w:id="187" w:name="_Toc373180135"/>
      <w:proofErr w:type="gramStart"/>
      <w:r w:rsidRPr="00C9288A">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23</w:t>
      </w:r>
      <w:r w:rsidR="008943E4">
        <w:rPr>
          <w:b/>
        </w:rPr>
        <w:fldChar w:fldCharType="end"/>
      </w:r>
      <w:r>
        <w:t xml:space="preserve"> </w:t>
      </w:r>
      <w:r>
        <w:rPr>
          <w:noProof/>
        </w:rPr>
        <w:t>N</w:t>
      </w:r>
      <w:r w:rsidRPr="000B4FFA">
        <w:rPr>
          <w:noProof/>
        </w:rPr>
        <w:t xml:space="preserve">umber of individuals in mid-fusion and complete fusion for </w:t>
      </w:r>
      <w:r w:rsidRPr="000B4FFA">
        <w:rPr>
          <w:i/>
          <w:noProof/>
        </w:rPr>
        <w:t>Pan troglodytes</w:t>
      </w:r>
      <w:r w:rsidRPr="000B4FFA">
        <w:rPr>
          <w:noProof/>
        </w:rPr>
        <w:t xml:space="preserve"> females by epiphysis.</w:t>
      </w:r>
      <w:bookmarkEnd w:id="187"/>
    </w:p>
    <w:tbl>
      <w:tblPr>
        <w:tblW w:w="9028" w:type="dxa"/>
        <w:jc w:val="center"/>
        <w:tblBorders>
          <w:top w:val="single" w:sz="4" w:space="0" w:color="auto"/>
          <w:bottom w:val="single" w:sz="4" w:space="0" w:color="auto"/>
        </w:tblBorders>
        <w:tblLook w:val="04A0" w:firstRow="1" w:lastRow="0" w:firstColumn="1" w:lastColumn="0" w:noHBand="0" w:noVBand="1"/>
      </w:tblPr>
      <w:tblGrid>
        <w:gridCol w:w="1694"/>
        <w:gridCol w:w="3652"/>
        <w:gridCol w:w="1556"/>
        <w:gridCol w:w="2126"/>
      </w:tblGrid>
      <w:tr w:rsidR="007673FF" w:rsidRPr="000B4FFA" w:rsidTr="00CA5FBB">
        <w:trPr>
          <w:trHeight w:hRule="exact" w:val="284"/>
          <w:jc w:val="center"/>
        </w:trPr>
        <w:tc>
          <w:tcPr>
            <w:tcW w:w="1694" w:type="dxa"/>
            <w:vMerge w:val="restart"/>
            <w:tcBorders>
              <w:top w:val="single" w:sz="4" w:space="0" w:color="auto"/>
              <w:bottom w:val="nil"/>
            </w:tcBorders>
            <w:shd w:val="clear" w:color="auto" w:fill="auto"/>
            <w:noWrap/>
            <w:vAlign w:val="center"/>
            <w:hideMark/>
          </w:tcPr>
          <w:p w:rsidR="00A35CA0" w:rsidRDefault="00065111"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7673FF" w:rsidRPr="000B4FFA">
              <w:rPr>
                <w:rFonts w:eastAsia="Times New Roman"/>
                <w:b/>
                <w:bCs/>
                <w:color w:val="000000"/>
                <w:lang w:val="en-GB" w:eastAsia="en-GB"/>
              </w:rPr>
              <w:t>keletal region</w:t>
            </w:r>
          </w:p>
        </w:tc>
        <w:tc>
          <w:tcPr>
            <w:tcW w:w="3652" w:type="dxa"/>
            <w:vMerge w:val="restart"/>
            <w:tcBorders>
              <w:top w:val="single" w:sz="4" w:space="0" w:color="auto"/>
              <w:bottom w:val="nil"/>
            </w:tcBorders>
            <w:shd w:val="clear" w:color="auto" w:fill="auto"/>
            <w:noWrap/>
            <w:vAlign w:val="center"/>
            <w:hideMark/>
          </w:tcPr>
          <w:p w:rsidR="00A35CA0" w:rsidRDefault="00065111"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7673FF" w:rsidRPr="000B4FFA">
              <w:rPr>
                <w:rFonts w:eastAsia="Times New Roman"/>
                <w:b/>
                <w:bCs/>
                <w:color w:val="000000"/>
                <w:lang w:val="en-GB" w:eastAsia="en-GB"/>
              </w:rPr>
              <w:t>piphyseal fusion site</w:t>
            </w:r>
          </w:p>
        </w:tc>
        <w:tc>
          <w:tcPr>
            <w:tcW w:w="1556" w:type="dxa"/>
            <w:vMerge w:val="restart"/>
            <w:tcBorders>
              <w:top w:val="single" w:sz="4" w:space="0" w:color="auto"/>
              <w:bottom w:val="nil"/>
            </w:tcBorders>
            <w:shd w:val="clear" w:color="auto" w:fill="auto"/>
            <w:noWrap/>
            <w:vAlign w:val="center"/>
            <w:hideMark/>
          </w:tcPr>
          <w:p w:rsidR="00A35CA0" w:rsidRDefault="008943E4" w:rsidP="00CA5FBB">
            <w:pPr>
              <w:spacing w:before="0" w:line="240" w:lineRule="auto"/>
              <w:jc w:val="center"/>
              <w:rPr>
                <w:rFonts w:eastAsia="Times New Roman"/>
                <w:b/>
                <w:bCs/>
                <w:color w:val="000000"/>
                <w:lang w:val="en-GB" w:eastAsia="en-GB"/>
              </w:rPr>
            </w:pPr>
            <w:r w:rsidRPr="00CA5FBB">
              <w:rPr>
                <w:rFonts w:eastAsia="Times New Roman"/>
                <w:b/>
                <w:bCs/>
                <w:i/>
                <w:color w:val="000000"/>
                <w:lang w:val="en-GB" w:eastAsia="en-GB"/>
              </w:rPr>
              <w:t>N</w:t>
            </w:r>
            <w:r w:rsidR="007673FF" w:rsidRPr="000B4FFA">
              <w:rPr>
                <w:rFonts w:eastAsia="Times New Roman"/>
                <w:b/>
                <w:bCs/>
                <w:color w:val="000000"/>
                <w:lang w:val="en-GB" w:eastAsia="en-GB"/>
              </w:rPr>
              <w:t xml:space="preserve"> mid-fusion</w:t>
            </w:r>
            <w:r w:rsidR="007673FF" w:rsidRPr="00A461AC">
              <w:rPr>
                <w:rFonts w:eastAsia="Times New Roman"/>
                <w:b/>
                <w:bCs/>
                <w:color w:val="000000"/>
                <w:vertAlign w:val="superscript"/>
                <w:lang w:val="en-GB" w:eastAsia="en-GB"/>
              </w:rPr>
              <w:t>1.</w:t>
            </w:r>
          </w:p>
        </w:tc>
        <w:tc>
          <w:tcPr>
            <w:tcW w:w="2126" w:type="dxa"/>
            <w:vMerge w:val="restart"/>
            <w:tcBorders>
              <w:top w:val="single" w:sz="4" w:space="0" w:color="auto"/>
              <w:bottom w:val="nil"/>
            </w:tcBorders>
            <w:shd w:val="clear" w:color="auto" w:fill="auto"/>
            <w:noWrap/>
            <w:vAlign w:val="center"/>
            <w:hideMark/>
          </w:tcPr>
          <w:p w:rsidR="00A35CA0" w:rsidRDefault="008943E4" w:rsidP="00CA5FBB">
            <w:pPr>
              <w:spacing w:before="0" w:line="240" w:lineRule="auto"/>
              <w:jc w:val="center"/>
              <w:rPr>
                <w:rFonts w:eastAsia="Times New Roman"/>
                <w:b/>
                <w:bCs/>
                <w:color w:val="000000"/>
                <w:lang w:val="en-GB" w:eastAsia="en-GB"/>
              </w:rPr>
            </w:pPr>
            <w:r w:rsidRPr="00CA5FBB">
              <w:rPr>
                <w:rFonts w:eastAsia="Times New Roman"/>
                <w:b/>
                <w:bCs/>
                <w:i/>
                <w:color w:val="000000"/>
                <w:lang w:val="en-GB" w:eastAsia="en-GB"/>
              </w:rPr>
              <w:t>N</w:t>
            </w:r>
            <w:r w:rsidR="007673FF" w:rsidRPr="000B4FFA">
              <w:rPr>
                <w:rFonts w:eastAsia="Times New Roman"/>
                <w:b/>
                <w:bCs/>
                <w:color w:val="000000"/>
                <w:lang w:val="en-GB" w:eastAsia="en-GB"/>
              </w:rPr>
              <w:t xml:space="preserve"> complete fusion</w:t>
            </w:r>
            <w:r w:rsidR="007673FF" w:rsidRPr="00A461AC">
              <w:rPr>
                <w:rFonts w:eastAsia="Times New Roman"/>
                <w:b/>
                <w:bCs/>
                <w:color w:val="000000"/>
                <w:vertAlign w:val="superscript"/>
                <w:lang w:val="en-GB" w:eastAsia="en-GB"/>
              </w:rPr>
              <w:t>2.</w:t>
            </w:r>
          </w:p>
        </w:tc>
      </w:tr>
      <w:tr w:rsidR="007673FF" w:rsidRPr="000B4FFA" w:rsidTr="00CA5FBB">
        <w:trPr>
          <w:trHeight w:val="253"/>
          <w:jc w:val="center"/>
        </w:trPr>
        <w:tc>
          <w:tcPr>
            <w:tcW w:w="1694"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3652"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1556"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2126"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r>
      <w:tr w:rsidR="007673FF" w:rsidRPr="000B4FFA" w:rsidTr="00CA5FBB">
        <w:trPr>
          <w:trHeight w:hRule="exact" w:val="284"/>
          <w:jc w:val="center"/>
        </w:trPr>
        <w:tc>
          <w:tcPr>
            <w:tcW w:w="1694" w:type="dxa"/>
            <w:vMerge w:val="restart"/>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lang w:val="en-GB" w:eastAsia="en-GB"/>
              </w:rPr>
            </w:pPr>
            <w:r w:rsidRPr="000B4FFA">
              <w:rPr>
                <w:rFonts w:eastAsia="Times New Roman"/>
                <w:color w:val="000000"/>
                <w:lang w:val="en-GB" w:eastAsia="en-GB"/>
              </w:rPr>
              <w:t>upper limb</w:t>
            </w:r>
          </w:p>
        </w:tc>
        <w:tc>
          <w:tcPr>
            <w:tcW w:w="3652"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proximal humerus</w:t>
            </w:r>
          </w:p>
        </w:tc>
        <w:tc>
          <w:tcPr>
            <w:tcW w:w="1556"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19</w:t>
            </w:r>
          </w:p>
        </w:tc>
        <w:tc>
          <w:tcPr>
            <w:tcW w:w="2126"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12</w:t>
            </w:r>
          </w:p>
        </w:tc>
      </w:tr>
      <w:tr w:rsidR="007673FF" w:rsidRPr="000B4FFA" w:rsidTr="00CA5FBB">
        <w:trPr>
          <w:trHeight w:hRule="exact" w:val="284"/>
          <w:jc w:val="center"/>
        </w:trPr>
        <w:tc>
          <w:tcPr>
            <w:tcW w:w="169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nil"/>
            </w:tcBorders>
            <w:shd w:val="clear" w:color="auto" w:fill="auto"/>
            <w:noWrap/>
            <w:vAlign w:val="center"/>
            <w:hideMark/>
          </w:tcPr>
          <w:p w:rsidR="00A35CA0" w:rsidRDefault="00650A6C"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155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8</w:t>
            </w:r>
          </w:p>
        </w:tc>
        <w:tc>
          <w:tcPr>
            <w:tcW w:w="212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48</w:t>
            </w:r>
          </w:p>
        </w:tc>
      </w:tr>
      <w:tr w:rsidR="007673FF" w:rsidRPr="000B4FFA" w:rsidTr="00CA5FBB">
        <w:trPr>
          <w:trHeight w:hRule="exact" w:val="284"/>
          <w:jc w:val="center"/>
        </w:trPr>
        <w:tc>
          <w:tcPr>
            <w:tcW w:w="169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nil"/>
            </w:tcBorders>
            <w:shd w:val="clear" w:color="auto" w:fill="auto"/>
            <w:noWrap/>
            <w:vAlign w:val="center"/>
            <w:hideMark/>
          </w:tcPr>
          <w:p w:rsidR="00A35CA0" w:rsidRDefault="000E75D0"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7673FF" w:rsidRPr="000B4FFA">
              <w:rPr>
                <w:rFonts w:eastAsia="Times New Roman"/>
                <w:color w:val="000000"/>
                <w:lang w:val="en-GB" w:eastAsia="en-GB"/>
              </w:rPr>
              <w:t>medial epicondyle</w:t>
            </w:r>
          </w:p>
        </w:tc>
        <w:tc>
          <w:tcPr>
            <w:tcW w:w="155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8</w:t>
            </w:r>
          </w:p>
        </w:tc>
        <w:tc>
          <w:tcPr>
            <w:tcW w:w="212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42</w:t>
            </w:r>
          </w:p>
        </w:tc>
      </w:tr>
      <w:tr w:rsidR="007673FF" w:rsidRPr="000B4FFA" w:rsidTr="00CA5FBB">
        <w:trPr>
          <w:trHeight w:hRule="exact" w:val="284"/>
          <w:jc w:val="center"/>
        </w:trPr>
        <w:tc>
          <w:tcPr>
            <w:tcW w:w="169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proximal radius</w:t>
            </w:r>
          </w:p>
        </w:tc>
        <w:tc>
          <w:tcPr>
            <w:tcW w:w="155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11</w:t>
            </w:r>
          </w:p>
        </w:tc>
        <w:tc>
          <w:tcPr>
            <w:tcW w:w="212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30</w:t>
            </w:r>
          </w:p>
        </w:tc>
      </w:tr>
      <w:tr w:rsidR="007673FF" w:rsidRPr="000B4FFA" w:rsidTr="00CA5FBB">
        <w:trPr>
          <w:trHeight w:hRule="exact" w:val="284"/>
          <w:jc w:val="center"/>
        </w:trPr>
        <w:tc>
          <w:tcPr>
            <w:tcW w:w="169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distal radius</w:t>
            </w:r>
          </w:p>
        </w:tc>
        <w:tc>
          <w:tcPr>
            <w:tcW w:w="155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16</w:t>
            </w:r>
          </w:p>
        </w:tc>
        <w:tc>
          <w:tcPr>
            <w:tcW w:w="212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9</w:t>
            </w:r>
          </w:p>
        </w:tc>
      </w:tr>
      <w:tr w:rsidR="007673FF" w:rsidRPr="000B4FFA" w:rsidTr="00CA5FBB">
        <w:trPr>
          <w:trHeight w:hRule="exact" w:val="284"/>
          <w:jc w:val="center"/>
        </w:trPr>
        <w:tc>
          <w:tcPr>
            <w:tcW w:w="169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proximal ulna</w:t>
            </w:r>
          </w:p>
        </w:tc>
        <w:tc>
          <w:tcPr>
            <w:tcW w:w="155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w:t>
            </w:r>
          </w:p>
        </w:tc>
        <w:tc>
          <w:tcPr>
            <w:tcW w:w="212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40</w:t>
            </w:r>
          </w:p>
        </w:tc>
      </w:tr>
      <w:tr w:rsidR="007673FF" w:rsidRPr="000B4FFA" w:rsidTr="00CA5FBB">
        <w:trPr>
          <w:trHeight w:hRule="exact" w:val="284"/>
          <w:jc w:val="center"/>
        </w:trPr>
        <w:tc>
          <w:tcPr>
            <w:tcW w:w="1694"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distal ulna</w:t>
            </w:r>
          </w:p>
        </w:tc>
        <w:tc>
          <w:tcPr>
            <w:tcW w:w="1556"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14</w:t>
            </w:r>
          </w:p>
        </w:tc>
        <w:tc>
          <w:tcPr>
            <w:tcW w:w="2126"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10</w:t>
            </w:r>
          </w:p>
        </w:tc>
      </w:tr>
      <w:tr w:rsidR="007673FF" w:rsidRPr="000B4FFA" w:rsidTr="00CA5FBB">
        <w:trPr>
          <w:trHeight w:hRule="exact" w:val="284"/>
          <w:jc w:val="center"/>
        </w:trPr>
        <w:tc>
          <w:tcPr>
            <w:tcW w:w="1694" w:type="dxa"/>
            <w:vMerge w:val="restart"/>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lang w:val="en-GB" w:eastAsia="en-GB"/>
              </w:rPr>
            </w:pPr>
            <w:r w:rsidRPr="000B4FFA">
              <w:rPr>
                <w:rFonts w:eastAsia="Times New Roman"/>
                <w:color w:val="000000"/>
                <w:lang w:val="en-GB" w:eastAsia="en-GB"/>
              </w:rPr>
              <w:t>hand</w:t>
            </w:r>
          </w:p>
        </w:tc>
        <w:tc>
          <w:tcPr>
            <w:tcW w:w="3652"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distal phalanges (hand)</w:t>
            </w:r>
          </w:p>
        </w:tc>
        <w:tc>
          <w:tcPr>
            <w:tcW w:w="1556"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w:t>
            </w:r>
          </w:p>
        </w:tc>
        <w:tc>
          <w:tcPr>
            <w:tcW w:w="2126"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10</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base of metacarpal 1</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7</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29</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proximal and middle phalanges (hand)</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10</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29</w:t>
            </w:r>
          </w:p>
        </w:tc>
      </w:tr>
      <w:tr w:rsidR="007673FF" w:rsidRPr="000B4FFA" w:rsidTr="00CA5FBB">
        <w:trPr>
          <w:trHeight w:hRule="exact" w:val="284"/>
          <w:jc w:val="center"/>
        </w:trPr>
        <w:tc>
          <w:tcPr>
            <w:tcW w:w="169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metacarpal heads 2-5</w:t>
            </w:r>
          </w:p>
        </w:tc>
        <w:tc>
          <w:tcPr>
            <w:tcW w:w="1556"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7</w:t>
            </w:r>
          </w:p>
        </w:tc>
        <w:tc>
          <w:tcPr>
            <w:tcW w:w="2126"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25</w:t>
            </w:r>
          </w:p>
        </w:tc>
      </w:tr>
      <w:tr w:rsidR="007673FF" w:rsidRPr="000B4FFA" w:rsidTr="00CA5FBB">
        <w:trPr>
          <w:trHeight w:hRule="exact" w:val="284"/>
          <w:jc w:val="center"/>
        </w:trPr>
        <w:tc>
          <w:tcPr>
            <w:tcW w:w="1694" w:type="dxa"/>
            <w:vMerge w:val="restart"/>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lang w:val="en-GB" w:eastAsia="en-GB"/>
              </w:rPr>
            </w:pPr>
            <w:r w:rsidRPr="000B4FFA">
              <w:rPr>
                <w:rFonts w:eastAsia="Times New Roman"/>
                <w:color w:val="000000"/>
                <w:lang w:val="en-GB" w:eastAsia="en-GB"/>
              </w:rPr>
              <w:t>lower limb</w:t>
            </w:r>
          </w:p>
        </w:tc>
        <w:tc>
          <w:tcPr>
            <w:tcW w:w="3652"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femoral head</w:t>
            </w:r>
          </w:p>
        </w:tc>
        <w:tc>
          <w:tcPr>
            <w:tcW w:w="1556"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10</w:t>
            </w:r>
          </w:p>
        </w:tc>
        <w:tc>
          <w:tcPr>
            <w:tcW w:w="2126"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29</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greater trochanter</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10</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32</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lesser trochanter</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5</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37</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distal femur</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19</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12</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proximal tibia</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20</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13</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distal tibia</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12</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21</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proximal fibula</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14</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16</w:t>
            </w:r>
          </w:p>
        </w:tc>
      </w:tr>
      <w:tr w:rsidR="007673FF" w:rsidRPr="000B4FFA" w:rsidTr="00CA5FBB">
        <w:trPr>
          <w:trHeight w:hRule="exact" w:val="284"/>
          <w:jc w:val="center"/>
        </w:trPr>
        <w:tc>
          <w:tcPr>
            <w:tcW w:w="169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distal fibula</w:t>
            </w:r>
          </w:p>
        </w:tc>
        <w:tc>
          <w:tcPr>
            <w:tcW w:w="1556"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9</w:t>
            </w:r>
          </w:p>
        </w:tc>
        <w:tc>
          <w:tcPr>
            <w:tcW w:w="2126"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24</w:t>
            </w:r>
          </w:p>
        </w:tc>
      </w:tr>
      <w:tr w:rsidR="007673FF" w:rsidRPr="000B4FFA" w:rsidTr="00CA5FBB">
        <w:trPr>
          <w:trHeight w:hRule="exact" w:val="284"/>
          <w:jc w:val="center"/>
        </w:trPr>
        <w:tc>
          <w:tcPr>
            <w:tcW w:w="1694" w:type="dxa"/>
            <w:vMerge w:val="restart"/>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lang w:val="en-GB" w:eastAsia="en-GB"/>
              </w:rPr>
            </w:pPr>
            <w:r w:rsidRPr="000B4FFA">
              <w:rPr>
                <w:rFonts w:eastAsia="Times New Roman"/>
                <w:color w:val="000000"/>
                <w:lang w:val="en-GB" w:eastAsia="en-GB"/>
              </w:rPr>
              <w:t>foot</w:t>
            </w:r>
          </w:p>
        </w:tc>
        <w:tc>
          <w:tcPr>
            <w:tcW w:w="3652"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calcaneus</w:t>
            </w:r>
          </w:p>
        </w:tc>
        <w:tc>
          <w:tcPr>
            <w:tcW w:w="1556"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7</w:t>
            </w:r>
          </w:p>
        </w:tc>
        <w:tc>
          <w:tcPr>
            <w:tcW w:w="2126"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35</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talus</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46</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distal phalanges (foot)</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11</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31</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middle phalanges (foot)</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10</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29</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metatarsal heads (2-5)</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13</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25</w:t>
            </w:r>
          </w:p>
        </w:tc>
      </w:tr>
      <w:tr w:rsidR="007673FF" w:rsidRPr="000B4FFA" w:rsidTr="00CA5FBB">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base of metatarsal 1</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8</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32</w:t>
            </w:r>
          </w:p>
        </w:tc>
      </w:tr>
      <w:tr w:rsidR="007673FF" w:rsidRPr="000B4FFA" w:rsidTr="00CA5FBB">
        <w:trPr>
          <w:trHeight w:hRule="exact" w:val="284"/>
          <w:jc w:val="center"/>
        </w:trPr>
        <w:tc>
          <w:tcPr>
            <w:tcW w:w="169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proximal phalanges (foot)</w:t>
            </w:r>
          </w:p>
        </w:tc>
        <w:tc>
          <w:tcPr>
            <w:tcW w:w="1556"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8</w:t>
            </w:r>
          </w:p>
        </w:tc>
        <w:tc>
          <w:tcPr>
            <w:tcW w:w="2126"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27</w:t>
            </w:r>
          </w:p>
        </w:tc>
      </w:tr>
      <w:tr w:rsidR="007673FF" w:rsidRPr="000B4FFA" w:rsidTr="00065111">
        <w:trPr>
          <w:trHeight w:hRule="exact" w:val="284"/>
          <w:jc w:val="center"/>
        </w:trPr>
        <w:tc>
          <w:tcPr>
            <w:tcW w:w="1694" w:type="dxa"/>
            <w:vMerge w:val="restart"/>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lang w:val="en-GB" w:eastAsia="en-GB"/>
              </w:rPr>
            </w:pPr>
            <w:r w:rsidRPr="000B4FFA">
              <w:rPr>
                <w:rFonts w:eastAsia="Times New Roman"/>
                <w:color w:val="000000"/>
                <w:lang w:val="en-GB" w:eastAsia="en-GB"/>
              </w:rPr>
              <w:t>pelvis</w:t>
            </w:r>
          </w:p>
        </w:tc>
        <w:tc>
          <w:tcPr>
            <w:tcW w:w="3652"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triradiate</w:t>
            </w:r>
          </w:p>
        </w:tc>
        <w:tc>
          <w:tcPr>
            <w:tcW w:w="1556"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8</w:t>
            </w:r>
          </w:p>
        </w:tc>
        <w:tc>
          <w:tcPr>
            <w:tcW w:w="2126"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39</w:t>
            </w:r>
          </w:p>
        </w:tc>
      </w:tr>
      <w:tr w:rsidR="007673FF" w:rsidRPr="000B4FFA" w:rsidTr="00065111">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anterior inferior iliac spine</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40</w:t>
            </w:r>
          </w:p>
        </w:tc>
      </w:tr>
      <w:tr w:rsidR="007673FF" w:rsidRPr="000B4FFA" w:rsidTr="00065111">
        <w:trPr>
          <w:trHeight w:hRule="exact" w:val="284"/>
          <w:jc w:val="center"/>
        </w:trPr>
        <w:tc>
          <w:tcPr>
            <w:tcW w:w="169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iliac crest</w:t>
            </w:r>
          </w:p>
        </w:tc>
        <w:tc>
          <w:tcPr>
            <w:tcW w:w="155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18</w:t>
            </w:r>
          </w:p>
        </w:tc>
        <w:tc>
          <w:tcPr>
            <w:tcW w:w="2126"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0</w:t>
            </w:r>
          </w:p>
        </w:tc>
      </w:tr>
      <w:tr w:rsidR="007673FF" w:rsidRPr="000B4FFA" w:rsidTr="00780F41">
        <w:trPr>
          <w:trHeight w:hRule="exact" w:val="284"/>
          <w:jc w:val="center"/>
        </w:trPr>
        <w:tc>
          <w:tcPr>
            <w:tcW w:w="169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ischia</w:t>
            </w:r>
            <w:r w:rsidR="00065111">
              <w:rPr>
                <w:rFonts w:eastAsia="Times New Roman"/>
                <w:color w:val="000000"/>
                <w:lang w:val="en-GB" w:eastAsia="en-GB"/>
              </w:rPr>
              <w:t>l</w:t>
            </w:r>
            <w:r w:rsidRPr="000B4FFA">
              <w:rPr>
                <w:rFonts w:eastAsia="Times New Roman"/>
                <w:color w:val="000000"/>
                <w:lang w:val="en-GB" w:eastAsia="en-GB"/>
              </w:rPr>
              <w:t xml:space="preserve"> epiphysis</w:t>
            </w:r>
          </w:p>
        </w:tc>
        <w:tc>
          <w:tcPr>
            <w:tcW w:w="1556"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16</w:t>
            </w:r>
          </w:p>
        </w:tc>
        <w:tc>
          <w:tcPr>
            <w:tcW w:w="2126"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11</w:t>
            </w:r>
          </w:p>
        </w:tc>
      </w:tr>
      <w:tr w:rsidR="007673FF" w:rsidRPr="000B4FFA" w:rsidTr="00780F41">
        <w:trPr>
          <w:trHeight w:hRule="exact" w:val="284"/>
          <w:jc w:val="center"/>
        </w:trPr>
        <w:tc>
          <w:tcPr>
            <w:tcW w:w="1694" w:type="dxa"/>
            <w:vMerge w:val="restart"/>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clavicle</w:t>
            </w:r>
          </w:p>
        </w:tc>
        <w:tc>
          <w:tcPr>
            <w:tcW w:w="3652"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medial clavicle</w:t>
            </w:r>
          </w:p>
        </w:tc>
        <w:tc>
          <w:tcPr>
            <w:tcW w:w="1556"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7</w:t>
            </w:r>
          </w:p>
        </w:tc>
        <w:tc>
          <w:tcPr>
            <w:tcW w:w="2126"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5</w:t>
            </w:r>
          </w:p>
        </w:tc>
      </w:tr>
      <w:tr w:rsidR="007673FF" w:rsidRPr="000B4FFA" w:rsidTr="00780F41">
        <w:trPr>
          <w:trHeight w:hRule="exact" w:val="284"/>
          <w:jc w:val="center"/>
        </w:trPr>
        <w:tc>
          <w:tcPr>
            <w:tcW w:w="1694"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lateral clavicle</w:t>
            </w:r>
          </w:p>
        </w:tc>
        <w:tc>
          <w:tcPr>
            <w:tcW w:w="1556"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w:t>
            </w:r>
          </w:p>
        </w:tc>
        <w:tc>
          <w:tcPr>
            <w:tcW w:w="2126"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28</w:t>
            </w:r>
          </w:p>
        </w:tc>
      </w:tr>
      <w:tr w:rsidR="007673FF" w:rsidRPr="000B4FFA" w:rsidTr="00780F41">
        <w:trPr>
          <w:trHeight w:hRule="exact" w:val="284"/>
          <w:jc w:val="center"/>
        </w:trPr>
        <w:tc>
          <w:tcPr>
            <w:tcW w:w="1694" w:type="dxa"/>
            <w:vMerge w:val="restart"/>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scapula</w:t>
            </w:r>
          </w:p>
        </w:tc>
        <w:tc>
          <w:tcPr>
            <w:tcW w:w="3652"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coracoid</w:t>
            </w:r>
          </w:p>
        </w:tc>
        <w:tc>
          <w:tcPr>
            <w:tcW w:w="1556"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9</w:t>
            </w:r>
          </w:p>
        </w:tc>
        <w:tc>
          <w:tcPr>
            <w:tcW w:w="2126" w:type="dxa"/>
            <w:tcBorders>
              <w:top w:val="single" w:sz="4" w:space="0" w:color="auto"/>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39</w:t>
            </w:r>
          </w:p>
        </w:tc>
      </w:tr>
      <w:tr w:rsidR="007673FF" w:rsidRPr="000B4FFA" w:rsidTr="00780F41">
        <w:trPr>
          <w:trHeight w:hRule="exact" w:val="284"/>
          <w:jc w:val="center"/>
        </w:trPr>
        <w:tc>
          <w:tcPr>
            <w:tcW w:w="169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sub-coracoid and glenoid</w:t>
            </w:r>
          </w:p>
        </w:tc>
        <w:tc>
          <w:tcPr>
            <w:tcW w:w="155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6</w:t>
            </w:r>
          </w:p>
        </w:tc>
        <w:tc>
          <w:tcPr>
            <w:tcW w:w="212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42</w:t>
            </w:r>
          </w:p>
        </w:tc>
      </w:tr>
      <w:tr w:rsidR="007673FF" w:rsidRPr="000B4FFA" w:rsidTr="00780F41">
        <w:trPr>
          <w:trHeight w:hRule="exact" w:val="284"/>
          <w:jc w:val="center"/>
        </w:trPr>
        <w:tc>
          <w:tcPr>
            <w:tcW w:w="169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acromium</w:t>
            </w:r>
          </w:p>
        </w:tc>
        <w:tc>
          <w:tcPr>
            <w:tcW w:w="155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16</w:t>
            </w:r>
          </w:p>
        </w:tc>
        <w:tc>
          <w:tcPr>
            <w:tcW w:w="2126" w:type="dxa"/>
            <w:tcBorders>
              <w:top w:val="nil"/>
              <w:bottom w:val="nil"/>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4</w:t>
            </w:r>
          </w:p>
        </w:tc>
      </w:tr>
      <w:tr w:rsidR="007673FF" w:rsidRPr="000B4FFA" w:rsidTr="00780F41">
        <w:trPr>
          <w:trHeight w:hRule="exact" w:val="284"/>
          <w:jc w:val="center"/>
        </w:trPr>
        <w:tc>
          <w:tcPr>
            <w:tcW w:w="1694"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652"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medial border</w:t>
            </w:r>
          </w:p>
        </w:tc>
        <w:tc>
          <w:tcPr>
            <w:tcW w:w="1556"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8</w:t>
            </w:r>
          </w:p>
        </w:tc>
        <w:tc>
          <w:tcPr>
            <w:tcW w:w="2126" w:type="dxa"/>
            <w:tcBorders>
              <w:top w:val="nil"/>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w:t>
            </w:r>
          </w:p>
        </w:tc>
      </w:tr>
      <w:tr w:rsidR="00097275" w:rsidRPr="000B4FFA" w:rsidTr="00C73131">
        <w:trPr>
          <w:trHeight w:hRule="exact" w:val="284"/>
          <w:jc w:val="center"/>
        </w:trPr>
        <w:tc>
          <w:tcPr>
            <w:tcW w:w="5346" w:type="dxa"/>
            <w:gridSpan w:val="2"/>
            <w:tcBorders>
              <w:top w:val="single" w:sz="4" w:space="0" w:color="auto"/>
            </w:tcBorders>
            <w:shd w:val="clear" w:color="auto" w:fill="auto"/>
            <w:noWrap/>
            <w:vAlign w:val="center"/>
            <w:hideMark/>
          </w:tcPr>
          <w:p w:rsidR="00097275" w:rsidRDefault="00097275" w:rsidP="00CA5FBB">
            <w:pPr>
              <w:spacing w:before="0" w:line="240" w:lineRule="auto"/>
              <w:jc w:val="right"/>
              <w:rPr>
                <w:rFonts w:eastAsia="Times New Roman"/>
                <w:color w:val="000000"/>
                <w:sz w:val="24"/>
                <w:szCs w:val="24"/>
                <w:lang w:val="en-GB" w:eastAsia="en-GB"/>
              </w:rPr>
            </w:pPr>
            <w:r w:rsidRPr="000B4FFA">
              <w:rPr>
                <w:rFonts w:eastAsia="Times New Roman"/>
                <w:color w:val="000000"/>
                <w:lang w:val="en-GB" w:eastAsia="en-GB"/>
              </w:rPr>
              <w:t>mean</w:t>
            </w:r>
          </w:p>
        </w:tc>
        <w:tc>
          <w:tcPr>
            <w:tcW w:w="1556" w:type="dxa"/>
            <w:tcBorders>
              <w:top w:val="single" w:sz="4" w:space="0" w:color="auto"/>
            </w:tcBorders>
            <w:shd w:val="clear" w:color="auto" w:fill="auto"/>
            <w:noWrap/>
            <w:vAlign w:val="center"/>
            <w:hideMark/>
          </w:tcPr>
          <w:p w:rsidR="00097275" w:rsidRDefault="00097275"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9.92</w:t>
            </w:r>
          </w:p>
        </w:tc>
        <w:tc>
          <w:tcPr>
            <w:tcW w:w="2126" w:type="dxa"/>
            <w:tcBorders>
              <w:top w:val="single" w:sz="4" w:space="0" w:color="auto"/>
            </w:tcBorders>
            <w:shd w:val="clear" w:color="auto" w:fill="auto"/>
            <w:noWrap/>
            <w:vAlign w:val="center"/>
            <w:hideMark/>
          </w:tcPr>
          <w:p w:rsidR="00097275" w:rsidRDefault="00097275"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25.1</w:t>
            </w:r>
          </w:p>
        </w:tc>
      </w:tr>
      <w:tr w:rsidR="00097275" w:rsidRPr="000B4FFA" w:rsidTr="00C73131">
        <w:trPr>
          <w:trHeight w:hRule="exact" w:val="284"/>
          <w:jc w:val="center"/>
        </w:trPr>
        <w:tc>
          <w:tcPr>
            <w:tcW w:w="5346" w:type="dxa"/>
            <w:gridSpan w:val="2"/>
            <w:shd w:val="clear" w:color="auto" w:fill="auto"/>
            <w:noWrap/>
            <w:vAlign w:val="center"/>
            <w:hideMark/>
          </w:tcPr>
          <w:p w:rsidR="00097275" w:rsidRDefault="00097275" w:rsidP="00CA5FBB">
            <w:pPr>
              <w:spacing w:before="0" w:line="240" w:lineRule="auto"/>
              <w:jc w:val="right"/>
              <w:rPr>
                <w:rFonts w:eastAsia="Times New Roman"/>
                <w:color w:val="000000"/>
                <w:sz w:val="24"/>
                <w:szCs w:val="24"/>
                <w:lang w:val="en-GB" w:eastAsia="en-GB"/>
              </w:rPr>
            </w:pPr>
            <w:r w:rsidRPr="000B4FFA">
              <w:rPr>
                <w:rFonts w:eastAsia="Times New Roman"/>
                <w:color w:val="000000"/>
                <w:lang w:val="en-GB" w:eastAsia="en-GB"/>
              </w:rPr>
              <w:t>median</w:t>
            </w:r>
          </w:p>
        </w:tc>
        <w:tc>
          <w:tcPr>
            <w:tcW w:w="1556" w:type="dxa"/>
            <w:shd w:val="clear" w:color="auto" w:fill="auto"/>
            <w:noWrap/>
            <w:vAlign w:val="center"/>
            <w:hideMark/>
          </w:tcPr>
          <w:p w:rsidR="00097275" w:rsidRDefault="00097275"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9</w:t>
            </w:r>
          </w:p>
        </w:tc>
        <w:tc>
          <w:tcPr>
            <w:tcW w:w="2126" w:type="dxa"/>
            <w:shd w:val="clear" w:color="auto" w:fill="auto"/>
            <w:noWrap/>
            <w:vAlign w:val="center"/>
            <w:hideMark/>
          </w:tcPr>
          <w:p w:rsidR="00097275" w:rsidRDefault="00097275" w:rsidP="00CA5FBB">
            <w:pPr>
              <w:spacing w:before="0" w:line="240" w:lineRule="auto"/>
              <w:jc w:val="center"/>
              <w:rPr>
                <w:rFonts w:eastAsia="Times New Roman"/>
                <w:color w:val="000000"/>
                <w:sz w:val="24"/>
                <w:szCs w:val="24"/>
                <w:lang w:val="en-GB" w:eastAsia="en-GB"/>
              </w:rPr>
            </w:pPr>
            <w:r w:rsidRPr="000B4FFA">
              <w:rPr>
                <w:rFonts w:eastAsia="Times New Roman"/>
                <w:color w:val="000000"/>
                <w:lang w:val="en-GB" w:eastAsia="en-GB"/>
              </w:rPr>
              <w:t>28.5</w:t>
            </w:r>
          </w:p>
        </w:tc>
      </w:tr>
    </w:tbl>
    <w:p w:rsidR="007673FF" w:rsidRPr="006631BB" w:rsidRDefault="007673FF" w:rsidP="007673FF">
      <w:pPr>
        <w:pStyle w:val="ListParagraph"/>
        <w:numPr>
          <w:ilvl w:val="0"/>
          <w:numId w:val="18"/>
        </w:numPr>
        <w:tabs>
          <w:tab w:val="left" w:pos="360"/>
        </w:tabs>
        <w:spacing w:line="240" w:lineRule="auto"/>
        <w:ind w:hanging="2160"/>
        <w:rPr>
          <w:noProof/>
          <w:sz w:val="20"/>
          <w:szCs w:val="20"/>
        </w:rPr>
      </w:pPr>
      <w:r w:rsidRPr="006631BB">
        <w:rPr>
          <w:noProof/>
          <w:sz w:val="20"/>
          <w:szCs w:val="20"/>
        </w:rPr>
        <w:t>Mid-fusion indicates the number of individuals with fusion score 2-4</w:t>
      </w:r>
    </w:p>
    <w:p w:rsidR="007673FF" w:rsidRPr="006631BB" w:rsidRDefault="007673FF" w:rsidP="007673FF">
      <w:pPr>
        <w:pStyle w:val="ListParagraph"/>
        <w:numPr>
          <w:ilvl w:val="0"/>
          <w:numId w:val="18"/>
        </w:numPr>
        <w:tabs>
          <w:tab w:val="left" w:pos="360"/>
        </w:tabs>
        <w:spacing w:line="240" w:lineRule="auto"/>
        <w:ind w:hanging="2160"/>
        <w:rPr>
          <w:noProof/>
          <w:sz w:val="20"/>
          <w:szCs w:val="20"/>
        </w:rPr>
      </w:pPr>
      <w:r w:rsidRPr="006631BB">
        <w:rPr>
          <w:noProof/>
          <w:sz w:val="20"/>
          <w:szCs w:val="20"/>
        </w:rPr>
        <w:t>Complete fusion indicates the number of individuals with fusion score 5</w:t>
      </w:r>
    </w:p>
    <w:p w:rsidR="007673FF" w:rsidRPr="00467E62" w:rsidRDefault="007673FF" w:rsidP="007673FF">
      <w:pPr>
        <w:pStyle w:val="Caption"/>
        <w:rPr>
          <w:lang w:val="en-GB" w:eastAsia="en-GB"/>
        </w:rPr>
      </w:pPr>
      <w:bookmarkStart w:id="188" w:name="_Toc373180136"/>
      <w:proofErr w:type="gramStart"/>
      <w:r w:rsidRPr="00C9288A">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24</w:t>
      </w:r>
      <w:r w:rsidR="008943E4">
        <w:rPr>
          <w:b/>
        </w:rPr>
        <w:fldChar w:fldCharType="end"/>
      </w:r>
      <w:r>
        <w:t xml:space="preserve"> </w:t>
      </w:r>
      <w:r>
        <w:rPr>
          <w:lang w:val="en-GB" w:eastAsia="en-GB"/>
        </w:rPr>
        <w:t>N</w:t>
      </w:r>
      <w:r w:rsidRPr="006631BB">
        <w:rPr>
          <w:lang w:val="en-GB" w:eastAsia="en-GB"/>
        </w:rPr>
        <w:t xml:space="preserve">umber of unfused, mid-fusion, and complete fusion values for the upper limb in </w:t>
      </w:r>
      <w:r w:rsidRPr="006631BB">
        <w:rPr>
          <w:i/>
          <w:lang w:val="en-GB" w:eastAsia="en-GB"/>
        </w:rPr>
        <w:t xml:space="preserve">Pan </w:t>
      </w:r>
      <w:proofErr w:type="gramStart"/>
      <w:r w:rsidRPr="006631BB">
        <w:rPr>
          <w:i/>
          <w:lang w:val="en-GB" w:eastAsia="en-GB"/>
        </w:rPr>
        <w:t>paniscus</w:t>
      </w:r>
      <w:proofErr w:type="gramEnd"/>
      <w:r w:rsidRPr="006631BB">
        <w:rPr>
          <w:lang w:val="en-GB" w:eastAsia="en-GB"/>
        </w:rPr>
        <w:t xml:space="preserve"> and </w:t>
      </w:r>
      <w:r w:rsidRPr="006631BB">
        <w:rPr>
          <w:i/>
          <w:lang w:val="en-GB" w:eastAsia="en-GB"/>
        </w:rPr>
        <w:t>Pan troglodytes</w:t>
      </w:r>
      <w:r>
        <w:rPr>
          <w:lang w:val="en-GB" w:eastAsia="en-GB"/>
        </w:rPr>
        <w:t>.</w:t>
      </w:r>
      <w:bookmarkEnd w:id="188"/>
    </w:p>
    <w:tbl>
      <w:tblPr>
        <w:tblW w:w="6803" w:type="dxa"/>
        <w:jc w:val="center"/>
        <w:tblInd w:w="93" w:type="dxa"/>
        <w:tblBorders>
          <w:top w:val="single" w:sz="4" w:space="0" w:color="auto"/>
          <w:bottom w:val="single" w:sz="4" w:space="0" w:color="auto"/>
        </w:tblBorders>
        <w:tblLook w:val="04A0" w:firstRow="1" w:lastRow="0" w:firstColumn="1" w:lastColumn="0" w:noHBand="0" w:noVBand="1"/>
      </w:tblPr>
      <w:tblGrid>
        <w:gridCol w:w="2975"/>
        <w:gridCol w:w="1447"/>
        <w:gridCol w:w="2381"/>
      </w:tblGrid>
      <w:tr w:rsidR="007673FF" w:rsidRPr="001728EA" w:rsidTr="00AA6F14">
        <w:trPr>
          <w:trHeight w:val="345"/>
          <w:jc w:val="center"/>
        </w:trPr>
        <w:tc>
          <w:tcPr>
            <w:tcW w:w="2975"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7673FF" w:rsidRPr="001728EA">
              <w:rPr>
                <w:rFonts w:eastAsia="Times New Roman"/>
                <w:b/>
                <w:bCs/>
                <w:color w:val="000000"/>
                <w:lang w:val="en-GB" w:eastAsia="en-GB"/>
              </w:rPr>
              <w:t xml:space="preserve">ale </w:t>
            </w:r>
            <w:r w:rsidR="007673FF" w:rsidRPr="001728EA">
              <w:rPr>
                <w:rFonts w:eastAsia="Times New Roman"/>
                <w:b/>
                <w:bCs/>
                <w:i/>
                <w:iCs/>
                <w:color w:val="000000"/>
                <w:lang w:val="en-GB" w:eastAsia="en-GB"/>
              </w:rPr>
              <w:t>Pan paniscus</w:t>
            </w:r>
          </w:p>
        </w:tc>
        <w:tc>
          <w:tcPr>
            <w:tcW w:w="1447"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lang w:val="en-GB" w:eastAsia="en-GB"/>
              </w:rPr>
            </w:pPr>
            <w:proofErr w:type="gramStart"/>
            <w:r>
              <w:rPr>
                <w:rFonts w:eastAsia="Times New Roman"/>
                <w:b/>
                <w:bCs/>
                <w:color w:val="000000"/>
                <w:lang w:val="en-GB" w:eastAsia="en-GB"/>
              </w:rPr>
              <w:t>m</w:t>
            </w:r>
            <w:r w:rsidR="007673FF" w:rsidRPr="001728EA">
              <w:rPr>
                <w:rFonts w:eastAsia="Times New Roman"/>
                <w:b/>
                <w:bCs/>
                <w:color w:val="000000"/>
                <w:lang w:val="en-GB" w:eastAsia="en-GB"/>
              </w:rPr>
              <w:t>id-fusion</w:t>
            </w:r>
            <w:r w:rsidR="007673FF" w:rsidRPr="001728EA">
              <w:rPr>
                <w:rFonts w:eastAsia="Times New Roman"/>
                <w:b/>
                <w:bCs/>
                <w:color w:val="000000"/>
                <w:vertAlign w:val="superscript"/>
                <w:lang w:val="en-GB" w:eastAsia="en-GB"/>
              </w:rPr>
              <w:t>1</w:t>
            </w:r>
            <w:proofErr w:type="gramEnd"/>
            <w:r w:rsidR="007673FF" w:rsidRPr="001728EA">
              <w:rPr>
                <w:rFonts w:eastAsia="Times New Roman"/>
                <w:b/>
                <w:bCs/>
                <w:color w:val="000000"/>
                <w:vertAlign w:val="superscript"/>
                <w:lang w:val="en-GB" w:eastAsia="en-GB"/>
              </w:rPr>
              <w:t>.</w:t>
            </w:r>
          </w:p>
        </w:tc>
        <w:tc>
          <w:tcPr>
            <w:tcW w:w="2381"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lang w:val="en-GB" w:eastAsia="en-GB"/>
              </w:rPr>
            </w:pPr>
            <w:proofErr w:type="gramStart"/>
            <w:r>
              <w:rPr>
                <w:rFonts w:eastAsia="Times New Roman"/>
                <w:b/>
                <w:bCs/>
                <w:color w:val="000000"/>
                <w:lang w:val="en-GB" w:eastAsia="en-GB"/>
              </w:rPr>
              <w:t>c</w:t>
            </w:r>
            <w:r w:rsidR="007673FF" w:rsidRPr="001728EA">
              <w:rPr>
                <w:rFonts w:eastAsia="Times New Roman"/>
                <w:b/>
                <w:bCs/>
                <w:color w:val="000000"/>
                <w:lang w:val="en-GB" w:eastAsia="en-GB"/>
              </w:rPr>
              <w:t>omplete</w:t>
            </w:r>
            <w:proofErr w:type="gramEnd"/>
            <w:r w:rsidR="007673FF" w:rsidRPr="001728EA">
              <w:rPr>
                <w:rFonts w:eastAsia="Times New Roman"/>
                <w:b/>
                <w:bCs/>
                <w:color w:val="000000"/>
                <w:lang w:val="en-GB" w:eastAsia="en-GB"/>
              </w:rPr>
              <w:t xml:space="preserve"> fusion</w:t>
            </w:r>
            <w:r w:rsidR="007673FF" w:rsidRPr="001728EA">
              <w:rPr>
                <w:rFonts w:eastAsia="Times New Roman"/>
                <w:b/>
                <w:bCs/>
                <w:color w:val="000000"/>
                <w:vertAlign w:val="superscript"/>
                <w:lang w:val="en-GB" w:eastAsia="en-GB"/>
              </w:rPr>
              <w:t>2.</w:t>
            </w:r>
          </w:p>
        </w:tc>
      </w:tr>
      <w:tr w:rsidR="007673FF" w:rsidRPr="001728EA" w:rsidTr="00AA6F14">
        <w:trPr>
          <w:trHeight w:val="315"/>
          <w:jc w:val="center"/>
        </w:trPr>
        <w:tc>
          <w:tcPr>
            <w:tcW w:w="2975" w:type="dxa"/>
            <w:tcBorders>
              <w:top w:val="single" w:sz="4" w:space="0" w:color="auto"/>
            </w:tcBorders>
            <w:shd w:val="clear" w:color="auto" w:fill="auto"/>
            <w:noWrap/>
            <w:vAlign w:val="center"/>
            <w:hideMark/>
          </w:tcPr>
          <w:p w:rsidR="00A35CA0" w:rsidRDefault="007673FF" w:rsidP="00CA5FBB">
            <w:pPr>
              <w:spacing w:before="0" w:line="240" w:lineRule="auto"/>
              <w:rPr>
                <w:rFonts w:eastAsia="Times New Roman"/>
                <w:color w:val="000000"/>
                <w:lang w:val="en-GB" w:eastAsia="en-GB"/>
              </w:rPr>
            </w:pPr>
            <w:r w:rsidRPr="001728EA">
              <w:rPr>
                <w:rFonts w:eastAsia="Times New Roman"/>
                <w:color w:val="000000"/>
                <w:lang w:val="en-GB" w:eastAsia="en-GB"/>
              </w:rPr>
              <w:t>proximal humerus</w:t>
            </w:r>
          </w:p>
        </w:tc>
        <w:tc>
          <w:tcPr>
            <w:tcW w:w="1447"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w:t>
            </w:r>
          </w:p>
        </w:tc>
        <w:tc>
          <w:tcPr>
            <w:tcW w:w="2381"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0</w:t>
            </w:r>
          </w:p>
        </w:tc>
      </w:tr>
      <w:tr w:rsidR="007673FF" w:rsidRPr="001728EA" w:rsidTr="00AA6F14">
        <w:trPr>
          <w:trHeight w:val="315"/>
          <w:jc w:val="center"/>
        </w:trPr>
        <w:tc>
          <w:tcPr>
            <w:tcW w:w="2975" w:type="dxa"/>
            <w:shd w:val="clear" w:color="auto" w:fill="auto"/>
            <w:noWrap/>
            <w:vAlign w:val="center"/>
            <w:hideMark/>
          </w:tcPr>
          <w:p w:rsidR="00A35CA0" w:rsidRDefault="00650A6C" w:rsidP="00CA5FBB">
            <w:pPr>
              <w:spacing w:before="0" w:line="240" w:lineRule="auto"/>
              <w:rPr>
                <w:rFonts w:eastAsia="Times New Roman"/>
                <w:color w:val="000000"/>
                <w:sz w:val="24"/>
                <w:szCs w:val="24"/>
                <w:lang w:val="en-GB" w:eastAsia="en-GB"/>
              </w:rPr>
            </w:pPr>
            <w:r>
              <w:rPr>
                <w:rFonts w:eastAsia="Times New Roman"/>
                <w:color w:val="000000"/>
                <w:lang w:val="en-GB" w:eastAsia="en-GB"/>
              </w:rPr>
              <w:t>distal humerus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0</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7</w:t>
            </w:r>
          </w:p>
        </w:tc>
      </w:tr>
      <w:tr w:rsidR="007673FF" w:rsidRPr="001728EA" w:rsidTr="00AA6F14">
        <w:trPr>
          <w:trHeight w:val="315"/>
          <w:jc w:val="center"/>
        </w:trPr>
        <w:tc>
          <w:tcPr>
            <w:tcW w:w="2975" w:type="dxa"/>
            <w:shd w:val="clear" w:color="auto" w:fill="auto"/>
            <w:noWrap/>
            <w:vAlign w:val="center"/>
            <w:hideMark/>
          </w:tcPr>
          <w:p w:rsidR="00A35CA0" w:rsidRDefault="00AA6F14" w:rsidP="00CA5FBB">
            <w:pPr>
              <w:spacing w:before="0" w:line="240" w:lineRule="auto"/>
              <w:rPr>
                <w:rFonts w:eastAsia="Times New Roman"/>
                <w:color w:val="000000"/>
                <w:sz w:val="24"/>
                <w:szCs w:val="24"/>
                <w:lang w:val="en-GB" w:eastAsia="en-GB"/>
              </w:rPr>
            </w:pPr>
            <w:r>
              <w:rPr>
                <w:rFonts w:eastAsia="Times New Roman"/>
                <w:color w:val="000000"/>
                <w:lang w:val="en-GB" w:eastAsia="en-GB"/>
              </w:rPr>
              <w:t xml:space="preserve">humeral </w:t>
            </w:r>
            <w:r w:rsidR="007673FF" w:rsidRPr="001728EA">
              <w:rPr>
                <w:rFonts w:eastAsia="Times New Roman"/>
                <w:color w:val="000000"/>
                <w:lang w:val="en-GB" w:eastAsia="en-GB"/>
              </w:rPr>
              <w:t>medial epicondyle</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5</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2</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radius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5</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2</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distal radius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0</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2</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ulna</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7</w:t>
            </w:r>
          </w:p>
        </w:tc>
      </w:tr>
      <w:tr w:rsidR="007673FF" w:rsidRPr="001728EA" w:rsidTr="00AA6F14">
        <w:trPr>
          <w:trHeight w:val="315"/>
          <w:jc w:val="center"/>
        </w:trPr>
        <w:tc>
          <w:tcPr>
            <w:tcW w:w="2975" w:type="dxa"/>
            <w:tcBorders>
              <w:bottom w:val="single" w:sz="4" w:space="0" w:color="auto"/>
            </w:tcBorders>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distal ulna</w:t>
            </w:r>
          </w:p>
        </w:tc>
        <w:tc>
          <w:tcPr>
            <w:tcW w:w="1447"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0</w:t>
            </w:r>
          </w:p>
        </w:tc>
        <w:tc>
          <w:tcPr>
            <w:tcW w:w="2381"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2</w:t>
            </w:r>
          </w:p>
        </w:tc>
      </w:tr>
      <w:tr w:rsidR="007673FF" w:rsidRPr="001728EA" w:rsidTr="00AA6F14">
        <w:trPr>
          <w:trHeight w:val="315"/>
          <w:jc w:val="center"/>
        </w:trPr>
        <w:tc>
          <w:tcPr>
            <w:tcW w:w="2975"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f</w:t>
            </w:r>
            <w:r w:rsidR="007673FF" w:rsidRPr="001728EA">
              <w:rPr>
                <w:rFonts w:eastAsia="Times New Roman"/>
                <w:b/>
                <w:bCs/>
                <w:color w:val="000000"/>
                <w:lang w:val="en-GB" w:eastAsia="en-GB"/>
              </w:rPr>
              <w:t xml:space="preserve">emale </w:t>
            </w:r>
            <w:r w:rsidR="007673FF" w:rsidRPr="001728EA">
              <w:rPr>
                <w:rFonts w:eastAsia="Times New Roman"/>
                <w:b/>
                <w:bCs/>
                <w:i/>
                <w:iCs/>
                <w:color w:val="000000"/>
                <w:lang w:val="en-GB" w:eastAsia="en-GB"/>
              </w:rPr>
              <w:t>Pan paniscus</w:t>
            </w:r>
          </w:p>
        </w:tc>
        <w:tc>
          <w:tcPr>
            <w:tcW w:w="1447"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m</w:t>
            </w:r>
            <w:r w:rsidR="007673FF" w:rsidRPr="001728EA">
              <w:rPr>
                <w:rFonts w:eastAsia="Times New Roman"/>
                <w:b/>
                <w:bCs/>
                <w:color w:val="000000"/>
                <w:lang w:val="en-GB" w:eastAsia="en-GB"/>
              </w:rPr>
              <w:t>id-fusion</w:t>
            </w:r>
          </w:p>
        </w:tc>
        <w:tc>
          <w:tcPr>
            <w:tcW w:w="2381"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c</w:t>
            </w:r>
            <w:r w:rsidR="007673FF" w:rsidRPr="001728EA">
              <w:rPr>
                <w:rFonts w:eastAsia="Times New Roman"/>
                <w:b/>
                <w:bCs/>
                <w:color w:val="000000"/>
                <w:lang w:val="en-GB" w:eastAsia="en-GB"/>
              </w:rPr>
              <w:t>omplete fusion</w:t>
            </w:r>
          </w:p>
        </w:tc>
      </w:tr>
      <w:tr w:rsidR="007673FF" w:rsidRPr="001728EA" w:rsidTr="00AA6F14">
        <w:trPr>
          <w:trHeight w:val="315"/>
          <w:jc w:val="center"/>
        </w:trPr>
        <w:tc>
          <w:tcPr>
            <w:tcW w:w="2975" w:type="dxa"/>
            <w:tcBorders>
              <w:top w:val="single" w:sz="4" w:space="0" w:color="auto"/>
            </w:tcBorders>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humerus</w:t>
            </w:r>
          </w:p>
        </w:tc>
        <w:tc>
          <w:tcPr>
            <w:tcW w:w="1447"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0</w:t>
            </w:r>
          </w:p>
        </w:tc>
        <w:tc>
          <w:tcPr>
            <w:tcW w:w="2381"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w:t>
            </w:r>
          </w:p>
        </w:tc>
      </w:tr>
      <w:tr w:rsidR="007673FF" w:rsidRPr="001728EA" w:rsidTr="00AA6F14">
        <w:trPr>
          <w:trHeight w:val="315"/>
          <w:jc w:val="center"/>
        </w:trPr>
        <w:tc>
          <w:tcPr>
            <w:tcW w:w="2975" w:type="dxa"/>
            <w:shd w:val="clear" w:color="auto" w:fill="auto"/>
            <w:noWrap/>
            <w:vAlign w:val="center"/>
            <w:hideMark/>
          </w:tcPr>
          <w:p w:rsidR="00A35CA0" w:rsidRDefault="00650A6C" w:rsidP="00CA5FBB">
            <w:pPr>
              <w:spacing w:before="0" w:line="240" w:lineRule="auto"/>
              <w:rPr>
                <w:rFonts w:eastAsia="Times New Roman"/>
                <w:color w:val="000000"/>
                <w:sz w:val="24"/>
                <w:szCs w:val="24"/>
                <w:lang w:val="en-GB" w:eastAsia="en-GB"/>
              </w:rPr>
            </w:pPr>
            <w:r>
              <w:rPr>
                <w:rFonts w:eastAsia="Times New Roman"/>
                <w:color w:val="000000"/>
                <w:lang w:val="en-GB" w:eastAsia="en-GB"/>
              </w:rPr>
              <w:t>distal humerus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7</w:t>
            </w:r>
          </w:p>
        </w:tc>
      </w:tr>
      <w:tr w:rsidR="007673FF" w:rsidRPr="001728EA" w:rsidTr="00AA6F14">
        <w:trPr>
          <w:trHeight w:val="315"/>
          <w:jc w:val="center"/>
        </w:trPr>
        <w:tc>
          <w:tcPr>
            <w:tcW w:w="2975" w:type="dxa"/>
            <w:shd w:val="clear" w:color="auto" w:fill="auto"/>
            <w:noWrap/>
            <w:vAlign w:val="center"/>
            <w:hideMark/>
          </w:tcPr>
          <w:p w:rsidR="00A35CA0" w:rsidRDefault="00AA6F14" w:rsidP="00CA5FBB">
            <w:pPr>
              <w:spacing w:before="0" w:line="240" w:lineRule="auto"/>
              <w:rPr>
                <w:rFonts w:eastAsia="Times New Roman"/>
                <w:color w:val="000000"/>
                <w:sz w:val="24"/>
                <w:szCs w:val="24"/>
                <w:lang w:val="en-GB" w:eastAsia="en-GB"/>
              </w:rPr>
            </w:pPr>
            <w:r>
              <w:rPr>
                <w:rFonts w:eastAsia="Times New Roman"/>
                <w:color w:val="000000"/>
                <w:lang w:val="en-GB" w:eastAsia="en-GB"/>
              </w:rPr>
              <w:t xml:space="preserve">humeral </w:t>
            </w:r>
            <w:r w:rsidR="007673FF" w:rsidRPr="001728EA">
              <w:rPr>
                <w:rFonts w:eastAsia="Times New Roman"/>
                <w:color w:val="000000"/>
                <w:lang w:val="en-GB" w:eastAsia="en-GB"/>
              </w:rPr>
              <w:t>medial epicondyle</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4</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radius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distal radius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4</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0</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ulna</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2</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5</w:t>
            </w:r>
          </w:p>
        </w:tc>
      </w:tr>
      <w:tr w:rsidR="007673FF" w:rsidRPr="001728EA" w:rsidTr="00AA6F14">
        <w:trPr>
          <w:trHeight w:val="315"/>
          <w:jc w:val="center"/>
        </w:trPr>
        <w:tc>
          <w:tcPr>
            <w:tcW w:w="2975" w:type="dxa"/>
            <w:tcBorders>
              <w:bottom w:val="single" w:sz="4" w:space="0" w:color="auto"/>
            </w:tcBorders>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distal ulna</w:t>
            </w:r>
          </w:p>
        </w:tc>
        <w:tc>
          <w:tcPr>
            <w:tcW w:w="1447"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w:t>
            </w:r>
          </w:p>
        </w:tc>
        <w:tc>
          <w:tcPr>
            <w:tcW w:w="2381"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w:t>
            </w:r>
          </w:p>
        </w:tc>
      </w:tr>
      <w:tr w:rsidR="007673FF" w:rsidRPr="001728EA" w:rsidTr="00AA6F14">
        <w:trPr>
          <w:trHeight w:val="315"/>
          <w:jc w:val="center"/>
        </w:trPr>
        <w:tc>
          <w:tcPr>
            <w:tcW w:w="2975"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f</w:t>
            </w:r>
            <w:r w:rsidR="007673FF" w:rsidRPr="001728EA">
              <w:rPr>
                <w:rFonts w:eastAsia="Times New Roman"/>
                <w:b/>
                <w:bCs/>
                <w:color w:val="000000"/>
                <w:lang w:val="en-GB" w:eastAsia="en-GB"/>
              </w:rPr>
              <w:t xml:space="preserve">emale </w:t>
            </w:r>
            <w:r w:rsidR="007673FF" w:rsidRPr="001728EA">
              <w:rPr>
                <w:rFonts w:eastAsia="Times New Roman"/>
                <w:b/>
                <w:bCs/>
                <w:i/>
                <w:iCs/>
                <w:color w:val="000000"/>
                <w:lang w:val="en-GB" w:eastAsia="en-GB"/>
              </w:rPr>
              <w:t>Pan troglodytes</w:t>
            </w:r>
          </w:p>
        </w:tc>
        <w:tc>
          <w:tcPr>
            <w:tcW w:w="1447"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m</w:t>
            </w:r>
            <w:r w:rsidR="007673FF" w:rsidRPr="001728EA">
              <w:rPr>
                <w:rFonts w:eastAsia="Times New Roman"/>
                <w:b/>
                <w:bCs/>
                <w:color w:val="000000"/>
                <w:lang w:val="en-GB" w:eastAsia="en-GB"/>
              </w:rPr>
              <w:t>id-fusion</w:t>
            </w:r>
          </w:p>
        </w:tc>
        <w:tc>
          <w:tcPr>
            <w:tcW w:w="2381"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c</w:t>
            </w:r>
            <w:r w:rsidR="007673FF" w:rsidRPr="001728EA">
              <w:rPr>
                <w:rFonts w:eastAsia="Times New Roman"/>
                <w:b/>
                <w:bCs/>
                <w:color w:val="000000"/>
                <w:lang w:val="en-GB" w:eastAsia="en-GB"/>
              </w:rPr>
              <w:t>omplete fusion</w:t>
            </w:r>
          </w:p>
        </w:tc>
      </w:tr>
      <w:tr w:rsidR="007673FF" w:rsidRPr="001728EA" w:rsidTr="00AA6F14">
        <w:trPr>
          <w:trHeight w:val="315"/>
          <w:jc w:val="center"/>
        </w:trPr>
        <w:tc>
          <w:tcPr>
            <w:tcW w:w="2975" w:type="dxa"/>
            <w:tcBorders>
              <w:top w:val="single" w:sz="4" w:space="0" w:color="auto"/>
            </w:tcBorders>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humerus</w:t>
            </w:r>
          </w:p>
        </w:tc>
        <w:tc>
          <w:tcPr>
            <w:tcW w:w="1447"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19</w:t>
            </w:r>
          </w:p>
        </w:tc>
        <w:tc>
          <w:tcPr>
            <w:tcW w:w="2381"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12</w:t>
            </w:r>
          </w:p>
        </w:tc>
      </w:tr>
      <w:tr w:rsidR="007673FF" w:rsidRPr="001728EA" w:rsidTr="00AA6F14">
        <w:trPr>
          <w:trHeight w:val="315"/>
          <w:jc w:val="center"/>
        </w:trPr>
        <w:tc>
          <w:tcPr>
            <w:tcW w:w="2975" w:type="dxa"/>
            <w:shd w:val="clear" w:color="auto" w:fill="auto"/>
            <w:noWrap/>
            <w:vAlign w:val="center"/>
            <w:hideMark/>
          </w:tcPr>
          <w:p w:rsidR="00A35CA0" w:rsidRDefault="00650A6C" w:rsidP="00CA5FBB">
            <w:pPr>
              <w:spacing w:before="0" w:line="240" w:lineRule="auto"/>
              <w:rPr>
                <w:rFonts w:eastAsia="Times New Roman"/>
                <w:color w:val="000000"/>
                <w:sz w:val="24"/>
                <w:szCs w:val="24"/>
                <w:lang w:val="en-GB" w:eastAsia="en-GB"/>
              </w:rPr>
            </w:pPr>
            <w:r>
              <w:rPr>
                <w:rFonts w:eastAsia="Times New Roman"/>
                <w:color w:val="000000"/>
                <w:lang w:val="en-GB" w:eastAsia="en-GB"/>
              </w:rPr>
              <w:t>distal humerus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8</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48</w:t>
            </w:r>
          </w:p>
        </w:tc>
      </w:tr>
      <w:tr w:rsidR="007673FF" w:rsidRPr="001728EA" w:rsidTr="00AA6F14">
        <w:trPr>
          <w:trHeight w:val="315"/>
          <w:jc w:val="center"/>
        </w:trPr>
        <w:tc>
          <w:tcPr>
            <w:tcW w:w="2975" w:type="dxa"/>
            <w:shd w:val="clear" w:color="auto" w:fill="auto"/>
            <w:noWrap/>
            <w:vAlign w:val="center"/>
            <w:hideMark/>
          </w:tcPr>
          <w:p w:rsidR="00A35CA0" w:rsidRDefault="00AA6F14" w:rsidP="00CA5FBB">
            <w:pPr>
              <w:spacing w:before="0" w:line="240" w:lineRule="auto"/>
              <w:rPr>
                <w:rFonts w:eastAsia="Times New Roman"/>
                <w:color w:val="000000"/>
                <w:sz w:val="24"/>
                <w:szCs w:val="24"/>
                <w:lang w:val="en-GB" w:eastAsia="en-GB"/>
              </w:rPr>
            </w:pPr>
            <w:r>
              <w:rPr>
                <w:rFonts w:eastAsia="Times New Roman"/>
                <w:color w:val="000000"/>
                <w:lang w:val="en-GB" w:eastAsia="en-GB"/>
              </w:rPr>
              <w:t xml:space="preserve">humeral </w:t>
            </w:r>
            <w:r w:rsidR="007673FF" w:rsidRPr="001728EA">
              <w:rPr>
                <w:rFonts w:eastAsia="Times New Roman"/>
                <w:color w:val="000000"/>
                <w:lang w:val="en-GB" w:eastAsia="en-GB"/>
              </w:rPr>
              <w:t>medial epicondyle</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8</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42</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radius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11</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30</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distal radius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16</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9</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ulna</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4</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40</w:t>
            </w:r>
          </w:p>
        </w:tc>
      </w:tr>
      <w:tr w:rsidR="007673FF" w:rsidRPr="001728EA" w:rsidTr="00AA6F14">
        <w:trPr>
          <w:trHeight w:val="315"/>
          <w:jc w:val="center"/>
        </w:trPr>
        <w:tc>
          <w:tcPr>
            <w:tcW w:w="2975" w:type="dxa"/>
            <w:tcBorders>
              <w:bottom w:val="single" w:sz="4" w:space="0" w:color="auto"/>
            </w:tcBorders>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distal ulna</w:t>
            </w:r>
          </w:p>
        </w:tc>
        <w:tc>
          <w:tcPr>
            <w:tcW w:w="1447"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14</w:t>
            </w:r>
          </w:p>
        </w:tc>
        <w:tc>
          <w:tcPr>
            <w:tcW w:w="2381" w:type="dxa"/>
            <w:tcBorders>
              <w:bottom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10</w:t>
            </w:r>
          </w:p>
        </w:tc>
      </w:tr>
      <w:tr w:rsidR="007673FF" w:rsidRPr="001728EA" w:rsidTr="00AA6F14">
        <w:trPr>
          <w:trHeight w:val="315"/>
          <w:jc w:val="center"/>
        </w:trPr>
        <w:tc>
          <w:tcPr>
            <w:tcW w:w="2975"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m</w:t>
            </w:r>
            <w:r w:rsidR="007673FF" w:rsidRPr="001728EA">
              <w:rPr>
                <w:rFonts w:eastAsia="Times New Roman"/>
                <w:b/>
                <w:bCs/>
                <w:color w:val="000000"/>
                <w:lang w:val="en-GB" w:eastAsia="en-GB"/>
              </w:rPr>
              <w:t xml:space="preserve">ale </w:t>
            </w:r>
            <w:r w:rsidR="007673FF" w:rsidRPr="001728EA">
              <w:rPr>
                <w:rFonts w:eastAsia="Times New Roman"/>
                <w:b/>
                <w:bCs/>
                <w:i/>
                <w:iCs/>
                <w:color w:val="000000"/>
                <w:lang w:val="en-GB" w:eastAsia="en-GB"/>
              </w:rPr>
              <w:t>Pan troglodytes</w:t>
            </w:r>
          </w:p>
        </w:tc>
        <w:tc>
          <w:tcPr>
            <w:tcW w:w="1447"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m</w:t>
            </w:r>
            <w:r w:rsidR="007673FF" w:rsidRPr="001728EA">
              <w:rPr>
                <w:rFonts w:eastAsia="Times New Roman"/>
                <w:b/>
                <w:bCs/>
                <w:color w:val="000000"/>
                <w:lang w:val="en-GB" w:eastAsia="en-GB"/>
              </w:rPr>
              <w:t>id-fusion</w:t>
            </w:r>
          </w:p>
        </w:tc>
        <w:tc>
          <w:tcPr>
            <w:tcW w:w="2381" w:type="dxa"/>
            <w:tcBorders>
              <w:top w:val="single" w:sz="4" w:space="0" w:color="auto"/>
              <w:bottom w:val="single" w:sz="4" w:space="0" w:color="auto"/>
            </w:tcBorders>
            <w:shd w:val="clear" w:color="auto" w:fill="auto"/>
            <w:noWrap/>
            <w:vAlign w:val="center"/>
            <w:hideMark/>
          </w:tcPr>
          <w:p w:rsidR="00A35CA0" w:rsidRDefault="00A05A62" w:rsidP="00CA5FBB">
            <w:pPr>
              <w:spacing w:before="0" w:line="240" w:lineRule="auto"/>
              <w:jc w:val="center"/>
              <w:rPr>
                <w:rFonts w:eastAsia="Times New Roman"/>
                <w:b/>
                <w:bCs/>
                <w:color w:val="000000"/>
                <w:sz w:val="24"/>
                <w:szCs w:val="24"/>
                <w:lang w:val="en-GB" w:eastAsia="en-GB"/>
              </w:rPr>
            </w:pPr>
            <w:r>
              <w:rPr>
                <w:rFonts w:eastAsia="Times New Roman"/>
                <w:b/>
                <w:bCs/>
                <w:color w:val="000000"/>
                <w:lang w:val="en-GB" w:eastAsia="en-GB"/>
              </w:rPr>
              <w:t>c</w:t>
            </w:r>
            <w:r w:rsidR="007673FF" w:rsidRPr="001728EA">
              <w:rPr>
                <w:rFonts w:eastAsia="Times New Roman"/>
                <w:b/>
                <w:bCs/>
                <w:color w:val="000000"/>
                <w:lang w:val="en-GB" w:eastAsia="en-GB"/>
              </w:rPr>
              <w:t>omplete fusion</w:t>
            </w:r>
          </w:p>
        </w:tc>
      </w:tr>
      <w:tr w:rsidR="007673FF" w:rsidRPr="001728EA" w:rsidTr="00AA6F14">
        <w:trPr>
          <w:trHeight w:val="315"/>
          <w:jc w:val="center"/>
        </w:trPr>
        <w:tc>
          <w:tcPr>
            <w:tcW w:w="2975" w:type="dxa"/>
            <w:tcBorders>
              <w:top w:val="single" w:sz="4" w:space="0" w:color="auto"/>
            </w:tcBorders>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humerus</w:t>
            </w:r>
          </w:p>
        </w:tc>
        <w:tc>
          <w:tcPr>
            <w:tcW w:w="1447"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7</w:t>
            </w:r>
          </w:p>
        </w:tc>
        <w:tc>
          <w:tcPr>
            <w:tcW w:w="2381" w:type="dxa"/>
            <w:tcBorders>
              <w:top w:val="single" w:sz="4" w:space="0" w:color="auto"/>
            </w:tcBorders>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w:t>
            </w:r>
          </w:p>
        </w:tc>
      </w:tr>
      <w:tr w:rsidR="007673FF" w:rsidRPr="001728EA" w:rsidTr="00AA6F14">
        <w:trPr>
          <w:trHeight w:val="315"/>
          <w:jc w:val="center"/>
        </w:trPr>
        <w:tc>
          <w:tcPr>
            <w:tcW w:w="2975" w:type="dxa"/>
            <w:shd w:val="clear" w:color="auto" w:fill="auto"/>
            <w:noWrap/>
            <w:vAlign w:val="center"/>
            <w:hideMark/>
          </w:tcPr>
          <w:p w:rsidR="00A35CA0" w:rsidRDefault="00650A6C" w:rsidP="00CA5FBB">
            <w:pPr>
              <w:spacing w:before="0" w:line="240" w:lineRule="auto"/>
              <w:rPr>
                <w:rFonts w:eastAsia="Times New Roman"/>
                <w:color w:val="000000"/>
                <w:sz w:val="24"/>
                <w:szCs w:val="24"/>
                <w:lang w:val="en-GB" w:eastAsia="en-GB"/>
              </w:rPr>
            </w:pPr>
            <w:r>
              <w:rPr>
                <w:rFonts w:eastAsia="Times New Roman"/>
                <w:color w:val="000000"/>
                <w:lang w:val="en-GB" w:eastAsia="en-GB"/>
              </w:rPr>
              <w:t>distal humerus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5</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18</w:t>
            </w:r>
          </w:p>
        </w:tc>
      </w:tr>
      <w:tr w:rsidR="007673FF" w:rsidRPr="001728EA" w:rsidTr="00AA6F14">
        <w:trPr>
          <w:trHeight w:val="315"/>
          <w:jc w:val="center"/>
        </w:trPr>
        <w:tc>
          <w:tcPr>
            <w:tcW w:w="2975" w:type="dxa"/>
            <w:shd w:val="clear" w:color="auto" w:fill="auto"/>
            <w:noWrap/>
            <w:vAlign w:val="center"/>
            <w:hideMark/>
          </w:tcPr>
          <w:p w:rsidR="00A35CA0" w:rsidRDefault="00AA6F14" w:rsidP="00CA5FBB">
            <w:pPr>
              <w:spacing w:before="0" w:line="240" w:lineRule="auto"/>
              <w:rPr>
                <w:rFonts w:eastAsia="Times New Roman"/>
                <w:color w:val="000000"/>
                <w:sz w:val="24"/>
                <w:szCs w:val="24"/>
                <w:lang w:val="en-GB" w:eastAsia="en-GB"/>
              </w:rPr>
            </w:pPr>
            <w:r>
              <w:rPr>
                <w:rFonts w:eastAsia="Times New Roman"/>
                <w:color w:val="000000"/>
                <w:lang w:val="en-GB" w:eastAsia="en-GB"/>
              </w:rPr>
              <w:t xml:space="preserve">humeral </w:t>
            </w:r>
            <w:r w:rsidR="007673FF" w:rsidRPr="001728EA">
              <w:rPr>
                <w:rFonts w:eastAsia="Times New Roman"/>
                <w:color w:val="000000"/>
                <w:lang w:val="en-GB" w:eastAsia="en-GB"/>
              </w:rPr>
              <w:t>medial epicondyle</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7</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13</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radius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10</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distal radius</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8</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3</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proximal ulna</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6</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12</w:t>
            </w:r>
          </w:p>
        </w:tc>
      </w:tr>
      <w:tr w:rsidR="007673FF" w:rsidRPr="001728EA" w:rsidTr="00AA6F14">
        <w:trPr>
          <w:trHeight w:val="315"/>
          <w:jc w:val="center"/>
        </w:trPr>
        <w:tc>
          <w:tcPr>
            <w:tcW w:w="2975" w:type="dxa"/>
            <w:shd w:val="clear" w:color="auto" w:fill="auto"/>
            <w:noWrap/>
            <w:vAlign w:val="center"/>
            <w:hideMark/>
          </w:tcPr>
          <w:p w:rsidR="00A35CA0" w:rsidRDefault="007673FF" w:rsidP="00CA5FBB">
            <w:pPr>
              <w:spacing w:before="0" w:line="240" w:lineRule="auto"/>
              <w:rPr>
                <w:rFonts w:eastAsia="Times New Roman"/>
                <w:color w:val="000000"/>
                <w:sz w:val="24"/>
                <w:szCs w:val="24"/>
                <w:lang w:val="en-GB" w:eastAsia="en-GB"/>
              </w:rPr>
            </w:pPr>
            <w:r w:rsidRPr="001728EA">
              <w:rPr>
                <w:rFonts w:eastAsia="Times New Roman"/>
                <w:color w:val="000000"/>
                <w:lang w:val="en-GB" w:eastAsia="en-GB"/>
              </w:rPr>
              <w:t>distal ulna</w:t>
            </w:r>
          </w:p>
        </w:tc>
        <w:tc>
          <w:tcPr>
            <w:tcW w:w="1447"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6</w:t>
            </w:r>
          </w:p>
        </w:tc>
        <w:tc>
          <w:tcPr>
            <w:tcW w:w="2381" w:type="dxa"/>
            <w:shd w:val="clear" w:color="auto" w:fill="auto"/>
            <w:noWrap/>
            <w:vAlign w:val="center"/>
            <w:hideMark/>
          </w:tcPr>
          <w:p w:rsidR="00A35CA0" w:rsidRDefault="007673FF" w:rsidP="00CA5FBB">
            <w:pPr>
              <w:spacing w:before="0" w:line="240" w:lineRule="auto"/>
              <w:jc w:val="center"/>
              <w:rPr>
                <w:rFonts w:eastAsia="Times New Roman"/>
                <w:color w:val="000000"/>
                <w:sz w:val="24"/>
                <w:szCs w:val="24"/>
                <w:lang w:val="en-GB" w:eastAsia="en-GB"/>
              </w:rPr>
            </w:pPr>
            <w:r w:rsidRPr="001728EA">
              <w:rPr>
                <w:rFonts w:eastAsia="Times New Roman"/>
                <w:color w:val="000000"/>
                <w:lang w:val="en-GB" w:eastAsia="en-GB"/>
              </w:rPr>
              <w:t>4</w:t>
            </w:r>
          </w:p>
        </w:tc>
      </w:tr>
    </w:tbl>
    <w:p w:rsidR="007673FF" w:rsidRPr="00156F85" w:rsidRDefault="007673FF" w:rsidP="008C48B9">
      <w:pPr>
        <w:pStyle w:val="ListParagraph"/>
        <w:numPr>
          <w:ilvl w:val="0"/>
          <w:numId w:val="43"/>
        </w:numPr>
        <w:tabs>
          <w:tab w:val="left" w:pos="360"/>
        </w:tabs>
        <w:spacing w:before="120" w:line="240" w:lineRule="auto"/>
        <w:ind w:left="1843" w:hanging="425"/>
        <w:rPr>
          <w:noProof/>
          <w:sz w:val="20"/>
          <w:szCs w:val="20"/>
        </w:rPr>
      </w:pPr>
      <w:r w:rsidRPr="00156F85">
        <w:rPr>
          <w:noProof/>
          <w:sz w:val="20"/>
          <w:szCs w:val="20"/>
        </w:rPr>
        <w:t xml:space="preserve">Mid-fusion indicates the number of individuals with </w:t>
      </w:r>
      <w:r>
        <w:rPr>
          <w:noProof/>
          <w:sz w:val="20"/>
          <w:szCs w:val="20"/>
        </w:rPr>
        <w:t xml:space="preserve">recorded </w:t>
      </w:r>
      <w:r w:rsidRPr="00156F85">
        <w:rPr>
          <w:noProof/>
          <w:sz w:val="20"/>
          <w:szCs w:val="20"/>
        </w:rPr>
        <w:t>score 2-4</w:t>
      </w:r>
    </w:p>
    <w:p w:rsidR="008C48B9" w:rsidRDefault="007673FF" w:rsidP="008C48B9">
      <w:pPr>
        <w:pStyle w:val="ListParagraph"/>
        <w:numPr>
          <w:ilvl w:val="0"/>
          <w:numId w:val="43"/>
        </w:numPr>
        <w:tabs>
          <w:tab w:val="left" w:pos="360"/>
        </w:tabs>
        <w:spacing w:before="120" w:line="240" w:lineRule="auto"/>
        <w:ind w:left="1843" w:hanging="425"/>
        <w:rPr>
          <w:noProof/>
          <w:sz w:val="20"/>
          <w:szCs w:val="20"/>
        </w:rPr>
      </w:pPr>
      <w:r w:rsidRPr="006631BB">
        <w:rPr>
          <w:noProof/>
          <w:sz w:val="20"/>
          <w:szCs w:val="20"/>
        </w:rPr>
        <w:t xml:space="preserve">Complete fusion indicates the number of individuals with </w:t>
      </w:r>
      <w:r>
        <w:rPr>
          <w:noProof/>
          <w:sz w:val="20"/>
          <w:szCs w:val="20"/>
        </w:rPr>
        <w:t xml:space="preserve">recorded </w:t>
      </w:r>
      <w:r w:rsidRPr="006631BB">
        <w:rPr>
          <w:noProof/>
          <w:sz w:val="20"/>
          <w:szCs w:val="20"/>
        </w:rPr>
        <w:t>score 5</w:t>
      </w:r>
    </w:p>
    <w:p w:rsidR="008C48B9" w:rsidRDefault="008C48B9">
      <w:pPr>
        <w:spacing w:before="0" w:after="200" w:line="276" w:lineRule="auto"/>
        <w:jc w:val="left"/>
        <w:rPr>
          <w:noProof/>
          <w:sz w:val="20"/>
          <w:szCs w:val="20"/>
        </w:rPr>
      </w:pPr>
      <w:r>
        <w:rPr>
          <w:noProof/>
          <w:sz w:val="20"/>
          <w:szCs w:val="20"/>
        </w:rPr>
        <w:br w:type="page"/>
      </w:r>
    </w:p>
    <w:p w:rsidR="00361913" w:rsidRDefault="00361913" w:rsidP="00D263E8">
      <w:pPr>
        <w:pStyle w:val="Heading3"/>
      </w:pPr>
      <w:bookmarkStart w:id="189" w:name="_Toc373477777"/>
      <w:bookmarkStart w:id="190" w:name="_Toc373480775"/>
      <w:r>
        <w:lastRenderedPageBreak/>
        <w:t>Error analysis</w:t>
      </w:r>
      <w:r w:rsidR="00E460E5">
        <w:t xml:space="preserve"> for epiphyseal fusion</w:t>
      </w:r>
      <w:bookmarkEnd w:id="189"/>
      <w:bookmarkEnd w:id="190"/>
    </w:p>
    <w:p w:rsidR="00361913" w:rsidRDefault="00361913" w:rsidP="005E5B66">
      <w:pPr>
        <w:rPr>
          <w:noProof/>
        </w:rPr>
      </w:pPr>
      <w:r>
        <w:rPr>
          <w:noProof/>
        </w:rPr>
        <w:t xml:space="preserve">Intra-observer error analysis was carried out using 13 individuals which </w:t>
      </w:r>
      <w:r w:rsidR="009E561F">
        <w:rPr>
          <w:noProof/>
        </w:rPr>
        <w:t>w</w:t>
      </w:r>
      <w:r w:rsidR="00DE2D8A">
        <w:rPr>
          <w:noProof/>
        </w:rPr>
        <w:t>ere</w:t>
      </w:r>
      <w:r w:rsidR="009E561F">
        <w:rPr>
          <w:noProof/>
        </w:rPr>
        <w:t xml:space="preserve"> </w:t>
      </w:r>
      <w:r>
        <w:rPr>
          <w:noProof/>
        </w:rPr>
        <w:t>re-assessed at the University of Zurich.  Th</w:t>
      </w:r>
      <w:r w:rsidR="009E561F">
        <w:rPr>
          <w:noProof/>
        </w:rPr>
        <w:t>ese</w:t>
      </w:r>
      <w:r>
        <w:rPr>
          <w:noProof/>
        </w:rPr>
        <w:t xml:space="preserve"> data w</w:t>
      </w:r>
      <w:r w:rsidR="009E561F">
        <w:rPr>
          <w:noProof/>
        </w:rPr>
        <w:t>ere</w:t>
      </w:r>
      <w:r>
        <w:rPr>
          <w:noProof/>
        </w:rPr>
        <w:t xml:space="preserve"> acquired </w:t>
      </w:r>
      <w:r w:rsidR="009E561F">
        <w:rPr>
          <w:noProof/>
        </w:rPr>
        <w:t>after a</w:t>
      </w:r>
      <w:r>
        <w:rPr>
          <w:noProof/>
        </w:rPr>
        <w:t xml:space="preserve"> 6 month interval between the two sampling periods.  Despite this period of time, familiarity with particular individuals remained possible.  In order to reduce the likelihood of this</w:t>
      </w:r>
      <w:r w:rsidR="00BA51ED">
        <w:rPr>
          <w:noProof/>
        </w:rPr>
        <w:t xml:space="preserve"> </w:t>
      </w:r>
      <w:r>
        <w:rPr>
          <w:noProof/>
        </w:rPr>
        <w:t xml:space="preserve">all </w:t>
      </w:r>
      <w:r w:rsidR="008D6372">
        <w:rPr>
          <w:noProof/>
        </w:rPr>
        <w:t xml:space="preserve">of </w:t>
      </w:r>
      <w:r>
        <w:rPr>
          <w:noProof/>
        </w:rPr>
        <w:t>the verbal descriptions made for each individual were evaluated.  These 13 individuals were selected from those which had no notable features such as suspected pathological conditions or fractures.  Data for inter-observer error was unfortunately not possible to collect due to time constraints</w:t>
      </w:r>
      <w:r w:rsidR="005E5B66">
        <w:rPr>
          <w:noProof/>
        </w:rPr>
        <w:t xml:space="preserve"> on the data collection period.</w:t>
      </w:r>
    </w:p>
    <w:p w:rsidR="00361913" w:rsidRDefault="00361913" w:rsidP="005E5B66">
      <w:pPr>
        <w:rPr>
          <w:noProof/>
        </w:rPr>
      </w:pPr>
      <w:r>
        <w:rPr>
          <w:noProof/>
        </w:rPr>
        <w:t xml:space="preserve">For the 13 individuals there were 22 </w:t>
      </w:r>
      <w:r w:rsidR="00EF4A80">
        <w:rPr>
          <w:noProof/>
        </w:rPr>
        <w:t>differences</w:t>
      </w:r>
      <w:r>
        <w:rPr>
          <w:noProof/>
        </w:rPr>
        <w:t xml:space="preserve"> between the two data collection events out of a total of 775 data entries, producing a net deviation rate of 2.8%.  There were nine deviations that were more than one stage apart.  From these eight deviations, three were different by 2 stages, three were different by 4, and two were different by 3.  Three deviations appeared in the talus, two in the sub-coracoid, and two in the lesser trochanter.  Both the talar epiphysis and the lesser trochanter are often difficult to observe due to their small physeal area and this may have been a source of error.  For the combined sample variable (combining left and right) no variable exceeded two deviation</w:t>
      </w:r>
      <w:r w:rsidR="007C3369">
        <w:rPr>
          <w:noProof/>
        </w:rPr>
        <w:t>s</w:t>
      </w:r>
      <w:r>
        <w:rPr>
          <w:noProof/>
        </w:rPr>
        <w:t xml:space="preserve"> with the exception of the talus, which had </w:t>
      </w:r>
      <w:r w:rsidR="009E561F">
        <w:rPr>
          <w:noProof/>
        </w:rPr>
        <w:t>four</w:t>
      </w:r>
      <w:r>
        <w:rPr>
          <w:noProof/>
        </w:rPr>
        <w:t>.  This meant that the spread of deviations across all the variables was even and that apart from the talus, no particular epiphyses were more prone to error than others.  The deviation rate for the talus is still quite low.</w:t>
      </w:r>
    </w:p>
    <w:p w:rsidR="008317D4" w:rsidRDefault="00361913" w:rsidP="00244348">
      <w:pPr>
        <w:rPr>
          <w:noProof/>
        </w:rPr>
      </w:pPr>
      <w:r>
        <w:rPr>
          <w:noProof/>
        </w:rPr>
        <w:t>It was noted that with respect to difficulty of observation, the lesser trochanter, the talus, the medial and the lateral epiphysis of the clavicle were considered challenging.  The clavicles were found to be difficult due to variation in morphology and lack of clear epiphyseal surfaces even when the epiphysis was not fused.  The level of indentation of the medial end of the bone was used as an indicator but this trait sometimes appeared even in fused epiphyses.  As opposed to the first two noted epiphyses where difficulties arose (the talus and lesser trochanter), the clavicles have no noted deviations, indicating that the observation system was at least internally consistent.  Another area of potential concern was the iliac crest, which can be quite brittle and is subject to being broken when an individual in the early stages of fusion is skeletonised.  This concern was met with a higher level of scrutiny when observations took place.  There were no reported deviations for this epiphysis in the intra-observer error sample.</w:t>
      </w:r>
    </w:p>
    <w:p w:rsidR="008317D4" w:rsidRDefault="008317D4">
      <w:pPr>
        <w:spacing w:before="0" w:after="200" w:line="276" w:lineRule="auto"/>
        <w:jc w:val="left"/>
        <w:rPr>
          <w:noProof/>
        </w:rPr>
      </w:pPr>
      <w:r>
        <w:rPr>
          <w:noProof/>
        </w:rPr>
        <w:br w:type="page"/>
      </w:r>
    </w:p>
    <w:p w:rsidR="00361913" w:rsidRPr="00C51F1D" w:rsidRDefault="00361913" w:rsidP="00D263E8">
      <w:pPr>
        <w:pStyle w:val="Heading2"/>
      </w:pPr>
      <w:bookmarkStart w:id="191" w:name="_Toc373477778"/>
      <w:bookmarkStart w:id="192" w:name="_Toc373480776"/>
      <w:r w:rsidRPr="00C51F1D">
        <w:lastRenderedPageBreak/>
        <w:t>Methodology: Long-bone length analysis</w:t>
      </w:r>
      <w:bookmarkEnd w:id="191"/>
      <w:bookmarkEnd w:id="192"/>
    </w:p>
    <w:p w:rsidR="00361913" w:rsidRPr="007866AA" w:rsidRDefault="00F64497" w:rsidP="0020224C">
      <w:pPr>
        <w:spacing w:before="120"/>
        <w:rPr>
          <w:noProof/>
        </w:rPr>
      </w:pPr>
      <w:r>
        <w:rPr>
          <w:noProof/>
        </w:rPr>
        <w:t>The purpose of collecting data for long-</w:t>
      </w:r>
      <w:r w:rsidR="00361913">
        <w:rPr>
          <w:noProof/>
        </w:rPr>
        <w:t xml:space="preserve">bone length was to provide a measure of dimensional growth that could be compared </w:t>
      </w:r>
      <w:r w:rsidR="00E11D2A">
        <w:rPr>
          <w:noProof/>
        </w:rPr>
        <w:t>with</w:t>
      </w:r>
      <w:r w:rsidR="00361913">
        <w:rPr>
          <w:noProof/>
        </w:rPr>
        <w:t xml:space="preserve"> dental score.  </w:t>
      </w:r>
      <w:r w:rsidR="005371B7">
        <w:rPr>
          <w:noProof/>
        </w:rPr>
        <w:t>Epiphyseal fusion event</w:t>
      </w:r>
      <w:r w:rsidR="004719A8">
        <w:rPr>
          <w:noProof/>
        </w:rPr>
        <w:t xml:space="preserve">s </w:t>
      </w:r>
      <w:r w:rsidR="005371B7">
        <w:rPr>
          <w:noProof/>
        </w:rPr>
        <w:t xml:space="preserve">could also be considered as a function of </w:t>
      </w:r>
      <w:r w:rsidR="00361913">
        <w:rPr>
          <w:noProof/>
        </w:rPr>
        <w:t>changes in length.  Length was recorded for all bones where a length</w:t>
      </w:r>
      <w:r w:rsidR="0060548D">
        <w:rPr>
          <w:noProof/>
        </w:rPr>
        <w:t xml:space="preserve"> measurement</w:t>
      </w:r>
      <w:r w:rsidR="00361913">
        <w:rPr>
          <w:noProof/>
        </w:rPr>
        <w:t xml:space="preserve"> was possible</w:t>
      </w:r>
      <w:r w:rsidR="003158DB">
        <w:rPr>
          <w:noProof/>
        </w:rPr>
        <w:t>,</w:t>
      </w:r>
      <w:r w:rsidR="00361913">
        <w:rPr>
          <w:noProof/>
        </w:rPr>
        <w:t xml:space="preserve"> with or without epiphyses.  It was preferrable to have long-bone length determined by bones with complete epiphyses but prior to data collection it was not known whether sufficient numbers of individuals with complete epiphyses could be obtained.  </w:t>
      </w:r>
      <w:r w:rsidR="00645A12">
        <w:rPr>
          <w:noProof/>
        </w:rPr>
        <w:t xml:space="preserve">There is a need to </w:t>
      </w:r>
      <w:r w:rsidR="00361913">
        <w:rPr>
          <w:noProof/>
        </w:rPr>
        <w:t>resolve a combined sample variable, similarly to epiphyseal fusion</w:t>
      </w:r>
      <w:r w:rsidR="00B870E4">
        <w:rPr>
          <w:noProof/>
        </w:rPr>
        <w:t xml:space="preserve"> as measurements has been taken from both sides of the skeleton</w:t>
      </w:r>
      <w:r w:rsidR="00361913">
        <w:rPr>
          <w:noProof/>
        </w:rPr>
        <w:t xml:space="preserve">.  This will involve assessing if lateralisation is present </w:t>
      </w:r>
      <w:r w:rsidR="00645A12">
        <w:rPr>
          <w:noProof/>
        </w:rPr>
        <w:t>(</w:t>
      </w:r>
      <w:r w:rsidR="00361913">
        <w:rPr>
          <w:noProof/>
        </w:rPr>
        <w:t>section 3.</w:t>
      </w:r>
      <w:r w:rsidR="00DF64EF">
        <w:rPr>
          <w:noProof/>
        </w:rPr>
        <w:t>5</w:t>
      </w:r>
      <w:r w:rsidR="00361913">
        <w:rPr>
          <w:noProof/>
        </w:rPr>
        <w:t>.2</w:t>
      </w:r>
      <w:r w:rsidR="00645A12">
        <w:rPr>
          <w:noProof/>
        </w:rPr>
        <w:t>)</w:t>
      </w:r>
      <w:r w:rsidR="00361913">
        <w:rPr>
          <w:noProof/>
        </w:rPr>
        <w:t xml:space="preserve"> as this is known to exist in humans and is a potential source of error.  It shall be shown that this is</w:t>
      </w:r>
      <w:r w:rsidR="00645A12">
        <w:rPr>
          <w:noProof/>
        </w:rPr>
        <w:t xml:space="preserve"> </w:t>
      </w:r>
      <w:r w:rsidR="00361913">
        <w:rPr>
          <w:noProof/>
        </w:rPr>
        <w:t>n</w:t>
      </w:r>
      <w:r w:rsidR="00645A12">
        <w:rPr>
          <w:noProof/>
        </w:rPr>
        <w:t>o</w:t>
      </w:r>
      <w:r w:rsidR="00361913">
        <w:rPr>
          <w:noProof/>
        </w:rPr>
        <w:t xml:space="preserve">t the case and a pooled sample </w:t>
      </w:r>
      <w:r w:rsidR="00A77F10">
        <w:rPr>
          <w:noProof/>
        </w:rPr>
        <w:t xml:space="preserve">will </w:t>
      </w:r>
      <w:r w:rsidR="00361913">
        <w:rPr>
          <w:noProof/>
        </w:rPr>
        <w:t>be produced.</w:t>
      </w:r>
    </w:p>
    <w:p w:rsidR="00361913" w:rsidRPr="00C405B7" w:rsidRDefault="00361913" w:rsidP="00D263E8">
      <w:pPr>
        <w:pStyle w:val="Heading3"/>
      </w:pPr>
      <w:bookmarkStart w:id="193" w:name="_Toc373477779"/>
      <w:bookmarkStart w:id="194" w:name="_Toc373480777"/>
      <w:r w:rsidRPr="00C405B7">
        <w:t>Presence or absence of epiphyses</w:t>
      </w:r>
      <w:r>
        <w:t xml:space="preserve"> and distribution of data by bone type</w:t>
      </w:r>
      <w:bookmarkEnd w:id="193"/>
      <w:bookmarkEnd w:id="194"/>
    </w:p>
    <w:p w:rsidR="00A35CA0" w:rsidRDefault="00F64497" w:rsidP="00CA5FBB">
      <w:pPr>
        <w:spacing w:before="120"/>
      </w:pPr>
      <w:r>
        <w:rPr>
          <w:noProof/>
        </w:rPr>
        <w:t>Long-</w:t>
      </w:r>
      <w:r w:rsidR="00361913">
        <w:rPr>
          <w:noProof/>
        </w:rPr>
        <w:t xml:space="preserve">bone measures with both epiphyses present </w:t>
      </w:r>
      <w:r w:rsidR="00C27025">
        <w:rPr>
          <w:noProof/>
        </w:rPr>
        <w:t>were desired as this represents</w:t>
      </w:r>
      <w:r w:rsidR="00361913">
        <w:rPr>
          <w:noProof/>
        </w:rPr>
        <w:t xml:space="preserve"> the complete length of the bone.  Due to uncertainty with respect to the completeness of the sample, the experimental design for this study provided for all bones to be measured irrespective of their epiphyseal plate presence/absence.  The state of epiphyseal fusion plate presence was recorded (both present, proximal present only, distal present only,</w:t>
      </w:r>
      <w:r w:rsidR="00F4568C">
        <w:rPr>
          <w:noProof/>
        </w:rPr>
        <w:t xml:space="preserve"> neither</w:t>
      </w:r>
      <w:r w:rsidR="00784DDE">
        <w:rPr>
          <w:noProof/>
        </w:rPr>
        <w:t xml:space="preserve"> </w:t>
      </w:r>
      <w:r w:rsidR="00361913">
        <w:rPr>
          <w:noProof/>
        </w:rPr>
        <w:t>present).  If a substantial proportion of bones were missing epiphyses, then a method of compensating for this problem could be devised.  However, during data collection it became rapidly apparent that a large proportion of individuals had both epiphyses present for most long bones.  This information is quantified here.  A preliminary co</w:t>
      </w:r>
      <w:r w:rsidR="00BC2B96">
        <w:rPr>
          <w:noProof/>
        </w:rPr>
        <w:t xml:space="preserve">mbined sample variable </w:t>
      </w:r>
      <w:r w:rsidR="005F7753">
        <w:rPr>
          <w:noProof/>
        </w:rPr>
        <w:t>for filtering</w:t>
      </w:r>
      <w:r w:rsidR="00361913">
        <w:rPr>
          <w:noProof/>
        </w:rPr>
        <w:t xml:space="preserve"> epiphysis presence/absence state was created. </w:t>
      </w:r>
      <w:r w:rsidR="00E9455F">
        <w:rPr>
          <w:noProof/>
        </w:rPr>
        <w:t xml:space="preserve"> </w:t>
      </w:r>
      <w:r w:rsidR="00361913">
        <w:rPr>
          <w:noProof/>
        </w:rPr>
        <w:t>This variable allowed for the counting of the numbers of bones that had both epiphyses present, one from either left, rig</w:t>
      </w:r>
      <w:r w:rsidR="00CC131E">
        <w:rPr>
          <w:noProof/>
        </w:rPr>
        <w:t xml:space="preserve">ht, or both sides. </w:t>
      </w:r>
      <w:r w:rsidR="00E9455F">
        <w:rPr>
          <w:noProof/>
        </w:rPr>
        <w:t xml:space="preserve"> </w:t>
      </w:r>
      <w:r w:rsidR="00CC131E">
        <w:rPr>
          <w:noProof/>
        </w:rPr>
        <w:t>Table 3.2</w:t>
      </w:r>
      <w:r w:rsidR="003B3E20">
        <w:rPr>
          <w:noProof/>
        </w:rPr>
        <w:t>5</w:t>
      </w:r>
      <w:r w:rsidR="00361913">
        <w:rPr>
          <w:noProof/>
        </w:rPr>
        <w:t xml:space="preserve"> </w:t>
      </w:r>
      <w:r w:rsidR="002077F4">
        <w:rPr>
          <w:noProof/>
        </w:rPr>
        <w:t>provide</w:t>
      </w:r>
      <w:r w:rsidR="00361913">
        <w:rPr>
          <w:noProof/>
        </w:rPr>
        <w:t>s the number of individuals contributing a complete measurement (both epiphyses present) for each long bone by species and sex.</w:t>
      </w:r>
    </w:p>
    <w:p w:rsidR="00A35CA0" w:rsidRDefault="002267BA" w:rsidP="00CA5FBB">
      <w:pPr>
        <w:spacing w:before="120"/>
        <w:rPr>
          <w:noProof/>
        </w:rPr>
      </w:pPr>
      <w:bookmarkStart w:id="195" w:name="_Toc373180137"/>
      <w:proofErr w:type="gramStart"/>
      <w:r w:rsidRPr="00C9288A">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25</w:t>
      </w:r>
      <w:r w:rsidR="008943E4">
        <w:rPr>
          <w:b/>
        </w:rPr>
        <w:fldChar w:fldCharType="end"/>
      </w:r>
      <w:r>
        <w:t xml:space="preserve"> Number of individuals contributing long-bone measurements both by species and sex.</w:t>
      </w:r>
      <w:bookmarkEnd w:id="195"/>
    </w:p>
    <w:tbl>
      <w:tblPr>
        <w:tblW w:w="8960" w:type="dxa"/>
        <w:tblInd w:w="93" w:type="dxa"/>
        <w:tblBorders>
          <w:top w:val="single" w:sz="4" w:space="0" w:color="auto"/>
          <w:bottom w:val="single" w:sz="4" w:space="0" w:color="auto"/>
        </w:tblBorders>
        <w:tblLook w:val="04A0" w:firstRow="1" w:lastRow="0" w:firstColumn="1" w:lastColumn="0" w:noHBand="0" w:noVBand="1"/>
      </w:tblPr>
      <w:tblGrid>
        <w:gridCol w:w="2250"/>
        <w:gridCol w:w="1167"/>
        <w:gridCol w:w="952"/>
        <w:gridCol w:w="701"/>
        <w:gridCol w:w="1111"/>
        <w:gridCol w:w="841"/>
        <w:gridCol w:w="932"/>
        <w:gridCol w:w="1006"/>
      </w:tblGrid>
      <w:tr w:rsidR="002267BA" w:rsidRPr="002267BA" w:rsidTr="00CA5FBB">
        <w:trPr>
          <w:trHeight w:val="330"/>
        </w:trPr>
        <w:tc>
          <w:tcPr>
            <w:tcW w:w="2250" w:type="dxa"/>
            <w:tcBorders>
              <w:top w:val="single" w:sz="4" w:space="0" w:color="auto"/>
              <w:bottom w:val="single" w:sz="4" w:space="0" w:color="auto"/>
            </w:tcBorders>
            <w:shd w:val="clear" w:color="auto" w:fill="auto"/>
            <w:noWrap/>
            <w:vAlign w:val="center"/>
            <w:hideMark/>
          </w:tcPr>
          <w:p w:rsidR="002267BA" w:rsidRPr="002267BA" w:rsidRDefault="00136F89" w:rsidP="002267BA">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2267BA" w:rsidRPr="002267BA">
              <w:rPr>
                <w:rFonts w:eastAsia="Times New Roman"/>
                <w:b/>
                <w:bCs/>
                <w:color w:val="000000"/>
                <w:lang w:val="en-GB" w:eastAsia="en-GB"/>
              </w:rPr>
              <w:t>pecies</w:t>
            </w:r>
          </w:p>
        </w:tc>
        <w:tc>
          <w:tcPr>
            <w:tcW w:w="1167" w:type="dxa"/>
            <w:tcBorders>
              <w:top w:val="single" w:sz="4" w:space="0" w:color="auto"/>
              <w:bottom w:val="single" w:sz="4" w:space="0" w:color="auto"/>
            </w:tcBorders>
            <w:shd w:val="clear" w:color="auto" w:fill="auto"/>
            <w:noWrap/>
            <w:vAlign w:val="center"/>
            <w:hideMark/>
          </w:tcPr>
          <w:p w:rsidR="002267BA" w:rsidRPr="002267BA" w:rsidRDefault="00136F89" w:rsidP="002267BA">
            <w:pPr>
              <w:spacing w:before="0" w:line="240" w:lineRule="auto"/>
              <w:jc w:val="center"/>
              <w:rPr>
                <w:rFonts w:eastAsia="Times New Roman"/>
                <w:b/>
                <w:bCs/>
                <w:color w:val="000000"/>
                <w:lang w:val="en-GB" w:eastAsia="en-GB"/>
              </w:rPr>
            </w:pPr>
            <w:r>
              <w:rPr>
                <w:rFonts w:eastAsia="Times New Roman"/>
                <w:b/>
                <w:bCs/>
                <w:color w:val="000000"/>
                <w:lang w:val="en-GB" w:eastAsia="en-GB"/>
              </w:rPr>
              <w:t>h</w:t>
            </w:r>
            <w:r w:rsidR="002267BA" w:rsidRPr="002267BA">
              <w:rPr>
                <w:rFonts w:eastAsia="Times New Roman"/>
                <w:b/>
                <w:bCs/>
                <w:color w:val="000000"/>
                <w:lang w:val="en-GB" w:eastAsia="en-GB"/>
              </w:rPr>
              <w:t>umerus</w:t>
            </w:r>
          </w:p>
        </w:tc>
        <w:tc>
          <w:tcPr>
            <w:tcW w:w="952" w:type="dxa"/>
            <w:tcBorders>
              <w:top w:val="single" w:sz="4" w:space="0" w:color="auto"/>
              <w:bottom w:val="single" w:sz="4" w:space="0" w:color="auto"/>
            </w:tcBorders>
            <w:shd w:val="clear" w:color="auto" w:fill="auto"/>
            <w:noWrap/>
            <w:vAlign w:val="center"/>
            <w:hideMark/>
          </w:tcPr>
          <w:p w:rsidR="002267BA" w:rsidRPr="002267BA" w:rsidRDefault="00136F89" w:rsidP="002267BA">
            <w:pPr>
              <w:spacing w:before="0" w:line="240" w:lineRule="auto"/>
              <w:jc w:val="center"/>
              <w:rPr>
                <w:rFonts w:eastAsia="Times New Roman"/>
                <w:b/>
                <w:bCs/>
                <w:color w:val="000000"/>
                <w:lang w:val="en-GB" w:eastAsia="en-GB"/>
              </w:rPr>
            </w:pPr>
            <w:r>
              <w:rPr>
                <w:rFonts w:eastAsia="Times New Roman"/>
                <w:b/>
                <w:bCs/>
                <w:color w:val="000000"/>
                <w:lang w:val="en-GB" w:eastAsia="en-GB"/>
              </w:rPr>
              <w:t>r</w:t>
            </w:r>
            <w:r w:rsidR="002267BA" w:rsidRPr="002267BA">
              <w:rPr>
                <w:rFonts w:eastAsia="Times New Roman"/>
                <w:b/>
                <w:bCs/>
                <w:color w:val="000000"/>
                <w:lang w:val="en-GB" w:eastAsia="en-GB"/>
              </w:rPr>
              <w:t>adius</w:t>
            </w:r>
          </w:p>
        </w:tc>
        <w:tc>
          <w:tcPr>
            <w:tcW w:w="701" w:type="dxa"/>
            <w:tcBorders>
              <w:top w:val="single" w:sz="4" w:space="0" w:color="auto"/>
              <w:bottom w:val="single" w:sz="4" w:space="0" w:color="auto"/>
            </w:tcBorders>
            <w:shd w:val="clear" w:color="auto" w:fill="auto"/>
            <w:noWrap/>
            <w:vAlign w:val="center"/>
            <w:hideMark/>
          </w:tcPr>
          <w:p w:rsidR="002267BA" w:rsidRPr="002267BA" w:rsidRDefault="00136F89" w:rsidP="002267BA">
            <w:pPr>
              <w:spacing w:before="0" w:line="240" w:lineRule="auto"/>
              <w:jc w:val="center"/>
              <w:rPr>
                <w:rFonts w:eastAsia="Times New Roman"/>
                <w:b/>
                <w:bCs/>
                <w:color w:val="000000"/>
                <w:lang w:val="en-GB" w:eastAsia="en-GB"/>
              </w:rPr>
            </w:pPr>
            <w:r>
              <w:rPr>
                <w:rFonts w:eastAsia="Times New Roman"/>
                <w:b/>
                <w:bCs/>
                <w:color w:val="000000"/>
                <w:lang w:val="en-GB" w:eastAsia="en-GB"/>
              </w:rPr>
              <w:t>u</w:t>
            </w:r>
            <w:r w:rsidR="002267BA" w:rsidRPr="002267BA">
              <w:rPr>
                <w:rFonts w:eastAsia="Times New Roman"/>
                <w:b/>
                <w:bCs/>
                <w:color w:val="000000"/>
                <w:lang w:val="en-GB" w:eastAsia="en-GB"/>
              </w:rPr>
              <w:t>lna</w:t>
            </w:r>
          </w:p>
        </w:tc>
        <w:tc>
          <w:tcPr>
            <w:tcW w:w="1111" w:type="dxa"/>
            <w:tcBorders>
              <w:top w:val="single" w:sz="4" w:space="0" w:color="auto"/>
              <w:bottom w:val="single" w:sz="4" w:space="0" w:color="auto"/>
            </w:tcBorders>
            <w:shd w:val="clear" w:color="auto" w:fill="auto"/>
            <w:noWrap/>
            <w:vAlign w:val="center"/>
            <w:hideMark/>
          </w:tcPr>
          <w:p w:rsidR="002267BA" w:rsidRPr="002267BA" w:rsidRDefault="00136F89" w:rsidP="002267BA">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002267BA" w:rsidRPr="002267BA">
              <w:rPr>
                <w:rFonts w:eastAsia="Times New Roman"/>
                <w:b/>
                <w:bCs/>
                <w:color w:val="000000"/>
                <w:lang w:val="en-GB" w:eastAsia="en-GB"/>
              </w:rPr>
              <w:t>emur</w:t>
            </w:r>
          </w:p>
        </w:tc>
        <w:tc>
          <w:tcPr>
            <w:tcW w:w="841" w:type="dxa"/>
            <w:tcBorders>
              <w:top w:val="single" w:sz="4" w:space="0" w:color="auto"/>
              <w:bottom w:val="single" w:sz="4" w:space="0" w:color="auto"/>
            </w:tcBorders>
            <w:shd w:val="clear" w:color="auto" w:fill="auto"/>
            <w:noWrap/>
            <w:vAlign w:val="center"/>
            <w:hideMark/>
          </w:tcPr>
          <w:p w:rsidR="002267BA" w:rsidRPr="002267BA" w:rsidRDefault="00136F89" w:rsidP="002267BA">
            <w:pPr>
              <w:spacing w:before="0" w:line="240" w:lineRule="auto"/>
              <w:jc w:val="center"/>
              <w:rPr>
                <w:rFonts w:eastAsia="Times New Roman"/>
                <w:b/>
                <w:bCs/>
                <w:color w:val="000000"/>
                <w:lang w:val="en-GB" w:eastAsia="en-GB"/>
              </w:rPr>
            </w:pPr>
            <w:r>
              <w:rPr>
                <w:rFonts w:eastAsia="Times New Roman"/>
                <w:b/>
                <w:bCs/>
                <w:color w:val="000000"/>
                <w:lang w:val="en-GB" w:eastAsia="en-GB"/>
              </w:rPr>
              <w:t>t</w:t>
            </w:r>
            <w:r w:rsidR="002267BA" w:rsidRPr="002267BA">
              <w:rPr>
                <w:rFonts w:eastAsia="Times New Roman"/>
                <w:b/>
                <w:bCs/>
                <w:color w:val="000000"/>
                <w:lang w:val="en-GB" w:eastAsia="en-GB"/>
              </w:rPr>
              <w:t>ibia</w:t>
            </w:r>
          </w:p>
        </w:tc>
        <w:tc>
          <w:tcPr>
            <w:tcW w:w="932" w:type="dxa"/>
            <w:tcBorders>
              <w:top w:val="single" w:sz="4" w:space="0" w:color="auto"/>
              <w:bottom w:val="single" w:sz="4" w:space="0" w:color="auto"/>
            </w:tcBorders>
            <w:shd w:val="clear" w:color="auto" w:fill="auto"/>
            <w:noWrap/>
            <w:vAlign w:val="center"/>
            <w:hideMark/>
          </w:tcPr>
          <w:p w:rsidR="002267BA" w:rsidRPr="002267BA" w:rsidRDefault="00136F89" w:rsidP="002267BA">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002267BA" w:rsidRPr="002267BA">
              <w:rPr>
                <w:rFonts w:eastAsia="Times New Roman"/>
                <w:b/>
                <w:bCs/>
                <w:color w:val="000000"/>
                <w:lang w:val="en-GB" w:eastAsia="en-GB"/>
              </w:rPr>
              <w:t>ibula</w:t>
            </w:r>
          </w:p>
        </w:tc>
        <w:tc>
          <w:tcPr>
            <w:tcW w:w="1006" w:type="dxa"/>
            <w:tcBorders>
              <w:top w:val="single" w:sz="4" w:space="0" w:color="auto"/>
              <w:bottom w:val="single" w:sz="4" w:space="0" w:color="auto"/>
            </w:tcBorders>
            <w:shd w:val="clear" w:color="auto" w:fill="auto"/>
            <w:noWrap/>
            <w:vAlign w:val="center"/>
            <w:hideMark/>
          </w:tcPr>
          <w:p w:rsidR="002267BA" w:rsidRPr="002267BA" w:rsidRDefault="002267BA" w:rsidP="00136F89">
            <w:pPr>
              <w:spacing w:before="0" w:line="240" w:lineRule="auto"/>
              <w:jc w:val="center"/>
              <w:rPr>
                <w:rFonts w:eastAsia="Times New Roman"/>
                <w:b/>
                <w:bCs/>
                <w:color w:val="000000"/>
                <w:lang w:val="en-GB" w:eastAsia="en-GB"/>
              </w:rPr>
            </w:pPr>
            <w:proofErr w:type="gramStart"/>
            <w:r w:rsidRPr="002267BA">
              <w:rPr>
                <w:rFonts w:eastAsia="Times New Roman"/>
                <w:b/>
                <w:bCs/>
                <w:color w:val="000000"/>
                <w:lang w:val="en-GB" w:eastAsia="en-GB"/>
              </w:rPr>
              <w:t>max</w:t>
            </w:r>
            <w:proofErr w:type="gramEnd"/>
            <w:r w:rsidRPr="002267BA">
              <w:rPr>
                <w:rFonts w:eastAsia="Times New Roman"/>
                <w:b/>
                <w:bCs/>
                <w:color w:val="000000"/>
                <w:lang w:val="en-GB" w:eastAsia="en-GB"/>
              </w:rPr>
              <w:t xml:space="preserve"> </w:t>
            </w:r>
            <w:r w:rsidR="00136F89">
              <w:rPr>
                <w:rFonts w:eastAsia="Times New Roman"/>
                <w:b/>
                <w:bCs/>
                <w:i/>
                <w:color w:val="000000"/>
                <w:lang w:val="en-GB" w:eastAsia="en-GB"/>
              </w:rPr>
              <w:t>N</w:t>
            </w:r>
            <w:r w:rsidR="004F7ABD">
              <w:rPr>
                <w:rFonts w:eastAsia="Times New Roman"/>
                <w:b/>
                <w:bCs/>
                <w:i/>
                <w:color w:val="000000"/>
                <w:lang w:val="en-GB" w:eastAsia="en-GB"/>
              </w:rPr>
              <w:t xml:space="preserve"> </w:t>
            </w:r>
            <w:r w:rsidRPr="002267BA">
              <w:rPr>
                <w:rFonts w:eastAsia="Times New Roman"/>
                <w:b/>
                <w:bCs/>
                <w:color w:val="000000"/>
                <w:vertAlign w:val="superscript"/>
                <w:lang w:val="en-GB" w:eastAsia="en-GB"/>
              </w:rPr>
              <w:t>2.</w:t>
            </w:r>
          </w:p>
        </w:tc>
      </w:tr>
      <w:tr w:rsidR="002267BA" w:rsidRPr="002267BA" w:rsidTr="00CA5FBB">
        <w:trPr>
          <w:trHeight w:val="360"/>
        </w:trPr>
        <w:tc>
          <w:tcPr>
            <w:tcW w:w="2250" w:type="dxa"/>
            <w:tcBorders>
              <w:top w:val="single" w:sz="4" w:space="0" w:color="auto"/>
            </w:tcBorders>
            <w:shd w:val="clear" w:color="auto" w:fill="auto"/>
            <w:noWrap/>
            <w:vAlign w:val="center"/>
            <w:hideMark/>
          </w:tcPr>
          <w:p w:rsidR="002267BA" w:rsidRPr="002267BA" w:rsidRDefault="002267BA" w:rsidP="002267BA">
            <w:pPr>
              <w:spacing w:before="0" w:line="240" w:lineRule="auto"/>
              <w:jc w:val="left"/>
              <w:rPr>
                <w:rFonts w:eastAsia="Times New Roman"/>
                <w:color w:val="000000"/>
                <w:lang w:val="en-GB" w:eastAsia="en-GB"/>
              </w:rPr>
            </w:pPr>
            <w:r w:rsidRPr="002077F4">
              <w:rPr>
                <w:rFonts w:eastAsia="Times New Roman"/>
                <w:i/>
                <w:color w:val="000000"/>
                <w:lang w:val="en-GB" w:eastAsia="en-GB"/>
              </w:rPr>
              <w:t>P. paniscus</w:t>
            </w:r>
            <w:r w:rsidRPr="002267BA">
              <w:rPr>
                <w:rFonts w:eastAsia="Times New Roman"/>
                <w:color w:val="000000"/>
                <w:lang w:val="en-GB" w:eastAsia="en-GB"/>
              </w:rPr>
              <w:t xml:space="preserve"> total</w:t>
            </w:r>
            <w:r w:rsidRPr="002267BA">
              <w:rPr>
                <w:rFonts w:eastAsia="Times New Roman"/>
                <w:color w:val="000000"/>
                <w:vertAlign w:val="superscript"/>
                <w:lang w:val="en-GB" w:eastAsia="en-GB"/>
              </w:rPr>
              <w:t>1.</w:t>
            </w:r>
          </w:p>
        </w:tc>
        <w:tc>
          <w:tcPr>
            <w:tcW w:w="1167" w:type="dxa"/>
            <w:tcBorders>
              <w:top w:val="single" w:sz="4" w:space="0" w:color="auto"/>
            </w:tcBorders>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28</w:t>
            </w:r>
          </w:p>
        </w:tc>
        <w:tc>
          <w:tcPr>
            <w:tcW w:w="952" w:type="dxa"/>
            <w:tcBorders>
              <w:top w:val="single" w:sz="4" w:space="0" w:color="auto"/>
            </w:tcBorders>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27</w:t>
            </w:r>
          </w:p>
        </w:tc>
        <w:tc>
          <w:tcPr>
            <w:tcW w:w="701" w:type="dxa"/>
            <w:tcBorders>
              <w:top w:val="single" w:sz="4" w:space="0" w:color="auto"/>
            </w:tcBorders>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19</w:t>
            </w:r>
          </w:p>
        </w:tc>
        <w:tc>
          <w:tcPr>
            <w:tcW w:w="1111" w:type="dxa"/>
            <w:tcBorders>
              <w:top w:val="single" w:sz="4" w:space="0" w:color="auto"/>
            </w:tcBorders>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32</w:t>
            </w:r>
          </w:p>
        </w:tc>
        <w:tc>
          <w:tcPr>
            <w:tcW w:w="841" w:type="dxa"/>
            <w:tcBorders>
              <w:top w:val="single" w:sz="4" w:space="0" w:color="auto"/>
            </w:tcBorders>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29</w:t>
            </w:r>
          </w:p>
        </w:tc>
        <w:tc>
          <w:tcPr>
            <w:tcW w:w="932" w:type="dxa"/>
            <w:tcBorders>
              <w:top w:val="single" w:sz="4" w:space="0" w:color="auto"/>
            </w:tcBorders>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17</w:t>
            </w:r>
          </w:p>
        </w:tc>
        <w:tc>
          <w:tcPr>
            <w:tcW w:w="1006" w:type="dxa"/>
            <w:tcBorders>
              <w:top w:val="single" w:sz="4" w:space="0" w:color="auto"/>
            </w:tcBorders>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37</w:t>
            </w:r>
          </w:p>
        </w:tc>
      </w:tr>
      <w:tr w:rsidR="002267BA" w:rsidRPr="002267BA" w:rsidTr="00CA5FBB">
        <w:trPr>
          <w:trHeight w:val="300"/>
        </w:trPr>
        <w:tc>
          <w:tcPr>
            <w:tcW w:w="2250" w:type="dxa"/>
            <w:shd w:val="clear" w:color="auto" w:fill="auto"/>
            <w:noWrap/>
            <w:vAlign w:val="center"/>
            <w:hideMark/>
          </w:tcPr>
          <w:p w:rsidR="002267BA" w:rsidRPr="002267BA" w:rsidRDefault="002267BA" w:rsidP="002267BA">
            <w:pPr>
              <w:spacing w:before="0" w:line="240" w:lineRule="auto"/>
              <w:jc w:val="left"/>
              <w:rPr>
                <w:rFonts w:eastAsia="Times New Roman"/>
                <w:color w:val="000000"/>
                <w:lang w:val="en-GB" w:eastAsia="en-GB"/>
              </w:rPr>
            </w:pPr>
            <w:r w:rsidRPr="002077F4">
              <w:rPr>
                <w:rFonts w:eastAsia="Times New Roman"/>
                <w:i/>
                <w:color w:val="000000"/>
                <w:lang w:val="en-GB" w:eastAsia="en-GB"/>
              </w:rPr>
              <w:t>P. troglodytes</w:t>
            </w:r>
            <w:r w:rsidRPr="002267BA">
              <w:rPr>
                <w:rFonts w:eastAsia="Times New Roman"/>
                <w:color w:val="000000"/>
                <w:lang w:val="en-GB" w:eastAsia="en-GB"/>
              </w:rPr>
              <w:t xml:space="preserve"> total</w:t>
            </w:r>
          </w:p>
        </w:tc>
        <w:tc>
          <w:tcPr>
            <w:tcW w:w="1167"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157</w:t>
            </w:r>
          </w:p>
        </w:tc>
        <w:tc>
          <w:tcPr>
            <w:tcW w:w="95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147</w:t>
            </w:r>
          </w:p>
        </w:tc>
        <w:tc>
          <w:tcPr>
            <w:tcW w:w="70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96</w:t>
            </w:r>
          </w:p>
        </w:tc>
        <w:tc>
          <w:tcPr>
            <w:tcW w:w="111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160</w:t>
            </w:r>
          </w:p>
        </w:tc>
        <w:tc>
          <w:tcPr>
            <w:tcW w:w="84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158</w:t>
            </w:r>
          </w:p>
        </w:tc>
        <w:tc>
          <w:tcPr>
            <w:tcW w:w="93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125</w:t>
            </w:r>
          </w:p>
        </w:tc>
        <w:tc>
          <w:tcPr>
            <w:tcW w:w="1006"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177</w:t>
            </w:r>
          </w:p>
        </w:tc>
      </w:tr>
      <w:tr w:rsidR="002267BA" w:rsidRPr="002267BA" w:rsidTr="00CA5FBB">
        <w:trPr>
          <w:trHeight w:val="300"/>
        </w:trPr>
        <w:tc>
          <w:tcPr>
            <w:tcW w:w="2250" w:type="dxa"/>
            <w:shd w:val="clear" w:color="auto" w:fill="auto"/>
            <w:noWrap/>
            <w:vAlign w:val="center"/>
            <w:hideMark/>
          </w:tcPr>
          <w:p w:rsidR="002267BA" w:rsidRPr="002267BA" w:rsidRDefault="002267BA" w:rsidP="002267BA">
            <w:pPr>
              <w:spacing w:before="0" w:line="240" w:lineRule="auto"/>
              <w:jc w:val="left"/>
              <w:rPr>
                <w:rFonts w:eastAsia="Times New Roman"/>
                <w:color w:val="000000"/>
                <w:lang w:val="en-GB" w:eastAsia="en-GB"/>
              </w:rPr>
            </w:pPr>
            <w:r w:rsidRPr="002077F4">
              <w:rPr>
                <w:rFonts w:eastAsia="Times New Roman"/>
                <w:i/>
                <w:color w:val="000000"/>
                <w:lang w:val="en-GB" w:eastAsia="en-GB"/>
              </w:rPr>
              <w:t>P. paniscus</w:t>
            </w:r>
            <w:r w:rsidRPr="002267BA">
              <w:rPr>
                <w:rFonts w:eastAsia="Times New Roman"/>
                <w:color w:val="000000"/>
                <w:lang w:val="en-GB" w:eastAsia="en-GB"/>
              </w:rPr>
              <w:t xml:space="preserve"> females</w:t>
            </w:r>
          </w:p>
        </w:tc>
        <w:tc>
          <w:tcPr>
            <w:tcW w:w="1167"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11</w:t>
            </w:r>
          </w:p>
        </w:tc>
        <w:tc>
          <w:tcPr>
            <w:tcW w:w="95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11</w:t>
            </w:r>
          </w:p>
        </w:tc>
        <w:tc>
          <w:tcPr>
            <w:tcW w:w="70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9</w:t>
            </w:r>
          </w:p>
        </w:tc>
        <w:tc>
          <w:tcPr>
            <w:tcW w:w="111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12</w:t>
            </w:r>
          </w:p>
        </w:tc>
        <w:tc>
          <w:tcPr>
            <w:tcW w:w="84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12</w:t>
            </w:r>
          </w:p>
        </w:tc>
        <w:tc>
          <w:tcPr>
            <w:tcW w:w="93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8</w:t>
            </w:r>
          </w:p>
        </w:tc>
        <w:tc>
          <w:tcPr>
            <w:tcW w:w="1006"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12</w:t>
            </w:r>
          </w:p>
        </w:tc>
      </w:tr>
      <w:tr w:rsidR="002267BA" w:rsidRPr="002267BA" w:rsidTr="00CA5FBB">
        <w:trPr>
          <w:trHeight w:val="300"/>
        </w:trPr>
        <w:tc>
          <w:tcPr>
            <w:tcW w:w="2250" w:type="dxa"/>
            <w:shd w:val="clear" w:color="auto" w:fill="auto"/>
            <w:noWrap/>
            <w:vAlign w:val="center"/>
            <w:hideMark/>
          </w:tcPr>
          <w:p w:rsidR="002267BA" w:rsidRPr="002267BA" w:rsidRDefault="002267BA" w:rsidP="002267BA">
            <w:pPr>
              <w:spacing w:before="0" w:line="240" w:lineRule="auto"/>
              <w:jc w:val="left"/>
              <w:rPr>
                <w:rFonts w:eastAsia="Times New Roman"/>
                <w:color w:val="000000"/>
                <w:lang w:val="en-GB" w:eastAsia="en-GB"/>
              </w:rPr>
            </w:pPr>
            <w:r w:rsidRPr="002077F4">
              <w:rPr>
                <w:rFonts w:eastAsia="Times New Roman"/>
                <w:i/>
                <w:color w:val="000000"/>
                <w:lang w:val="en-GB" w:eastAsia="en-GB"/>
              </w:rPr>
              <w:t>P. paniscus</w:t>
            </w:r>
            <w:r w:rsidRPr="002267BA">
              <w:rPr>
                <w:rFonts w:eastAsia="Times New Roman"/>
                <w:color w:val="000000"/>
                <w:lang w:val="en-GB" w:eastAsia="en-GB"/>
              </w:rPr>
              <w:t xml:space="preserve"> males</w:t>
            </w:r>
          </w:p>
        </w:tc>
        <w:tc>
          <w:tcPr>
            <w:tcW w:w="1167"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13</w:t>
            </w:r>
          </w:p>
        </w:tc>
        <w:tc>
          <w:tcPr>
            <w:tcW w:w="95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12</w:t>
            </w:r>
          </w:p>
        </w:tc>
        <w:tc>
          <w:tcPr>
            <w:tcW w:w="70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8</w:t>
            </w:r>
          </w:p>
        </w:tc>
        <w:tc>
          <w:tcPr>
            <w:tcW w:w="111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14</w:t>
            </w:r>
          </w:p>
        </w:tc>
        <w:tc>
          <w:tcPr>
            <w:tcW w:w="84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13</w:t>
            </w:r>
          </w:p>
        </w:tc>
        <w:tc>
          <w:tcPr>
            <w:tcW w:w="93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7</w:t>
            </w:r>
          </w:p>
        </w:tc>
        <w:tc>
          <w:tcPr>
            <w:tcW w:w="1006"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18</w:t>
            </w:r>
          </w:p>
        </w:tc>
      </w:tr>
      <w:tr w:rsidR="002267BA" w:rsidRPr="002267BA" w:rsidTr="00CA5FBB">
        <w:trPr>
          <w:trHeight w:val="300"/>
        </w:trPr>
        <w:tc>
          <w:tcPr>
            <w:tcW w:w="2250" w:type="dxa"/>
            <w:shd w:val="clear" w:color="auto" w:fill="auto"/>
            <w:noWrap/>
            <w:vAlign w:val="center"/>
            <w:hideMark/>
          </w:tcPr>
          <w:p w:rsidR="002267BA" w:rsidRPr="002267BA" w:rsidRDefault="002267BA" w:rsidP="002267BA">
            <w:pPr>
              <w:spacing w:before="0" w:line="240" w:lineRule="auto"/>
              <w:jc w:val="left"/>
              <w:rPr>
                <w:rFonts w:eastAsia="Times New Roman"/>
                <w:color w:val="000000"/>
                <w:lang w:val="en-GB" w:eastAsia="en-GB"/>
              </w:rPr>
            </w:pPr>
            <w:r w:rsidRPr="002077F4">
              <w:rPr>
                <w:rFonts w:eastAsia="Times New Roman"/>
                <w:i/>
                <w:color w:val="000000"/>
                <w:lang w:val="en-GB" w:eastAsia="en-GB"/>
              </w:rPr>
              <w:t>P. troglodytes</w:t>
            </w:r>
            <w:r w:rsidRPr="002267BA">
              <w:rPr>
                <w:rFonts w:eastAsia="Times New Roman"/>
                <w:color w:val="000000"/>
                <w:lang w:val="en-GB" w:eastAsia="en-GB"/>
              </w:rPr>
              <w:t xml:space="preserve"> females</w:t>
            </w:r>
          </w:p>
        </w:tc>
        <w:tc>
          <w:tcPr>
            <w:tcW w:w="1167"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85</w:t>
            </w:r>
          </w:p>
        </w:tc>
        <w:tc>
          <w:tcPr>
            <w:tcW w:w="95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80</w:t>
            </w:r>
          </w:p>
        </w:tc>
        <w:tc>
          <w:tcPr>
            <w:tcW w:w="70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58</w:t>
            </w:r>
          </w:p>
        </w:tc>
        <w:tc>
          <w:tcPr>
            <w:tcW w:w="111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86</w:t>
            </w:r>
          </w:p>
        </w:tc>
        <w:tc>
          <w:tcPr>
            <w:tcW w:w="84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86</w:t>
            </w:r>
          </w:p>
        </w:tc>
        <w:tc>
          <w:tcPr>
            <w:tcW w:w="93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69</w:t>
            </w:r>
          </w:p>
        </w:tc>
        <w:tc>
          <w:tcPr>
            <w:tcW w:w="1006"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91</w:t>
            </w:r>
          </w:p>
        </w:tc>
      </w:tr>
      <w:tr w:rsidR="002267BA" w:rsidRPr="002267BA" w:rsidTr="00CA5FBB">
        <w:trPr>
          <w:trHeight w:val="300"/>
        </w:trPr>
        <w:tc>
          <w:tcPr>
            <w:tcW w:w="2250" w:type="dxa"/>
            <w:shd w:val="clear" w:color="auto" w:fill="auto"/>
            <w:noWrap/>
            <w:vAlign w:val="center"/>
            <w:hideMark/>
          </w:tcPr>
          <w:p w:rsidR="002267BA" w:rsidRPr="002267BA" w:rsidRDefault="002267BA" w:rsidP="002267BA">
            <w:pPr>
              <w:spacing w:before="0" w:line="240" w:lineRule="auto"/>
              <w:jc w:val="left"/>
              <w:rPr>
                <w:rFonts w:eastAsia="Times New Roman"/>
                <w:color w:val="000000"/>
                <w:lang w:val="en-GB" w:eastAsia="en-GB"/>
              </w:rPr>
            </w:pPr>
            <w:r w:rsidRPr="002077F4">
              <w:rPr>
                <w:rFonts w:eastAsia="Times New Roman"/>
                <w:i/>
                <w:color w:val="000000"/>
                <w:lang w:val="en-GB" w:eastAsia="en-GB"/>
              </w:rPr>
              <w:t>P. troglodytes</w:t>
            </w:r>
            <w:r w:rsidRPr="002267BA">
              <w:rPr>
                <w:rFonts w:eastAsia="Times New Roman"/>
                <w:color w:val="000000"/>
                <w:lang w:val="en-GB" w:eastAsia="en-GB"/>
              </w:rPr>
              <w:t xml:space="preserve"> males</w:t>
            </w:r>
          </w:p>
        </w:tc>
        <w:tc>
          <w:tcPr>
            <w:tcW w:w="1167"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57</w:t>
            </w:r>
          </w:p>
        </w:tc>
        <w:tc>
          <w:tcPr>
            <w:tcW w:w="95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53</w:t>
            </w:r>
          </w:p>
        </w:tc>
        <w:tc>
          <w:tcPr>
            <w:tcW w:w="70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28</w:t>
            </w:r>
          </w:p>
        </w:tc>
        <w:tc>
          <w:tcPr>
            <w:tcW w:w="111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59</w:t>
            </w:r>
          </w:p>
        </w:tc>
        <w:tc>
          <w:tcPr>
            <w:tcW w:w="841"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58</w:t>
            </w:r>
          </w:p>
        </w:tc>
        <w:tc>
          <w:tcPr>
            <w:tcW w:w="932"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44</w:t>
            </w:r>
          </w:p>
        </w:tc>
        <w:tc>
          <w:tcPr>
            <w:tcW w:w="1006" w:type="dxa"/>
            <w:shd w:val="clear" w:color="auto" w:fill="auto"/>
            <w:noWrap/>
            <w:vAlign w:val="center"/>
            <w:hideMark/>
          </w:tcPr>
          <w:p w:rsidR="002267BA" w:rsidRPr="002267BA" w:rsidRDefault="002267BA" w:rsidP="002267BA">
            <w:pPr>
              <w:spacing w:before="0" w:line="240" w:lineRule="auto"/>
              <w:jc w:val="center"/>
              <w:rPr>
                <w:rFonts w:eastAsia="Times New Roman"/>
                <w:color w:val="000000"/>
                <w:lang w:val="en-GB" w:eastAsia="en-GB"/>
              </w:rPr>
            </w:pPr>
            <w:r w:rsidRPr="002267BA">
              <w:rPr>
                <w:rFonts w:eastAsia="Times New Roman"/>
                <w:color w:val="000000"/>
                <w:lang w:val="en-GB" w:eastAsia="en-GB"/>
              </w:rPr>
              <w:t>64</w:t>
            </w:r>
          </w:p>
        </w:tc>
      </w:tr>
    </w:tbl>
    <w:p w:rsidR="00A35CA0" w:rsidRPr="00CA5FBB" w:rsidRDefault="002267BA" w:rsidP="00CA5FBB">
      <w:pPr>
        <w:pStyle w:val="ListParagraph"/>
        <w:numPr>
          <w:ilvl w:val="0"/>
          <w:numId w:val="65"/>
        </w:numPr>
        <w:spacing w:before="120" w:line="240" w:lineRule="auto"/>
        <w:ind w:left="714" w:hanging="357"/>
        <w:rPr>
          <w:noProof/>
        </w:rPr>
      </w:pPr>
      <w:r w:rsidRPr="00116368">
        <w:rPr>
          <w:noProof/>
          <w:color w:val="000000" w:themeColor="text1"/>
          <w:sz w:val="20"/>
          <w:szCs w:val="20"/>
        </w:rPr>
        <w:t>‘total’ includes males, females, and unsexed individuals</w:t>
      </w:r>
    </w:p>
    <w:p w:rsidR="00A35CA0" w:rsidRDefault="002267BA" w:rsidP="00CA5FBB">
      <w:pPr>
        <w:pStyle w:val="ListParagraph"/>
        <w:numPr>
          <w:ilvl w:val="0"/>
          <w:numId w:val="65"/>
        </w:numPr>
        <w:spacing w:before="120" w:line="240" w:lineRule="auto"/>
        <w:rPr>
          <w:noProof/>
        </w:rPr>
      </w:pPr>
      <w:r w:rsidRPr="00116368">
        <w:rPr>
          <w:noProof/>
          <w:color w:val="000000" w:themeColor="text1"/>
          <w:sz w:val="20"/>
          <w:szCs w:val="20"/>
        </w:rPr>
        <w:t>‘max n’ refers to the total number individuals present in each category from the original dataset.  This would be the number of measurements present if all data were 100% complete.</w:t>
      </w:r>
    </w:p>
    <w:p w:rsidR="00190E61" w:rsidRDefault="00361913" w:rsidP="00116368">
      <w:pPr>
        <w:rPr>
          <w:noProof/>
        </w:rPr>
      </w:pPr>
      <w:r>
        <w:rPr>
          <w:noProof/>
        </w:rPr>
        <w:lastRenderedPageBreak/>
        <w:t>For all long</w:t>
      </w:r>
      <w:r w:rsidR="00AA4BD1">
        <w:rPr>
          <w:noProof/>
        </w:rPr>
        <w:t>-</w:t>
      </w:r>
      <w:r>
        <w:rPr>
          <w:noProof/>
        </w:rPr>
        <w:t xml:space="preserve">bones the proportion of individuals with missing epiphyses decreased as </w:t>
      </w:r>
      <w:r w:rsidR="004C616E">
        <w:rPr>
          <w:noProof/>
        </w:rPr>
        <w:t>length</w:t>
      </w:r>
      <w:r>
        <w:rPr>
          <w:noProof/>
        </w:rPr>
        <w:t xml:space="preserve"> increased.  This was an expected trend as older individuals are more likely to have fused epiphyses.  There remained also the question </w:t>
      </w:r>
      <w:r w:rsidR="00E26694">
        <w:rPr>
          <w:noProof/>
        </w:rPr>
        <w:t>of</w:t>
      </w:r>
      <w:r>
        <w:rPr>
          <w:noProof/>
        </w:rPr>
        <w:t xml:space="preserve"> how</w:t>
      </w:r>
      <w:r w:rsidR="00D13566">
        <w:rPr>
          <w:noProof/>
        </w:rPr>
        <w:t xml:space="preserve"> many individuals had both long-</w:t>
      </w:r>
      <w:r>
        <w:rPr>
          <w:noProof/>
        </w:rPr>
        <w:t>bone measures with complete epiphyses as well as dental scores.  Table 3.2</w:t>
      </w:r>
      <w:r w:rsidR="003B3E20">
        <w:rPr>
          <w:noProof/>
        </w:rPr>
        <w:t>6</w:t>
      </w:r>
      <w:r>
        <w:rPr>
          <w:noProof/>
        </w:rPr>
        <w:t xml:space="preserve"> </w:t>
      </w:r>
      <w:r w:rsidR="0040006C">
        <w:rPr>
          <w:noProof/>
        </w:rPr>
        <w:t>present</w:t>
      </w:r>
      <w:r>
        <w:rPr>
          <w:noProof/>
        </w:rPr>
        <w:t xml:space="preserve">s the number of individuals contributing at least one long bone length </w:t>
      </w:r>
      <w:r w:rsidR="00D821F1">
        <w:rPr>
          <w:noProof/>
        </w:rPr>
        <w:t>for each dental score interval</w:t>
      </w:r>
      <w:r w:rsidR="00B1729C">
        <w:rPr>
          <w:noProof/>
        </w:rPr>
        <w:t xml:space="preserve"> of 10.</w:t>
      </w:r>
    </w:p>
    <w:p w:rsidR="00361913" w:rsidRPr="009175E3" w:rsidRDefault="00C9288A" w:rsidP="00C9288A">
      <w:pPr>
        <w:pStyle w:val="Caption"/>
      </w:pPr>
      <w:bookmarkStart w:id="196" w:name="_Toc373180138"/>
      <w:proofErr w:type="gramStart"/>
      <w:r w:rsidRPr="00C9288A">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26</w:t>
      </w:r>
      <w:r w:rsidR="008943E4">
        <w:rPr>
          <w:b/>
        </w:rPr>
        <w:fldChar w:fldCharType="end"/>
      </w:r>
      <w:r>
        <w:t xml:space="preserve"> </w:t>
      </w:r>
      <w:r w:rsidR="00361913">
        <w:t>Number of individuals contributing long bone lengths with dental scores</w:t>
      </w:r>
      <w:r w:rsidR="0012406B">
        <w:t>.</w:t>
      </w:r>
      <w:bookmarkEnd w:id="196"/>
    </w:p>
    <w:tbl>
      <w:tblPr>
        <w:tblW w:w="6438" w:type="dxa"/>
        <w:jc w:val="center"/>
        <w:tblInd w:w="-544" w:type="dxa"/>
        <w:tblBorders>
          <w:top w:val="single" w:sz="4" w:space="0" w:color="auto"/>
          <w:bottom w:val="single" w:sz="4" w:space="0" w:color="auto"/>
        </w:tblBorders>
        <w:tblLook w:val="04A0" w:firstRow="1" w:lastRow="0" w:firstColumn="1" w:lastColumn="0" w:noHBand="0" w:noVBand="1"/>
      </w:tblPr>
      <w:tblGrid>
        <w:gridCol w:w="1834"/>
        <w:gridCol w:w="960"/>
        <w:gridCol w:w="1007"/>
        <w:gridCol w:w="913"/>
        <w:gridCol w:w="1724"/>
      </w:tblGrid>
      <w:tr w:rsidR="00AF7680" w:rsidRPr="00AF7680" w:rsidTr="00AF7680">
        <w:trPr>
          <w:trHeight w:val="300"/>
          <w:jc w:val="center"/>
        </w:trPr>
        <w:tc>
          <w:tcPr>
            <w:tcW w:w="6438" w:type="dxa"/>
            <w:gridSpan w:val="5"/>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color w:val="000000"/>
                <w:lang w:val="en-GB" w:eastAsia="en-GB"/>
              </w:rPr>
            </w:pPr>
            <w:r w:rsidRPr="00AF7680">
              <w:rPr>
                <w:rFonts w:eastAsia="Times New Roman"/>
                <w:b/>
                <w:i/>
                <w:iCs/>
                <w:color w:val="000000"/>
                <w:lang w:val="en-GB" w:eastAsia="en-GB"/>
              </w:rPr>
              <w:t>Pan troglodytes</w:t>
            </w:r>
          </w:p>
        </w:tc>
      </w:tr>
      <w:tr w:rsidR="00AF7680" w:rsidRPr="00AF7680" w:rsidTr="00AF7680">
        <w:trPr>
          <w:trHeight w:hRule="exact" w:val="315"/>
          <w:jc w:val="center"/>
        </w:trPr>
        <w:tc>
          <w:tcPr>
            <w:tcW w:w="1834"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d</w:t>
            </w:r>
            <w:r w:rsidRPr="00AF7680">
              <w:rPr>
                <w:rFonts w:eastAsia="Times New Roman"/>
                <w:b/>
                <w:bCs/>
                <w:color w:val="000000"/>
                <w:lang w:val="en-GB" w:eastAsia="en-GB"/>
              </w:rPr>
              <w:t>ental score</w:t>
            </w:r>
          </w:p>
        </w:tc>
        <w:tc>
          <w:tcPr>
            <w:tcW w:w="960"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Pr="00AF7680">
              <w:rPr>
                <w:rFonts w:eastAsia="Times New Roman"/>
                <w:b/>
                <w:bCs/>
                <w:color w:val="000000"/>
                <w:lang w:val="en-GB" w:eastAsia="en-GB"/>
              </w:rPr>
              <w:t>ale</w:t>
            </w:r>
          </w:p>
        </w:tc>
        <w:tc>
          <w:tcPr>
            <w:tcW w:w="1007"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Pr="00AF7680">
              <w:rPr>
                <w:rFonts w:eastAsia="Times New Roman"/>
                <w:b/>
                <w:bCs/>
                <w:color w:val="000000"/>
                <w:lang w:val="en-GB" w:eastAsia="en-GB"/>
              </w:rPr>
              <w:t>emale</w:t>
            </w:r>
          </w:p>
        </w:tc>
        <w:tc>
          <w:tcPr>
            <w:tcW w:w="913"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n</w:t>
            </w:r>
            <w:r w:rsidRPr="00AF7680">
              <w:rPr>
                <w:rFonts w:eastAsia="Times New Roman"/>
                <w:b/>
                <w:bCs/>
                <w:color w:val="000000"/>
                <w:lang w:val="en-GB" w:eastAsia="en-GB"/>
              </w:rPr>
              <w:t>o sex</w:t>
            </w:r>
          </w:p>
        </w:tc>
        <w:tc>
          <w:tcPr>
            <w:tcW w:w="1724"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a</w:t>
            </w:r>
            <w:r w:rsidRPr="00AF7680">
              <w:rPr>
                <w:rFonts w:eastAsia="Times New Roman"/>
                <w:b/>
                <w:bCs/>
                <w:color w:val="000000"/>
                <w:lang w:val="en-GB" w:eastAsia="en-GB"/>
              </w:rPr>
              <w:t>ll individuals</w:t>
            </w:r>
          </w:p>
        </w:tc>
      </w:tr>
      <w:tr w:rsidR="00AF7680" w:rsidRPr="00AF7680" w:rsidTr="00AF7680">
        <w:trPr>
          <w:trHeight w:hRule="exact" w:val="315"/>
          <w:jc w:val="center"/>
        </w:trPr>
        <w:tc>
          <w:tcPr>
            <w:tcW w:w="1834"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 to 10</w:t>
            </w:r>
          </w:p>
        </w:tc>
        <w:tc>
          <w:tcPr>
            <w:tcW w:w="960"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1007"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913"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1724"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11 to 20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3</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8</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21 to 30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9</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9</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18</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31 to 40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9</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6</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15</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41 to 50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11</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13</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5</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24</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51 to 60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13</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15</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29</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61 +</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13</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37</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49</w:t>
            </w:r>
          </w:p>
        </w:tc>
      </w:tr>
      <w:tr w:rsidR="00AF7680" w:rsidRPr="00AF7680" w:rsidTr="00AF7680">
        <w:trPr>
          <w:trHeight w:hRule="exact" w:val="315"/>
          <w:jc w:val="center"/>
        </w:trPr>
        <w:tc>
          <w:tcPr>
            <w:tcW w:w="1834" w:type="dxa"/>
            <w:tcBorders>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sum</w:t>
            </w:r>
          </w:p>
        </w:tc>
        <w:tc>
          <w:tcPr>
            <w:tcW w:w="960" w:type="dxa"/>
            <w:tcBorders>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59</w:t>
            </w:r>
          </w:p>
        </w:tc>
        <w:tc>
          <w:tcPr>
            <w:tcW w:w="1007" w:type="dxa"/>
            <w:tcBorders>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86</w:t>
            </w:r>
          </w:p>
        </w:tc>
        <w:tc>
          <w:tcPr>
            <w:tcW w:w="913" w:type="dxa"/>
            <w:tcBorders>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14</w:t>
            </w:r>
          </w:p>
        </w:tc>
        <w:tc>
          <w:tcPr>
            <w:tcW w:w="1724" w:type="dxa"/>
            <w:tcBorders>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159</w:t>
            </w:r>
          </w:p>
        </w:tc>
      </w:tr>
      <w:tr w:rsidR="00AF7680" w:rsidRPr="00AF7680" w:rsidTr="00AF7680">
        <w:trPr>
          <w:trHeight w:val="315"/>
          <w:jc w:val="center"/>
        </w:trPr>
        <w:tc>
          <w:tcPr>
            <w:tcW w:w="6438" w:type="dxa"/>
            <w:gridSpan w:val="5"/>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color w:val="000000"/>
                <w:lang w:val="en-GB" w:eastAsia="en-GB"/>
              </w:rPr>
            </w:pPr>
            <w:r w:rsidRPr="00AF7680">
              <w:rPr>
                <w:rFonts w:eastAsia="Times New Roman"/>
                <w:b/>
                <w:i/>
                <w:iCs/>
                <w:color w:val="000000"/>
                <w:lang w:val="en-GB" w:eastAsia="en-GB"/>
              </w:rPr>
              <w:t>Pan paniscus</w:t>
            </w:r>
          </w:p>
        </w:tc>
      </w:tr>
      <w:tr w:rsidR="00AF7680" w:rsidRPr="00AF7680" w:rsidTr="00AF7680">
        <w:trPr>
          <w:trHeight w:hRule="exact" w:val="315"/>
          <w:jc w:val="center"/>
        </w:trPr>
        <w:tc>
          <w:tcPr>
            <w:tcW w:w="1834"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d</w:t>
            </w:r>
            <w:r w:rsidRPr="00AF7680">
              <w:rPr>
                <w:rFonts w:eastAsia="Times New Roman"/>
                <w:b/>
                <w:bCs/>
                <w:color w:val="000000"/>
                <w:lang w:val="en-GB" w:eastAsia="en-GB"/>
              </w:rPr>
              <w:t>ental score</w:t>
            </w:r>
          </w:p>
        </w:tc>
        <w:tc>
          <w:tcPr>
            <w:tcW w:w="960"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Pr="00AF7680">
              <w:rPr>
                <w:rFonts w:eastAsia="Times New Roman"/>
                <w:b/>
                <w:bCs/>
                <w:color w:val="000000"/>
                <w:lang w:val="en-GB" w:eastAsia="en-GB"/>
              </w:rPr>
              <w:t>ale</w:t>
            </w:r>
          </w:p>
        </w:tc>
        <w:tc>
          <w:tcPr>
            <w:tcW w:w="1007"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Pr="00AF7680">
              <w:rPr>
                <w:rFonts w:eastAsia="Times New Roman"/>
                <w:b/>
                <w:bCs/>
                <w:color w:val="000000"/>
                <w:lang w:val="en-GB" w:eastAsia="en-GB"/>
              </w:rPr>
              <w:t>emale</w:t>
            </w:r>
          </w:p>
        </w:tc>
        <w:tc>
          <w:tcPr>
            <w:tcW w:w="913"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n</w:t>
            </w:r>
            <w:r w:rsidRPr="00AF7680">
              <w:rPr>
                <w:rFonts w:eastAsia="Times New Roman"/>
                <w:b/>
                <w:bCs/>
                <w:color w:val="000000"/>
                <w:lang w:val="en-GB" w:eastAsia="en-GB"/>
              </w:rPr>
              <w:t>o sex</w:t>
            </w:r>
          </w:p>
        </w:tc>
        <w:tc>
          <w:tcPr>
            <w:tcW w:w="1724" w:type="dxa"/>
            <w:tcBorders>
              <w:top w:val="single" w:sz="4" w:space="0" w:color="auto"/>
              <w:bottom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b/>
                <w:bCs/>
                <w:color w:val="000000"/>
                <w:lang w:val="en-GB" w:eastAsia="en-GB"/>
              </w:rPr>
            </w:pPr>
            <w:r>
              <w:rPr>
                <w:rFonts w:eastAsia="Times New Roman"/>
                <w:b/>
                <w:bCs/>
                <w:color w:val="000000"/>
                <w:lang w:val="en-GB" w:eastAsia="en-GB"/>
              </w:rPr>
              <w:t>a</w:t>
            </w:r>
            <w:r w:rsidRPr="00AF7680">
              <w:rPr>
                <w:rFonts w:eastAsia="Times New Roman"/>
                <w:b/>
                <w:bCs/>
                <w:color w:val="000000"/>
                <w:lang w:val="en-GB" w:eastAsia="en-GB"/>
              </w:rPr>
              <w:t>ll individuals</w:t>
            </w:r>
          </w:p>
        </w:tc>
      </w:tr>
      <w:tr w:rsidR="00AF7680" w:rsidRPr="00AF7680" w:rsidTr="00AF7680">
        <w:trPr>
          <w:trHeight w:hRule="exact" w:val="315"/>
          <w:jc w:val="center"/>
        </w:trPr>
        <w:tc>
          <w:tcPr>
            <w:tcW w:w="1834"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 to 10</w:t>
            </w:r>
          </w:p>
        </w:tc>
        <w:tc>
          <w:tcPr>
            <w:tcW w:w="960"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1007"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913"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1724" w:type="dxa"/>
            <w:tcBorders>
              <w:top w:val="single" w:sz="4" w:space="0" w:color="auto"/>
            </w:tcBorders>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10 to 20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3</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21 to 30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31 to 40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2</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41 to 50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3</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3</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51 to 60</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9</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61 +</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5</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0</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9</w:t>
            </w:r>
          </w:p>
        </w:tc>
      </w:tr>
      <w:tr w:rsidR="00AF7680" w:rsidRPr="00AF7680" w:rsidTr="00AF7680">
        <w:trPr>
          <w:trHeight w:hRule="exact" w:val="315"/>
          <w:jc w:val="center"/>
        </w:trPr>
        <w:tc>
          <w:tcPr>
            <w:tcW w:w="183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sum</w:t>
            </w:r>
          </w:p>
        </w:tc>
        <w:tc>
          <w:tcPr>
            <w:tcW w:w="960"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17</w:t>
            </w:r>
          </w:p>
        </w:tc>
        <w:tc>
          <w:tcPr>
            <w:tcW w:w="1007"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11</w:t>
            </w:r>
          </w:p>
        </w:tc>
        <w:tc>
          <w:tcPr>
            <w:tcW w:w="913"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4</w:t>
            </w:r>
          </w:p>
        </w:tc>
        <w:tc>
          <w:tcPr>
            <w:tcW w:w="1724" w:type="dxa"/>
            <w:shd w:val="clear" w:color="auto" w:fill="auto"/>
            <w:noWrap/>
            <w:vAlign w:val="center"/>
            <w:hideMark/>
          </w:tcPr>
          <w:p w:rsidR="00AF7680" w:rsidRPr="00AF7680" w:rsidRDefault="00AF7680" w:rsidP="00AF7680">
            <w:pPr>
              <w:spacing w:before="0" w:line="240" w:lineRule="auto"/>
              <w:jc w:val="center"/>
              <w:rPr>
                <w:rFonts w:eastAsia="Times New Roman"/>
                <w:color w:val="000000"/>
                <w:lang w:val="en-GB" w:eastAsia="en-GB"/>
              </w:rPr>
            </w:pPr>
            <w:r w:rsidRPr="00AF7680">
              <w:rPr>
                <w:rFonts w:eastAsia="Times New Roman"/>
                <w:color w:val="000000"/>
                <w:lang w:val="en-GB" w:eastAsia="en-GB"/>
              </w:rPr>
              <w:t>32</w:t>
            </w:r>
          </w:p>
        </w:tc>
      </w:tr>
    </w:tbl>
    <w:p w:rsidR="002D2226" w:rsidRPr="003F3469" w:rsidRDefault="00361913" w:rsidP="003F3469">
      <w:pPr>
        <w:rPr>
          <w:b/>
          <w:noProof/>
          <w:color w:val="000000" w:themeColor="text1"/>
        </w:rPr>
      </w:pPr>
      <w:r>
        <w:rPr>
          <w:noProof/>
        </w:rPr>
        <w:t xml:space="preserve">There was a paucity of individuals </w:t>
      </w:r>
      <w:r w:rsidR="00B1764F">
        <w:rPr>
          <w:noProof/>
        </w:rPr>
        <w:t>with</w:t>
      </w:r>
      <w:r>
        <w:rPr>
          <w:noProof/>
        </w:rPr>
        <w:t xml:space="preserve"> lower </w:t>
      </w:r>
      <w:r w:rsidR="00645A12">
        <w:rPr>
          <w:noProof/>
        </w:rPr>
        <w:t xml:space="preserve">dental </w:t>
      </w:r>
      <w:r>
        <w:rPr>
          <w:noProof/>
        </w:rPr>
        <w:t>score</w:t>
      </w:r>
      <w:r w:rsidR="00645A12">
        <w:rPr>
          <w:noProof/>
        </w:rPr>
        <w:t>s in</w:t>
      </w:r>
      <w:r>
        <w:rPr>
          <w:noProof/>
        </w:rPr>
        <w:t xml:space="preserve"> </w:t>
      </w:r>
      <w:r>
        <w:rPr>
          <w:i/>
          <w:noProof/>
        </w:rPr>
        <w:t>Pan paniscus</w:t>
      </w:r>
      <w:r>
        <w:rPr>
          <w:noProof/>
        </w:rPr>
        <w:t>.  However, this problem would not be alleviated by the inclusion of individuals with incomplete epiphyses</w:t>
      </w:r>
      <w:r w:rsidR="00645A12">
        <w:rPr>
          <w:noProof/>
        </w:rPr>
        <w:t>, as</w:t>
      </w:r>
      <w:r>
        <w:rPr>
          <w:noProof/>
        </w:rPr>
        <w:t xml:space="preserve"> 32 individuals from the entire sample of 37</w:t>
      </w:r>
      <w:r w:rsidR="009F40AC">
        <w:rPr>
          <w:noProof/>
        </w:rPr>
        <w:t xml:space="preserve"> were</w:t>
      </w:r>
      <w:r w:rsidR="00645A12">
        <w:rPr>
          <w:noProof/>
        </w:rPr>
        <w:t xml:space="preserve"> accounted for (Tabl</w:t>
      </w:r>
      <w:r w:rsidR="008005A4">
        <w:rPr>
          <w:noProof/>
        </w:rPr>
        <w:t>e 3.2</w:t>
      </w:r>
      <w:r w:rsidR="009175E3">
        <w:rPr>
          <w:noProof/>
        </w:rPr>
        <w:t>4</w:t>
      </w:r>
      <w:r w:rsidR="00645A12">
        <w:rPr>
          <w:noProof/>
        </w:rPr>
        <w:t>)</w:t>
      </w:r>
      <w:r w:rsidR="001D5A62">
        <w:rPr>
          <w:noProof/>
        </w:rPr>
        <w:t>.  The remaining 4</w:t>
      </w:r>
      <w:r>
        <w:rPr>
          <w:noProof/>
        </w:rPr>
        <w:t xml:space="preserve"> individuals </w:t>
      </w:r>
      <w:r w:rsidR="00645A12">
        <w:rPr>
          <w:noProof/>
        </w:rPr>
        <w:t>lacked</w:t>
      </w:r>
      <w:r>
        <w:rPr>
          <w:noProof/>
        </w:rPr>
        <w:t xml:space="preserve"> skulls</w:t>
      </w:r>
      <w:r w:rsidR="00AB6B37">
        <w:rPr>
          <w:noProof/>
        </w:rPr>
        <w:t xml:space="preserve"> and there was the single individual that had only two teeth as noted during imputation analysis (</w:t>
      </w:r>
      <w:r w:rsidR="00F7541A">
        <w:rPr>
          <w:noProof/>
        </w:rPr>
        <w:t xml:space="preserve">see </w:t>
      </w:r>
      <w:r w:rsidR="00AB6B37" w:rsidRPr="00EC6660">
        <w:rPr>
          <w:noProof/>
        </w:rPr>
        <w:t>section</w:t>
      </w:r>
      <w:r w:rsidR="009E4E35">
        <w:rPr>
          <w:noProof/>
        </w:rPr>
        <w:t xml:space="preserve"> 3.3.3</w:t>
      </w:r>
      <w:r w:rsidR="00EC6660" w:rsidRPr="00EC6660">
        <w:rPr>
          <w:noProof/>
        </w:rPr>
        <w:t>a)</w:t>
      </w:r>
      <w:r w:rsidR="00F7541A">
        <w:rPr>
          <w:noProof/>
        </w:rPr>
        <w:t>.  E</w:t>
      </w:r>
      <w:r>
        <w:rPr>
          <w:noProof/>
        </w:rPr>
        <w:t xml:space="preserve">ven if a method for including incomplete bones was devised, it would be of no use here.  The scores for </w:t>
      </w:r>
      <w:r>
        <w:rPr>
          <w:i/>
          <w:noProof/>
        </w:rPr>
        <w:t>Pan troglodytes</w:t>
      </w:r>
      <w:r>
        <w:rPr>
          <w:noProof/>
        </w:rPr>
        <w:t xml:space="preserve"> follow a similar pattern to </w:t>
      </w:r>
      <w:r>
        <w:rPr>
          <w:i/>
          <w:noProof/>
        </w:rPr>
        <w:t xml:space="preserve">Pan paniscus </w:t>
      </w:r>
      <w:r>
        <w:rPr>
          <w:noProof/>
        </w:rPr>
        <w:t xml:space="preserve">but due to the much larger sample size, the lower </w:t>
      </w:r>
      <w:r w:rsidR="00645A12">
        <w:rPr>
          <w:noProof/>
        </w:rPr>
        <w:t xml:space="preserve">dental </w:t>
      </w:r>
      <w:r>
        <w:rPr>
          <w:noProof/>
        </w:rPr>
        <w:t>scores are much better represented</w:t>
      </w:r>
      <w:r w:rsidR="0020607A">
        <w:rPr>
          <w:noProof/>
        </w:rPr>
        <w:t xml:space="preserve"> in this species</w:t>
      </w:r>
      <w:r>
        <w:rPr>
          <w:noProof/>
        </w:rPr>
        <w:t>.  These values also follow a consistent pattern with the distribution of dental scores for the en</w:t>
      </w:r>
      <w:r w:rsidR="00A42095">
        <w:rPr>
          <w:noProof/>
        </w:rPr>
        <w:t>tire population (see section 3.</w:t>
      </w:r>
      <w:r>
        <w:rPr>
          <w:noProof/>
        </w:rPr>
        <w:t>3</w:t>
      </w:r>
      <w:r w:rsidR="00A42095">
        <w:rPr>
          <w:noProof/>
        </w:rPr>
        <w:t>.4</w:t>
      </w:r>
      <w:r>
        <w:rPr>
          <w:noProof/>
        </w:rPr>
        <w:t>).  The numbers of individuals do not substantially deviate from the numbers of individuals present for the entire sample.  T</w:t>
      </w:r>
      <w:r w:rsidR="005622AF">
        <w:rPr>
          <w:noProof/>
        </w:rPr>
        <w:t>here were 159 chimpanzee specimens</w:t>
      </w:r>
      <w:r>
        <w:rPr>
          <w:noProof/>
        </w:rPr>
        <w:t xml:space="preserve"> with complete long </w:t>
      </w:r>
      <w:r>
        <w:rPr>
          <w:noProof/>
        </w:rPr>
        <w:lastRenderedPageBreak/>
        <w:t>bones while the entire sample of dental scores</w:t>
      </w:r>
      <w:r w:rsidR="006B141C">
        <w:rPr>
          <w:noProof/>
        </w:rPr>
        <w:t xml:space="preserve"> for this species</w:t>
      </w:r>
      <w:r>
        <w:rPr>
          <w:noProof/>
        </w:rPr>
        <w:t xml:space="preserve"> consisted of 162</w:t>
      </w:r>
      <w:r w:rsidR="00632183">
        <w:rPr>
          <w:noProof/>
        </w:rPr>
        <w:t xml:space="preserve"> individuals</w:t>
      </w:r>
      <w:r>
        <w:rPr>
          <w:noProof/>
        </w:rPr>
        <w:t xml:space="preserve">.  </w:t>
      </w:r>
      <w:r w:rsidR="003F3469">
        <w:rPr>
          <w:noProof/>
        </w:rPr>
        <w:t>Tabl</w:t>
      </w:r>
      <w:r w:rsidR="003F3469" w:rsidRPr="003F3469">
        <w:rPr>
          <w:noProof/>
          <w:color w:val="000000" w:themeColor="text1"/>
        </w:rPr>
        <w:t>e 3.2</w:t>
      </w:r>
      <w:r w:rsidR="003B3E20">
        <w:rPr>
          <w:noProof/>
          <w:color w:val="000000" w:themeColor="text1"/>
        </w:rPr>
        <w:t>7</w:t>
      </w:r>
      <w:r w:rsidRPr="003F3469">
        <w:rPr>
          <w:noProof/>
          <w:color w:val="000000" w:themeColor="text1"/>
        </w:rPr>
        <w:t xml:space="preserve"> provide</w:t>
      </w:r>
      <w:r w:rsidR="00AA36A9">
        <w:rPr>
          <w:noProof/>
          <w:color w:val="000000" w:themeColor="text1"/>
        </w:rPr>
        <w:t>s</w:t>
      </w:r>
      <w:r w:rsidRPr="003F3469">
        <w:rPr>
          <w:noProof/>
          <w:color w:val="000000" w:themeColor="text1"/>
        </w:rPr>
        <w:t xml:space="preserve"> an assessment of the number of complete bones by bone type.</w:t>
      </w:r>
    </w:p>
    <w:p w:rsidR="00361913" w:rsidRPr="003F3469" w:rsidRDefault="00C9288A" w:rsidP="00C9288A">
      <w:pPr>
        <w:pStyle w:val="Caption"/>
      </w:pPr>
      <w:bookmarkStart w:id="197" w:name="_Toc373180139"/>
      <w:proofErr w:type="gramStart"/>
      <w:r w:rsidRPr="00C9288A">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27</w:t>
      </w:r>
      <w:r w:rsidR="008943E4">
        <w:rPr>
          <w:b/>
        </w:rPr>
        <w:fldChar w:fldCharType="end"/>
      </w:r>
      <w:r>
        <w:t xml:space="preserve"> </w:t>
      </w:r>
      <w:r w:rsidR="00361913">
        <w:t>Number of complete bones by bone type</w:t>
      </w:r>
      <w:r w:rsidR="002D2226">
        <w:t>.</w:t>
      </w:r>
      <w:bookmarkEnd w:id="197"/>
    </w:p>
    <w:tbl>
      <w:tblPr>
        <w:tblW w:w="5852" w:type="dxa"/>
        <w:jc w:val="center"/>
        <w:tblInd w:w="93" w:type="dxa"/>
        <w:tblLook w:val="04A0" w:firstRow="1" w:lastRow="0" w:firstColumn="1" w:lastColumn="0" w:noHBand="0" w:noVBand="1"/>
      </w:tblPr>
      <w:tblGrid>
        <w:gridCol w:w="974"/>
        <w:gridCol w:w="1618"/>
        <w:gridCol w:w="873"/>
        <w:gridCol w:w="1138"/>
        <w:gridCol w:w="1249"/>
      </w:tblGrid>
      <w:tr w:rsidR="00102DC5" w:rsidRPr="00102DC5" w:rsidTr="00102DC5">
        <w:trPr>
          <w:trHeight w:val="315"/>
          <w:jc w:val="center"/>
        </w:trPr>
        <w:tc>
          <w:tcPr>
            <w:tcW w:w="5852" w:type="dxa"/>
            <w:gridSpan w:val="5"/>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ascii="Calibri" w:eastAsia="Times New Roman" w:hAnsi="Calibri"/>
                <w:color w:val="000000"/>
                <w:lang w:val="en-GB" w:eastAsia="en-GB"/>
              </w:rPr>
            </w:pPr>
            <w:r w:rsidRPr="00102DC5">
              <w:rPr>
                <w:rFonts w:eastAsia="Times New Roman"/>
                <w:i/>
                <w:iCs/>
                <w:color w:val="000000"/>
                <w:lang w:val="en-GB" w:eastAsia="en-GB"/>
              </w:rPr>
              <w:t>Pan troglodytes</w:t>
            </w:r>
          </w:p>
        </w:tc>
      </w:tr>
      <w:tr w:rsidR="00102DC5" w:rsidRPr="00102DC5" w:rsidTr="00102DC5">
        <w:trPr>
          <w:trHeight w:val="315"/>
          <w:jc w:val="center"/>
        </w:trPr>
        <w:tc>
          <w:tcPr>
            <w:tcW w:w="974"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b</w:t>
            </w:r>
            <w:r w:rsidRPr="00102DC5">
              <w:rPr>
                <w:rFonts w:eastAsia="Times New Roman"/>
                <w:b/>
                <w:bCs/>
                <w:color w:val="000000"/>
                <w:lang w:val="en-GB" w:eastAsia="en-GB"/>
              </w:rPr>
              <w:t>one</w:t>
            </w:r>
          </w:p>
        </w:tc>
        <w:tc>
          <w:tcPr>
            <w:tcW w:w="1618"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e</w:t>
            </w:r>
            <w:r w:rsidRPr="00102DC5">
              <w:rPr>
                <w:rFonts w:eastAsia="Times New Roman"/>
                <w:b/>
                <w:bCs/>
                <w:color w:val="000000"/>
                <w:lang w:val="en-GB" w:eastAsia="en-GB"/>
              </w:rPr>
              <w:t>ntire sample</w:t>
            </w:r>
          </w:p>
        </w:tc>
        <w:tc>
          <w:tcPr>
            <w:tcW w:w="873"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Pr="00102DC5">
              <w:rPr>
                <w:rFonts w:eastAsia="Times New Roman"/>
                <w:b/>
                <w:bCs/>
                <w:color w:val="000000"/>
                <w:lang w:val="en-GB" w:eastAsia="en-GB"/>
              </w:rPr>
              <w:t>ales</w:t>
            </w:r>
          </w:p>
        </w:tc>
        <w:tc>
          <w:tcPr>
            <w:tcW w:w="1138"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Pr="00102DC5">
              <w:rPr>
                <w:rFonts w:eastAsia="Times New Roman"/>
                <w:b/>
                <w:bCs/>
                <w:color w:val="000000"/>
                <w:lang w:val="en-GB" w:eastAsia="en-GB"/>
              </w:rPr>
              <w:t>emales</w:t>
            </w:r>
          </w:p>
        </w:tc>
        <w:tc>
          <w:tcPr>
            <w:tcW w:w="1249"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n</w:t>
            </w:r>
            <w:r w:rsidRPr="00102DC5">
              <w:rPr>
                <w:rFonts w:eastAsia="Times New Roman"/>
                <w:b/>
                <w:bCs/>
                <w:color w:val="000000"/>
                <w:lang w:val="en-GB" w:eastAsia="en-GB"/>
              </w:rPr>
              <w:t>o sex</w:t>
            </w:r>
          </w:p>
        </w:tc>
      </w:tr>
      <w:tr w:rsidR="00102DC5" w:rsidRPr="00102DC5" w:rsidTr="00102DC5">
        <w:trPr>
          <w:trHeight w:val="315"/>
          <w:jc w:val="center"/>
        </w:trPr>
        <w:tc>
          <w:tcPr>
            <w:tcW w:w="974"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humerus</w:t>
            </w:r>
          </w:p>
        </w:tc>
        <w:tc>
          <w:tcPr>
            <w:tcW w:w="1618"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145</w:t>
            </w:r>
          </w:p>
        </w:tc>
        <w:tc>
          <w:tcPr>
            <w:tcW w:w="873"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51</w:t>
            </w:r>
          </w:p>
        </w:tc>
        <w:tc>
          <w:tcPr>
            <w:tcW w:w="1138"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81</w:t>
            </w:r>
          </w:p>
        </w:tc>
        <w:tc>
          <w:tcPr>
            <w:tcW w:w="1249"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13</w:t>
            </w:r>
          </w:p>
        </w:tc>
      </w:tr>
      <w:tr w:rsidR="00102DC5" w:rsidRPr="00102DC5" w:rsidTr="00102DC5">
        <w:trPr>
          <w:trHeight w:val="315"/>
          <w:jc w:val="center"/>
        </w:trPr>
        <w:tc>
          <w:tcPr>
            <w:tcW w:w="974" w:type="dxa"/>
            <w:shd w:val="clear" w:color="000000" w:fill="FFFFFF"/>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radius</w:t>
            </w:r>
          </w:p>
        </w:tc>
        <w:tc>
          <w:tcPr>
            <w:tcW w:w="161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135</w:t>
            </w:r>
          </w:p>
        </w:tc>
        <w:tc>
          <w:tcPr>
            <w:tcW w:w="873"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49</w:t>
            </w:r>
          </w:p>
        </w:tc>
        <w:tc>
          <w:tcPr>
            <w:tcW w:w="113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74</w:t>
            </w:r>
          </w:p>
        </w:tc>
        <w:tc>
          <w:tcPr>
            <w:tcW w:w="1249"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12</w:t>
            </w:r>
          </w:p>
        </w:tc>
      </w:tr>
      <w:tr w:rsidR="00102DC5" w:rsidRPr="00102DC5" w:rsidTr="00102DC5">
        <w:trPr>
          <w:trHeight w:val="315"/>
          <w:jc w:val="center"/>
        </w:trPr>
        <w:tc>
          <w:tcPr>
            <w:tcW w:w="974"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ulna</w:t>
            </w:r>
          </w:p>
        </w:tc>
        <w:tc>
          <w:tcPr>
            <w:tcW w:w="161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88</w:t>
            </w:r>
          </w:p>
        </w:tc>
        <w:tc>
          <w:tcPr>
            <w:tcW w:w="873"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25</w:t>
            </w:r>
          </w:p>
        </w:tc>
        <w:tc>
          <w:tcPr>
            <w:tcW w:w="113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54</w:t>
            </w:r>
          </w:p>
        </w:tc>
        <w:tc>
          <w:tcPr>
            <w:tcW w:w="1249"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9</w:t>
            </w:r>
          </w:p>
        </w:tc>
      </w:tr>
      <w:tr w:rsidR="00102DC5" w:rsidRPr="00102DC5" w:rsidTr="00102DC5">
        <w:trPr>
          <w:trHeight w:val="315"/>
          <w:jc w:val="center"/>
        </w:trPr>
        <w:tc>
          <w:tcPr>
            <w:tcW w:w="974"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femur</w:t>
            </w:r>
          </w:p>
        </w:tc>
        <w:tc>
          <w:tcPr>
            <w:tcW w:w="161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150</w:t>
            </w:r>
          </w:p>
        </w:tc>
        <w:tc>
          <w:tcPr>
            <w:tcW w:w="873"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55</w:t>
            </w:r>
          </w:p>
        </w:tc>
        <w:tc>
          <w:tcPr>
            <w:tcW w:w="113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82</w:t>
            </w:r>
          </w:p>
        </w:tc>
        <w:tc>
          <w:tcPr>
            <w:tcW w:w="1249"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13</w:t>
            </w:r>
          </w:p>
        </w:tc>
      </w:tr>
      <w:tr w:rsidR="00102DC5" w:rsidRPr="00102DC5" w:rsidTr="00102DC5">
        <w:trPr>
          <w:trHeight w:val="315"/>
          <w:jc w:val="center"/>
        </w:trPr>
        <w:tc>
          <w:tcPr>
            <w:tcW w:w="974"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tibia</w:t>
            </w:r>
          </w:p>
        </w:tc>
        <w:tc>
          <w:tcPr>
            <w:tcW w:w="161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147</w:t>
            </w:r>
          </w:p>
        </w:tc>
        <w:tc>
          <w:tcPr>
            <w:tcW w:w="873"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54</w:t>
            </w:r>
          </w:p>
        </w:tc>
        <w:tc>
          <w:tcPr>
            <w:tcW w:w="113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81</w:t>
            </w:r>
          </w:p>
        </w:tc>
        <w:tc>
          <w:tcPr>
            <w:tcW w:w="1249"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12</w:t>
            </w:r>
          </w:p>
        </w:tc>
      </w:tr>
      <w:tr w:rsidR="00102DC5" w:rsidRPr="00102DC5" w:rsidTr="00102DC5">
        <w:trPr>
          <w:trHeight w:val="315"/>
          <w:jc w:val="center"/>
        </w:trPr>
        <w:tc>
          <w:tcPr>
            <w:tcW w:w="974"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fibula</w:t>
            </w:r>
          </w:p>
        </w:tc>
        <w:tc>
          <w:tcPr>
            <w:tcW w:w="1618"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115</w:t>
            </w:r>
          </w:p>
        </w:tc>
        <w:tc>
          <w:tcPr>
            <w:tcW w:w="873"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40</w:t>
            </w:r>
          </w:p>
        </w:tc>
        <w:tc>
          <w:tcPr>
            <w:tcW w:w="1138"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65</w:t>
            </w:r>
          </w:p>
        </w:tc>
        <w:tc>
          <w:tcPr>
            <w:tcW w:w="1249"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10</w:t>
            </w:r>
          </w:p>
        </w:tc>
      </w:tr>
      <w:tr w:rsidR="00102DC5" w:rsidRPr="00102DC5" w:rsidTr="00102DC5">
        <w:trPr>
          <w:trHeight w:val="300"/>
          <w:jc w:val="center"/>
        </w:trPr>
        <w:tc>
          <w:tcPr>
            <w:tcW w:w="5852" w:type="dxa"/>
            <w:gridSpan w:val="5"/>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ascii="Calibri" w:eastAsia="Times New Roman" w:hAnsi="Calibri"/>
                <w:color w:val="000000"/>
                <w:lang w:val="en-GB" w:eastAsia="en-GB"/>
              </w:rPr>
            </w:pPr>
            <w:r w:rsidRPr="00102DC5">
              <w:rPr>
                <w:rFonts w:eastAsia="Times New Roman"/>
                <w:i/>
                <w:iCs/>
                <w:color w:val="000000"/>
                <w:lang w:val="en-GB" w:eastAsia="en-GB"/>
              </w:rPr>
              <w:t>Pan paniscus</w:t>
            </w:r>
          </w:p>
        </w:tc>
      </w:tr>
      <w:tr w:rsidR="00102DC5" w:rsidRPr="00102DC5" w:rsidTr="00102DC5">
        <w:trPr>
          <w:trHeight w:val="315"/>
          <w:jc w:val="center"/>
        </w:trPr>
        <w:tc>
          <w:tcPr>
            <w:tcW w:w="974"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b</w:t>
            </w:r>
            <w:r w:rsidRPr="00102DC5">
              <w:rPr>
                <w:rFonts w:eastAsia="Times New Roman"/>
                <w:b/>
                <w:bCs/>
                <w:color w:val="000000"/>
                <w:lang w:val="en-GB" w:eastAsia="en-GB"/>
              </w:rPr>
              <w:t>one</w:t>
            </w:r>
          </w:p>
        </w:tc>
        <w:tc>
          <w:tcPr>
            <w:tcW w:w="1618"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e</w:t>
            </w:r>
            <w:r w:rsidRPr="00102DC5">
              <w:rPr>
                <w:rFonts w:eastAsia="Times New Roman"/>
                <w:b/>
                <w:bCs/>
                <w:color w:val="000000"/>
                <w:lang w:val="en-GB" w:eastAsia="en-GB"/>
              </w:rPr>
              <w:t>ntire sample</w:t>
            </w:r>
          </w:p>
        </w:tc>
        <w:tc>
          <w:tcPr>
            <w:tcW w:w="873"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Pr="00102DC5">
              <w:rPr>
                <w:rFonts w:eastAsia="Times New Roman"/>
                <w:b/>
                <w:bCs/>
                <w:color w:val="000000"/>
                <w:lang w:val="en-GB" w:eastAsia="en-GB"/>
              </w:rPr>
              <w:t>ales</w:t>
            </w:r>
          </w:p>
        </w:tc>
        <w:tc>
          <w:tcPr>
            <w:tcW w:w="1138"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f</w:t>
            </w:r>
            <w:r w:rsidRPr="00102DC5">
              <w:rPr>
                <w:rFonts w:eastAsia="Times New Roman"/>
                <w:b/>
                <w:bCs/>
                <w:color w:val="000000"/>
                <w:lang w:val="en-GB" w:eastAsia="en-GB"/>
              </w:rPr>
              <w:t>emales</w:t>
            </w:r>
          </w:p>
        </w:tc>
        <w:tc>
          <w:tcPr>
            <w:tcW w:w="1249" w:type="dxa"/>
            <w:tcBorders>
              <w:top w:val="single" w:sz="4" w:space="0" w:color="auto"/>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b/>
                <w:bCs/>
                <w:color w:val="000000"/>
                <w:lang w:val="en-GB" w:eastAsia="en-GB"/>
              </w:rPr>
            </w:pPr>
            <w:r>
              <w:rPr>
                <w:rFonts w:eastAsia="Times New Roman"/>
                <w:b/>
                <w:bCs/>
                <w:color w:val="000000"/>
                <w:lang w:val="en-GB" w:eastAsia="en-GB"/>
              </w:rPr>
              <w:t>n</w:t>
            </w:r>
            <w:r w:rsidRPr="00102DC5">
              <w:rPr>
                <w:rFonts w:eastAsia="Times New Roman"/>
                <w:b/>
                <w:bCs/>
                <w:color w:val="000000"/>
                <w:lang w:val="en-GB" w:eastAsia="en-GB"/>
              </w:rPr>
              <w:t>o sex</w:t>
            </w:r>
          </w:p>
        </w:tc>
      </w:tr>
      <w:tr w:rsidR="00102DC5" w:rsidRPr="00102DC5" w:rsidTr="00102DC5">
        <w:trPr>
          <w:trHeight w:val="315"/>
          <w:jc w:val="center"/>
        </w:trPr>
        <w:tc>
          <w:tcPr>
            <w:tcW w:w="974"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humerus</w:t>
            </w:r>
          </w:p>
        </w:tc>
        <w:tc>
          <w:tcPr>
            <w:tcW w:w="1618"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25</w:t>
            </w:r>
          </w:p>
        </w:tc>
        <w:tc>
          <w:tcPr>
            <w:tcW w:w="873"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14</w:t>
            </w:r>
          </w:p>
        </w:tc>
        <w:tc>
          <w:tcPr>
            <w:tcW w:w="1138"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8</w:t>
            </w:r>
          </w:p>
        </w:tc>
        <w:tc>
          <w:tcPr>
            <w:tcW w:w="1249" w:type="dxa"/>
            <w:tcBorders>
              <w:top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3</w:t>
            </w:r>
          </w:p>
        </w:tc>
      </w:tr>
      <w:tr w:rsidR="00102DC5" w:rsidRPr="00102DC5" w:rsidTr="00102DC5">
        <w:trPr>
          <w:trHeight w:val="315"/>
          <w:jc w:val="center"/>
        </w:trPr>
        <w:tc>
          <w:tcPr>
            <w:tcW w:w="974" w:type="dxa"/>
            <w:shd w:val="clear" w:color="000000" w:fill="FFFFFF"/>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radius</w:t>
            </w:r>
          </w:p>
        </w:tc>
        <w:tc>
          <w:tcPr>
            <w:tcW w:w="161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24</w:t>
            </w:r>
          </w:p>
        </w:tc>
        <w:tc>
          <w:tcPr>
            <w:tcW w:w="873"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12</w:t>
            </w:r>
          </w:p>
        </w:tc>
        <w:tc>
          <w:tcPr>
            <w:tcW w:w="113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9</w:t>
            </w:r>
          </w:p>
        </w:tc>
        <w:tc>
          <w:tcPr>
            <w:tcW w:w="1249"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3</w:t>
            </w:r>
          </w:p>
        </w:tc>
      </w:tr>
      <w:tr w:rsidR="00102DC5" w:rsidRPr="00102DC5" w:rsidTr="00102DC5">
        <w:trPr>
          <w:trHeight w:val="315"/>
          <w:jc w:val="center"/>
        </w:trPr>
        <w:tc>
          <w:tcPr>
            <w:tcW w:w="974"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ulna</w:t>
            </w:r>
          </w:p>
        </w:tc>
        <w:tc>
          <w:tcPr>
            <w:tcW w:w="161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17</w:t>
            </w:r>
          </w:p>
        </w:tc>
        <w:tc>
          <w:tcPr>
            <w:tcW w:w="873"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8</w:t>
            </w:r>
          </w:p>
        </w:tc>
        <w:tc>
          <w:tcPr>
            <w:tcW w:w="113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7</w:t>
            </w:r>
          </w:p>
        </w:tc>
        <w:tc>
          <w:tcPr>
            <w:tcW w:w="1249"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2</w:t>
            </w:r>
          </w:p>
        </w:tc>
      </w:tr>
      <w:tr w:rsidR="00102DC5" w:rsidRPr="00102DC5" w:rsidTr="00102DC5">
        <w:trPr>
          <w:trHeight w:val="315"/>
          <w:jc w:val="center"/>
        </w:trPr>
        <w:tc>
          <w:tcPr>
            <w:tcW w:w="974"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femur</w:t>
            </w:r>
          </w:p>
        </w:tc>
        <w:tc>
          <w:tcPr>
            <w:tcW w:w="161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27</w:t>
            </w:r>
          </w:p>
        </w:tc>
        <w:tc>
          <w:tcPr>
            <w:tcW w:w="873"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14</w:t>
            </w:r>
          </w:p>
        </w:tc>
        <w:tc>
          <w:tcPr>
            <w:tcW w:w="113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10</w:t>
            </w:r>
          </w:p>
        </w:tc>
        <w:tc>
          <w:tcPr>
            <w:tcW w:w="1249"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3</w:t>
            </w:r>
          </w:p>
        </w:tc>
      </w:tr>
      <w:tr w:rsidR="00102DC5" w:rsidRPr="00102DC5" w:rsidTr="00102DC5">
        <w:trPr>
          <w:trHeight w:val="315"/>
          <w:jc w:val="center"/>
        </w:trPr>
        <w:tc>
          <w:tcPr>
            <w:tcW w:w="974"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tibia</w:t>
            </w:r>
          </w:p>
        </w:tc>
        <w:tc>
          <w:tcPr>
            <w:tcW w:w="161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25</w:t>
            </w:r>
          </w:p>
        </w:tc>
        <w:tc>
          <w:tcPr>
            <w:tcW w:w="873"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12</w:t>
            </w:r>
          </w:p>
        </w:tc>
        <w:tc>
          <w:tcPr>
            <w:tcW w:w="1138"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10</w:t>
            </w:r>
          </w:p>
        </w:tc>
        <w:tc>
          <w:tcPr>
            <w:tcW w:w="1249" w:type="dxa"/>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3</w:t>
            </w:r>
          </w:p>
        </w:tc>
      </w:tr>
      <w:tr w:rsidR="00102DC5" w:rsidRPr="00102DC5" w:rsidTr="00102DC5">
        <w:trPr>
          <w:trHeight w:val="315"/>
          <w:jc w:val="center"/>
        </w:trPr>
        <w:tc>
          <w:tcPr>
            <w:tcW w:w="974"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fibula</w:t>
            </w:r>
          </w:p>
        </w:tc>
        <w:tc>
          <w:tcPr>
            <w:tcW w:w="1618"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14</w:t>
            </w:r>
          </w:p>
        </w:tc>
        <w:tc>
          <w:tcPr>
            <w:tcW w:w="873"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7</w:t>
            </w:r>
          </w:p>
        </w:tc>
        <w:tc>
          <w:tcPr>
            <w:tcW w:w="1138"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5</w:t>
            </w:r>
          </w:p>
        </w:tc>
        <w:tc>
          <w:tcPr>
            <w:tcW w:w="1249" w:type="dxa"/>
            <w:tcBorders>
              <w:bottom w:val="single" w:sz="4" w:space="0" w:color="auto"/>
            </w:tcBorders>
            <w:shd w:val="clear" w:color="auto" w:fill="auto"/>
            <w:noWrap/>
            <w:vAlign w:val="center"/>
            <w:hideMark/>
          </w:tcPr>
          <w:p w:rsidR="00102DC5" w:rsidRPr="00102DC5" w:rsidRDefault="00102DC5" w:rsidP="00102DC5">
            <w:pPr>
              <w:spacing w:before="0" w:line="240" w:lineRule="auto"/>
              <w:jc w:val="center"/>
              <w:rPr>
                <w:rFonts w:eastAsia="Times New Roman"/>
                <w:color w:val="000000"/>
                <w:lang w:val="en-GB" w:eastAsia="en-GB"/>
              </w:rPr>
            </w:pPr>
            <w:r w:rsidRPr="00102DC5">
              <w:rPr>
                <w:rFonts w:eastAsia="Times New Roman"/>
                <w:color w:val="000000"/>
                <w:lang w:val="en-GB" w:eastAsia="en-GB"/>
              </w:rPr>
              <w:t>2</w:t>
            </w:r>
          </w:p>
        </w:tc>
      </w:tr>
    </w:tbl>
    <w:p w:rsidR="00361913" w:rsidRDefault="00361913" w:rsidP="003F3469">
      <w:pPr>
        <w:rPr>
          <w:noProof/>
        </w:rPr>
      </w:pPr>
      <w:r>
        <w:rPr>
          <w:noProof/>
        </w:rPr>
        <w:t xml:space="preserve">There is a distinct pattern </w:t>
      </w:r>
      <w:r w:rsidR="006456AE">
        <w:rPr>
          <w:noProof/>
        </w:rPr>
        <w:t>in</w:t>
      </w:r>
      <w:r>
        <w:rPr>
          <w:noProof/>
        </w:rPr>
        <w:t xml:space="preserve"> the frequencies of bone presence and this pattern directly correlates to the size of the epiphyseal plates.  The ulna and the fibula, for example, have relatively smaller epiphyseal plates when compared to the femur and the tibia.  For the humerus, the medial epicondyle is small but does not contribute to length, while the </w:t>
      </w:r>
      <w:r w:rsidR="00650A6C">
        <w:rPr>
          <w:noProof/>
        </w:rPr>
        <w:t>distal humerus</w:t>
      </w:r>
      <w:r>
        <w:rPr>
          <w:noProof/>
        </w:rPr>
        <w:t xml:space="preserve"> fuses earlier than other long-bone epiphyses </w:t>
      </w:r>
      <w:r w:rsidR="000E632F">
        <w:rPr>
          <w:noProof/>
        </w:rPr>
        <w:t>(see section 4.2</w:t>
      </w:r>
      <w:r w:rsidR="007032AC">
        <w:rPr>
          <w:noProof/>
        </w:rPr>
        <w:t>)</w:t>
      </w:r>
      <w:r>
        <w:rPr>
          <w:noProof/>
        </w:rPr>
        <w:t>.  Small epiphyses are more frequently broken or lost and this was noted during data collection.  As a consequence, bones such as the ulna were less frequently represented from y</w:t>
      </w:r>
      <w:r w:rsidR="004E1906">
        <w:rPr>
          <w:noProof/>
        </w:rPr>
        <w:t>ounger i</w:t>
      </w:r>
      <w:r w:rsidR="003F3469">
        <w:rPr>
          <w:noProof/>
        </w:rPr>
        <w:t>ndividuals.  Tables 3.2</w:t>
      </w:r>
      <w:r w:rsidR="003B3E20">
        <w:rPr>
          <w:noProof/>
        </w:rPr>
        <w:t>8</w:t>
      </w:r>
      <w:r>
        <w:rPr>
          <w:noProof/>
        </w:rPr>
        <w:t xml:space="preserve"> and 3.</w:t>
      </w:r>
      <w:r w:rsidR="003F3469">
        <w:rPr>
          <w:noProof/>
        </w:rPr>
        <w:t>2</w:t>
      </w:r>
      <w:r w:rsidR="003B3E20">
        <w:rPr>
          <w:noProof/>
        </w:rPr>
        <w:t>9</w:t>
      </w:r>
      <w:r w:rsidR="00FB702C">
        <w:rPr>
          <w:noProof/>
        </w:rPr>
        <w:t xml:space="preserve"> </w:t>
      </w:r>
      <w:r w:rsidR="008C26BF">
        <w:rPr>
          <w:noProof/>
        </w:rPr>
        <w:t>provide</w:t>
      </w:r>
      <w:r>
        <w:rPr>
          <w:noProof/>
        </w:rPr>
        <w:t xml:space="preserve"> the number of bones present by dental score for </w:t>
      </w:r>
      <w:r w:rsidRPr="00DC3EC6">
        <w:rPr>
          <w:i/>
          <w:noProof/>
        </w:rPr>
        <w:t>Pan paniscus</w:t>
      </w:r>
      <w:r>
        <w:rPr>
          <w:noProof/>
        </w:rPr>
        <w:t xml:space="preserve"> and </w:t>
      </w:r>
      <w:r w:rsidRPr="00DC3EC6">
        <w:rPr>
          <w:i/>
          <w:noProof/>
        </w:rPr>
        <w:t>Pan troglodytes</w:t>
      </w:r>
      <w:r>
        <w:rPr>
          <w:noProof/>
        </w:rPr>
        <w:t>.</w:t>
      </w:r>
    </w:p>
    <w:p w:rsidR="00ED66C0" w:rsidRDefault="00ED66C0" w:rsidP="003F3469">
      <w:pPr>
        <w:rPr>
          <w:noProof/>
        </w:rPr>
      </w:pPr>
      <w:r>
        <w:rPr>
          <w:noProof/>
        </w:rPr>
        <w:t xml:space="preserve">The values for </w:t>
      </w:r>
      <w:r>
        <w:rPr>
          <w:i/>
          <w:noProof/>
        </w:rPr>
        <w:t>Pan paniscus</w:t>
      </w:r>
      <w:r>
        <w:rPr>
          <w:noProof/>
        </w:rPr>
        <w:t xml:space="preserve"> (Table 3.28) show the effects of single individuals within each dental score range and do not provide enough information to make a statement regarding the distribution of presence o</w:t>
      </w:r>
      <w:r w:rsidR="00F308C2">
        <w:rPr>
          <w:noProof/>
        </w:rPr>
        <w:t>f bones.  It does show that it was only males that had</w:t>
      </w:r>
      <w:r>
        <w:rPr>
          <w:noProof/>
        </w:rPr>
        <w:t xml:space="preserve"> potentially sufficient numbers at each dental score range to produce a measure of growth over time/dental maturity. ‘Sufficient’numbers in this instance are the values acceptable for use in linear regression (see section 4.3.2).</w:t>
      </w:r>
    </w:p>
    <w:p w:rsidR="00ED66C0" w:rsidRDefault="00ED66C0">
      <w:pPr>
        <w:spacing w:before="0" w:after="200" w:line="276" w:lineRule="auto"/>
        <w:jc w:val="left"/>
        <w:rPr>
          <w:b/>
          <w:bCs/>
          <w:szCs w:val="18"/>
        </w:rPr>
      </w:pPr>
      <w:r>
        <w:rPr>
          <w:b/>
        </w:rPr>
        <w:br w:type="page"/>
      </w:r>
    </w:p>
    <w:p w:rsidR="00361913" w:rsidRPr="00045B39" w:rsidRDefault="00C9288A" w:rsidP="00C9288A">
      <w:pPr>
        <w:pStyle w:val="Caption"/>
      </w:pPr>
      <w:bookmarkStart w:id="198" w:name="_Toc373180140"/>
      <w:proofErr w:type="gramStart"/>
      <w:r w:rsidRPr="00C9288A">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28</w:t>
      </w:r>
      <w:r w:rsidR="008943E4">
        <w:rPr>
          <w:b/>
        </w:rPr>
        <w:fldChar w:fldCharType="end"/>
      </w:r>
      <w:r w:rsidR="00036EDD">
        <w:rPr>
          <w:b/>
        </w:rPr>
        <w:t xml:space="preserve"> </w:t>
      </w:r>
      <w:r>
        <w:t xml:space="preserve"> </w:t>
      </w:r>
      <w:r w:rsidR="00361913">
        <w:t xml:space="preserve">Number of present bones for each dental stage sorted by sex for </w:t>
      </w:r>
      <w:r w:rsidR="00361913">
        <w:rPr>
          <w:i/>
        </w:rPr>
        <w:t xml:space="preserve">Pan </w:t>
      </w:r>
      <w:proofErr w:type="gramStart"/>
      <w:r w:rsidR="00361913">
        <w:rPr>
          <w:i/>
        </w:rPr>
        <w:t>panicus</w:t>
      </w:r>
      <w:proofErr w:type="gramEnd"/>
      <w:r w:rsidR="002618FD">
        <w:t>.</w:t>
      </w:r>
      <w:bookmarkEnd w:id="198"/>
    </w:p>
    <w:tbl>
      <w:tblPr>
        <w:tblW w:w="8945" w:type="dxa"/>
        <w:tblInd w:w="93" w:type="dxa"/>
        <w:tblLook w:val="04A0" w:firstRow="1" w:lastRow="0" w:firstColumn="1" w:lastColumn="0" w:noHBand="0" w:noVBand="1"/>
      </w:tblPr>
      <w:tblGrid>
        <w:gridCol w:w="1242"/>
        <w:gridCol w:w="1467"/>
        <w:gridCol w:w="1436"/>
        <w:gridCol w:w="960"/>
        <w:gridCol w:w="960"/>
        <w:gridCol w:w="960"/>
        <w:gridCol w:w="960"/>
        <w:gridCol w:w="960"/>
      </w:tblGrid>
      <w:tr w:rsidR="00F623BF" w:rsidRPr="00F623BF" w:rsidTr="00F623BF">
        <w:trPr>
          <w:trHeight w:val="300"/>
        </w:trPr>
        <w:tc>
          <w:tcPr>
            <w:tcW w:w="1242" w:type="dxa"/>
            <w:tcBorders>
              <w:top w:val="single" w:sz="4" w:space="0" w:color="auto"/>
              <w:left w:val="nil"/>
              <w:bottom w:val="single" w:sz="4"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b/>
                <w:color w:val="000000"/>
                <w:lang w:val="en-GB" w:eastAsia="en-GB"/>
              </w:rPr>
            </w:pPr>
            <w:r w:rsidRPr="00F623BF">
              <w:rPr>
                <w:rFonts w:eastAsia="Times New Roman"/>
                <w:b/>
                <w:color w:val="000000"/>
                <w:lang w:val="en-GB" w:eastAsia="en-GB"/>
              </w:rPr>
              <w:t>species/sex</w:t>
            </w:r>
          </w:p>
        </w:tc>
        <w:tc>
          <w:tcPr>
            <w:tcW w:w="1467" w:type="dxa"/>
            <w:tcBorders>
              <w:top w:val="single" w:sz="4" w:space="0" w:color="auto"/>
              <w:left w:val="nil"/>
              <w:bottom w:val="single" w:sz="4"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b/>
                <w:color w:val="000000"/>
                <w:lang w:val="en-GB" w:eastAsia="en-GB"/>
              </w:rPr>
            </w:pPr>
            <w:r w:rsidRPr="00F623BF">
              <w:rPr>
                <w:rFonts w:eastAsia="Times New Roman"/>
                <w:b/>
                <w:color w:val="000000"/>
                <w:lang w:val="en-GB" w:eastAsia="en-GB"/>
              </w:rPr>
              <w:t>dental score</w:t>
            </w:r>
          </w:p>
        </w:tc>
        <w:tc>
          <w:tcPr>
            <w:tcW w:w="1436" w:type="dxa"/>
            <w:tcBorders>
              <w:top w:val="single" w:sz="4" w:space="0" w:color="auto"/>
              <w:left w:val="nil"/>
              <w:bottom w:val="single" w:sz="4"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b/>
                <w:color w:val="000000"/>
                <w:lang w:val="en-GB" w:eastAsia="en-GB"/>
              </w:rPr>
            </w:pPr>
            <w:r w:rsidRPr="00F623BF">
              <w:rPr>
                <w:rFonts w:eastAsia="Times New Roman"/>
                <w:b/>
                <w:color w:val="000000"/>
                <w:lang w:val="en-GB" w:eastAsia="en-GB"/>
              </w:rPr>
              <w:t>humerus</w:t>
            </w:r>
          </w:p>
        </w:tc>
        <w:tc>
          <w:tcPr>
            <w:tcW w:w="960" w:type="dxa"/>
            <w:tcBorders>
              <w:top w:val="single" w:sz="4" w:space="0" w:color="auto"/>
              <w:left w:val="nil"/>
              <w:bottom w:val="single" w:sz="4"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b/>
                <w:color w:val="000000"/>
                <w:lang w:val="en-GB" w:eastAsia="en-GB"/>
              </w:rPr>
            </w:pPr>
            <w:r w:rsidRPr="00F623BF">
              <w:rPr>
                <w:rFonts w:eastAsia="Times New Roman"/>
                <w:b/>
                <w:color w:val="000000"/>
                <w:lang w:val="en-GB" w:eastAsia="en-GB"/>
              </w:rPr>
              <w:t>radius</w:t>
            </w:r>
          </w:p>
        </w:tc>
        <w:tc>
          <w:tcPr>
            <w:tcW w:w="960" w:type="dxa"/>
            <w:tcBorders>
              <w:top w:val="single" w:sz="4" w:space="0" w:color="auto"/>
              <w:left w:val="nil"/>
              <w:bottom w:val="single" w:sz="4"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b/>
                <w:color w:val="000000"/>
                <w:lang w:val="en-GB" w:eastAsia="en-GB"/>
              </w:rPr>
            </w:pPr>
            <w:r w:rsidRPr="00F623BF">
              <w:rPr>
                <w:rFonts w:eastAsia="Times New Roman"/>
                <w:b/>
                <w:color w:val="000000"/>
                <w:lang w:val="en-GB" w:eastAsia="en-GB"/>
              </w:rPr>
              <w:t>ulna</w:t>
            </w:r>
          </w:p>
        </w:tc>
        <w:tc>
          <w:tcPr>
            <w:tcW w:w="960" w:type="dxa"/>
            <w:tcBorders>
              <w:top w:val="single" w:sz="4" w:space="0" w:color="auto"/>
              <w:left w:val="nil"/>
              <w:bottom w:val="single" w:sz="4"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b/>
                <w:color w:val="000000"/>
                <w:lang w:val="en-GB" w:eastAsia="en-GB"/>
              </w:rPr>
            </w:pPr>
            <w:r w:rsidRPr="00F623BF">
              <w:rPr>
                <w:rFonts w:eastAsia="Times New Roman"/>
                <w:b/>
                <w:color w:val="000000"/>
                <w:lang w:val="en-GB" w:eastAsia="en-GB"/>
              </w:rPr>
              <w:t>femur</w:t>
            </w:r>
          </w:p>
        </w:tc>
        <w:tc>
          <w:tcPr>
            <w:tcW w:w="960" w:type="dxa"/>
            <w:tcBorders>
              <w:top w:val="single" w:sz="4" w:space="0" w:color="auto"/>
              <w:left w:val="nil"/>
              <w:bottom w:val="single" w:sz="4"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b/>
                <w:color w:val="000000"/>
                <w:lang w:val="en-GB" w:eastAsia="en-GB"/>
              </w:rPr>
            </w:pPr>
            <w:r w:rsidRPr="00F623BF">
              <w:rPr>
                <w:rFonts w:eastAsia="Times New Roman"/>
                <w:b/>
                <w:color w:val="000000"/>
                <w:lang w:val="en-GB" w:eastAsia="en-GB"/>
              </w:rPr>
              <w:t>tibia</w:t>
            </w:r>
          </w:p>
        </w:tc>
        <w:tc>
          <w:tcPr>
            <w:tcW w:w="960" w:type="dxa"/>
            <w:tcBorders>
              <w:top w:val="single" w:sz="4" w:space="0" w:color="auto"/>
              <w:left w:val="nil"/>
              <w:bottom w:val="single" w:sz="4"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b/>
                <w:color w:val="000000"/>
                <w:lang w:val="en-GB" w:eastAsia="en-GB"/>
              </w:rPr>
            </w:pPr>
            <w:r w:rsidRPr="00F623BF">
              <w:rPr>
                <w:rFonts w:eastAsia="Times New Roman"/>
                <w:b/>
                <w:color w:val="000000"/>
                <w:lang w:val="en-GB" w:eastAsia="en-GB"/>
              </w:rPr>
              <w:t>fibula</w:t>
            </w:r>
          </w:p>
        </w:tc>
      </w:tr>
      <w:tr w:rsidR="00F623BF" w:rsidRPr="00F623BF" w:rsidTr="00F623BF">
        <w:trPr>
          <w:trHeight w:val="300"/>
        </w:trPr>
        <w:tc>
          <w:tcPr>
            <w:tcW w:w="1242" w:type="dxa"/>
            <w:vMerge w:val="restart"/>
            <w:tcBorders>
              <w:top w:val="single" w:sz="4" w:space="0" w:color="auto"/>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i/>
                <w:iCs/>
                <w:color w:val="000000"/>
                <w:lang w:val="en-GB" w:eastAsia="en-GB"/>
              </w:rPr>
            </w:pPr>
            <w:r w:rsidRPr="00F623BF">
              <w:rPr>
                <w:rFonts w:eastAsia="Times New Roman"/>
                <w:i/>
                <w:iCs/>
                <w:color w:val="000000"/>
                <w:lang w:val="en-GB" w:eastAsia="en-GB"/>
              </w:rPr>
              <w:t>Pan paniscus</w:t>
            </w:r>
          </w:p>
          <w:p w:rsidR="00F623BF" w:rsidRPr="00F623BF" w:rsidRDefault="00F623BF" w:rsidP="00F623BF">
            <w:pPr>
              <w:spacing w:before="0" w:line="240" w:lineRule="auto"/>
              <w:jc w:val="center"/>
              <w:rPr>
                <w:rFonts w:eastAsia="Times New Roman"/>
                <w:i/>
                <w:iCs/>
                <w:color w:val="000000"/>
                <w:lang w:val="en-GB" w:eastAsia="en-GB"/>
              </w:rPr>
            </w:pPr>
            <w:r w:rsidRPr="00F623BF">
              <w:rPr>
                <w:rFonts w:eastAsia="Times New Roman"/>
                <w:color w:val="000000"/>
                <w:lang w:val="en-GB" w:eastAsia="en-GB"/>
              </w:rPr>
              <w:t>no sex</w:t>
            </w:r>
          </w:p>
        </w:tc>
        <w:tc>
          <w:tcPr>
            <w:tcW w:w="1467" w:type="dxa"/>
            <w:tcBorders>
              <w:top w:val="single" w:sz="4" w:space="0" w:color="auto"/>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 to 10</w:t>
            </w:r>
          </w:p>
        </w:tc>
        <w:tc>
          <w:tcPr>
            <w:tcW w:w="1436" w:type="dxa"/>
            <w:tcBorders>
              <w:top w:val="single" w:sz="4" w:space="0" w:color="auto"/>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single" w:sz="4" w:space="0" w:color="auto"/>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single" w:sz="4" w:space="0" w:color="auto"/>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single" w:sz="4" w:space="0" w:color="auto"/>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single" w:sz="4" w:space="0" w:color="auto"/>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single" w:sz="4" w:space="0" w:color="auto"/>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11 to 20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21 to 30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31 to 40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41 to 50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51 to 60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15"/>
        </w:trPr>
        <w:tc>
          <w:tcPr>
            <w:tcW w:w="1242" w:type="dxa"/>
            <w:vMerge/>
            <w:tcBorders>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p>
        </w:tc>
        <w:tc>
          <w:tcPr>
            <w:tcW w:w="1467"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61+</w:t>
            </w:r>
          </w:p>
        </w:tc>
        <w:tc>
          <w:tcPr>
            <w:tcW w:w="1436"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val="restart"/>
            <w:tcBorders>
              <w:top w:val="nil"/>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i/>
                <w:iCs/>
                <w:color w:val="000000"/>
                <w:lang w:val="en-GB" w:eastAsia="en-GB"/>
              </w:rPr>
            </w:pPr>
            <w:r w:rsidRPr="00F623BF">
              <w:rPr>
                <w:rFonts w:eastAsia="Times New Roman"/>
                <w:i/>
                <w:iCs/>
                <w:color w:val="000000"/>
                <w:lang w:val="en-GB" w:eastAsia="en-GB"/>
              </w:rPr>
              <w:t>Pan paniscus</w:t>
            </w:r>
          </w:p>
          <w:p w:rsidR="00F623BF" w:rsidRPr="00F623BF" w:rsidRDefault="00F623BF" w:rsidP="00F623BF">
            <w:pPr>
              <w:spacing w:before="0" w:line="240" w:lineRule="auto"/>
              <w:jc w:val="center"/>
              <w:rPr>
                <w:rFonts w:eastAsia="Times New Roman"/>
                <w:i/>
                <w:iCs/>
                <w:color w:val="000000"/>
                <w:lang w:val="en-GB" w:eastAsia="en-GB"/>
              </w:rPr>
            </w:pPr>
            <w:r w:rsidRPr="00F623BF">
              <w:rPr>
                <w:rFonts w:eastAsia="Times New Roman"/>
                <w:color w:val="000000"/>
                <w:lang w:val="en-GB" w:eastAsia="en-GB"/>
              </w:rPr>
              <w:t>females</w:t>
            </w: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 to 10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11 to 20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21 to 30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31 to 40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41 to 50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15"/>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51 to 60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r>
      <w:tr w:rsidR="00F623BF" w:rsidRPr="00F623BF" w:rsidTr="00101840">
        <w:trPr>
          <w:trHeight w:val="315"/>
        </w:trPr>
        <w:tc>
          <w:tcPr>
            <w:tcW w:w="1242" w:type="dxa"/>
            <w:vMerge/>
            <w:tcBorders>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p>
        </w:tc>
        <w:tc>
          <w:tcPr>
            <w:tcW w:w="1467"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61+</w:t>
            </w:r>
          </w:p>
        </w:tc>
        <w:tc>
          <w:tcPr>
            <w:tcW w:w="1436"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5</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5</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5</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5</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r>
      <w:tr w:rsidR="00F623BF" w:rsidRPr="00F623BF" w:rsidTr="00101840">
        <w:trPr>
          <w:trHeight w:val="300"/>
        </w:trPr>
        <w:tc>
          <w:tcPr>
            <w:tcW w:w="1242" w:type="dxa"/>
            <w:vMerge w:val="restart"/>
            <w:tcBorders>
              <w:top w:val="nil"/>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i/>
                <w:iCs/>
                <w:color w:val="000000"/>
                <w:lang w:val="en-GB" w:eastAsia="en-GB"/>
              </w:rPr>
            </w:pPr>
            <w:r w:rsidRPr="00F623BF">
              <w:rPr>
                <w:rFonts w:eastAsia="Times New Roman"/>
                <w:i/>
                <w:iCs/>
                <w:color w:val="000000"/>
                <w:lang w:val="en-GB" w:eastAsia="en-GB"/>
              </w:rPr>
              <w:t>Pan paniscus</w:t>
            </w:r>
          </w:p>
          <w:p w:rsidR="00F623BF" w:rsidRPr="00F623BF" w:rsidRDefault="00F623BF" w:rsidP="00F623BF">
            <w:pPr>
              <w:spacing w:before="0" w:line="240" w:lineRule="auto"/>
              <w:jc w:val="center"/>
              <w:rPr>
                <w:rFonts w:eastAsia="Times New Roman"/>
                <w:i/>
                <w:iCs/>
                <w:color w:val="000000"/>
                <w:lang w:val="en-GB" w:eastAsia="en-GB"/>
              </w:rPr>
            </w:pPr>
            <w:r w:rsidRPr="00F623BF">
              <w:rPr>
                <w:rFonts w:eastAsia="Times New Roman"/>
                <w:color w:val="000000"/>
                <w:lang w:val="en-GB" w:eastAsia="en-GB"/>
              </w:rPr>
              <w:t>males</w:t>
            </w: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 to 10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15"/>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11 to 20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21 to 30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r>
      <w:tr w:rsidR="00F623BF" w:rsidRPr="00F623BF" w:rsidTr="00101840">
        <w:trPr>
          <w:trHeight w:val="315"/>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31 to 40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00"/>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41 to 50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2</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1</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0</w:t>
            </w:r>
          </w:p>
        </w:tc>
      </w:tr>
      <w:tr w:rsidR="00F623BF" w:rsidRPr="00F623BF" w:rsidTr="00101840">
        <w:trPr>
          <w:trHeight w:val="315"/>
        </w:trPr>
        <w:tc>
          <w:tcPr>
            <w:tcW w:w="1242" w:type="dxa"/>
            <w:vMerge/>
            <w:tcBorders>
              <w:left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FF0000"/>
                <w:lang w:val="en-GB" w:eastAsia="en-GB"/>
              </w:rPr>
            </w:pPr>
          </w:p>
        </w:tc>
        <w:tc>
          <w:tcPr>
            <w:tcW w:w="1467"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51 to 60</w:t>
            </w:r>
          </w:p>
        </w:tc>
        <w:tc>
          <w:tcPr>
            <w:tcW w:w="1436"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w:t>
            </w:r>
          </w:p>
        </w:tc>
        <w:tc>
          <w:tcPr>
            <w:tcW w:w="960" w:type="dxa"/>
            <w:tcBorders>
              <w:top w:val="nil"/>
              <w:left w:val="nil"/>
              <w:bottom w:val="nil"/>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r>
      <w:tr w:rsidR="00F623BF" w:rsidRPr="00F623BF" w:rsidTr="00101840">
        <w:trPr>
          <w:trHeight w:val="315"/>
        </w:trPr>
        <w:tc>
          <w:tcPr>
            <w:tcW w:w="1242" w:type="dxa"/>
            <w:vMerge/>
            <w:tcBorders>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p>
        </w:tc>
        <w:tc>
          <w:tcPr>
            <w:tcW w:w="1467"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61+</w:t>
            </w:r>
          </w:p>
        </w:tc>
        <w:tc>
          <w:tcPr>
            <w:tcW w:w="1436"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4</w:t>
            </w:r>
          </w:p>
        </w:tc>
        <w:tc>
          <w:tcPr>
            <w:tcW w:w="960" w:type="dxa"/>
            <w:tcBorders>
              <w:top w:val="nil"/>
              <w:left w:val="nil"/>
              <w:bottom w:val="single" w:sz="8" w:space="0" w:color="auto"/>
              <w:right w:val="nil"/>
            </w:tcBorders>
            <w:shd w:val="clear" w:color="auto" w:fill="auto"/>
            <w:noWrap/>
            <w:vAlign w:val="center"/>
            <w:hideMark/>
          </w:tcPr>
          <w:p w:rsidR="00F623BF" w:rsidRPr="00F623BF" w:rsidRDefault="00F623BF" w:rsidP="00F623BF">
            <w:pPr>
              <w:spacing w:before="0" w:line="240" w:lineRule="auto"/>
              <w:jc w:val="center"/>
              <w:rPr>
                <w:rFonts w:eastAsia="Times New Roman"/>
                <w:color w:val="000000"/>
                <w:lang w:val="en-GB" w:eastAsia="en-GB"/>
              </w:rPr>
            </w:pPr>
            <w:r w:rsidRPr="00F623BF">
              <w:rPr>
                <w:rFonts w:eastAsia="Times New Roman"/>
                <w:color w:val="000000"/>
                <w:lang w:val="en-GB" w:eastAsia="en-GB"/>
              </w:rPr>
              <w:t>3</w:t>
            </w:r>
          </w:p>
        </w:tc>
      </w:tr>
    </w:tbl>
    <w:p w:rsidR="007561C8" w:rsidRDefault="00381B65" w:rsidP="007561C8">
      <w:pPr>
        <w:rPr>
          <w:noProof/>
        </w:rPr>
      </w:pPr>
      <w:r>
        <w:rPr>
          <w:noProof/>
        </w:rPr>
        <w:t>The presence of bones</w:t>
      </w:r>
      <w:r w:rsidR="00467582">
        <w:rPr>
          <w:noProof/>
        </w:rPr>
        <w:t xml:space="preserve"> in the sample</w:t>
      </w:r>
      <w:r>
        <w:rPr>
          <w:noProof/>
        </w:rPr>
        <w:t xml:space="preserve"> for </w:t>
      </w:r>
      <w:r w:rsidRPr="00700FAE">
        <w:rPr>
          <w:i/>
          <w:noProof/>
        </w:rPr>
        <w:t>Pan troglodytes</w:t>
      </w:r>
      <w:r>
        <w:rPr>
          <w:noProof/>
        </w:rPr>
        <w:t xml:space="preserve"> over the full range of dental scores is more complete than</w:t>
      </w:r>
      <w:r w:rsidR="00467582">
        <w:rPr>
          <w:noProof/>
        </w:rPr>
        <w:t xml:space="preserve"> that foud in</w:t>
      </w:r>
      <w:r>
        <w:rPr>
          <w:noProof/>
        </w:rPr>
        <w:t xml:space="preserve"> the </w:t>
      </w:r>
      <w:r>
        <w:rPr>
          <w:i/>
          <w:noProof/>
        </w:rPr>
        <w:t xml:space="preserve">Pan paniscus </w:t>
      </w:r>
      <w:r>
        <w:rPr>
          <w:noProof/>
        </w:rPr>
        <w:t xml:space="preserve">sample.  The data in Table 3.29 indicate that the numbers of bones for each bone type very closely follow each other as a proportion of the sample population and are consistent with the summary scores for all bones shown in Table 3.27.  Female </w:t>
      </w:r>
      <w:r>
        <w:rPr>
          <w:i/>
          <w:noProof/>
        </w:rPr>
        <w:t xml:space="preserve">Pan </w:t>
      </w:r>
      <w:r w:rsidRPr="0033034E">
        <w:rPr>
          <w:i/>
          <w:noProof/>
        </w:rPr>
        <w:t>troglodytes</w:t>
      </w:r>
      <w:r>
        <w:rPr>
          <w:noProof/>
        </w:rPr>
        <w:t xml:space="preserve"> individuals in the category </w:t>
      </w:r>
      <w:r w:rsidR="00FE12CB">
        <w:rPr>
          <w:noProof/>
        </w:rPr>
        <w:t>‘</w:t>
      </w:r>
      <w:r>
        <w:rPr>
          <w:noProof/>
        </w:rPr>
        <w:t>61+</w:t>
      </w:r>
      <w:r w:rsidR="00FE12CB">
        <w:rPr>
          <w:noProof/>
        </w:rPr>
        <w:t>’</w:t>
      </w:r>
      <w:r>
        <w:rPr>
          <w:noProof/>
        </w:rPr>
        <w:t xml:space="preserve"> are proportionately more num</w:t>
      </w:r>
      <w:r w:rsidR="000B0E7A">
        <w:rPr>
          <w:noProof/>
        </w:rPr>
        <w:t>erous when compared to males in this</w:t>
      </w:r>
      <w:r>
        <w:rPr>
          <w:noProof/>
        </w:rPr>
        <w:t xml:space="preserve"> category for all bones.  Aside from this anomalous category where there clearly exists an excess of older females, males and females closely resemble each other in terms of bone presence by dental category for all bones.  Even though they are substantially skewed towards older individuals, the numbers for all long bones cover a wide enough range of dental scores that it is likely that growth curves may be produced using regression techniques for males and females.  The unsexed individuals are more problematic in terms of number.  However, the only use for regression of unsexed individuals would be in the context of a pooled sample of males, females, and unsexed, representing both sexes.</w:t>
      </w:r>
      <w:r w:rsidR="007561C8">
        <w:rPr>
          <w:noProof/>
        </w:rPr>
        <w:br w:type="page"/>
      </w:r>
    </w:p>
    <w:p w:rsidR="00361913" w:rsidRPr="00045B39" w:rsidRDefault="00C9288A" w:rsidP="00C9288A">
      <w:pPr>
        <w:pStyle w:val="Caption"/>
        <w:keepNext/>
        <w:jc w:val="left"/>
      </w:pPr>
      <w:bookmarkStart w:id="199" w:name="_Toc373180141"/>
      <w:proofErr w:type="gramStart"/>
      <w:r w:rsidRPr="00C9288A">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29</w:t>
      </w:r>
      <w:r w:rsidR="008943E4">
        <w:rPr>
          <w:b/>
        </w:rPr>
        <w:fldChar w:fldCharType="end"/>
      </w:r>
      <w:r w:rsidR="00361913">
        <w:t xml:space="preserve"> </w:t>
      </w:r>
      <w:r w:rsidR="00036EDD">
        <w:t xml:space="preserve"> </w:t>
      </w:r>
      <w:r w:rsidR="00361913">
        <w:t xml:space="preserve">Number of present bones for each dental stage sorted by sex for </w:t>
      </w:r>
      <w:r w:rsidR="00361913">
        <w:rPr>
          <w:i/>
        </w:rPr>
        <w:t xml:space="preserve">Pan </w:t>
      </w:r>
      <w:proofErr w:type="gramStart"/>
      <w:r w:rsidR="00361913">
        <w:rPr>
          <w:i/>
        </w:rPr>
        <w:t>troglodytes</w:t>
      </w:r>
      <w:proofErr w:type="gramEnd"/>
      <w:r w:rsidR="00814901">
        <w:t>.</w:t>
      </w:r>
      <w:bookmarkEnd w:id="199"/>
    </w:p>
    <w:tbl>
      <w:tblPr>
        <w:tblW w:w="9796" w:type="dxa"/>
        <w:tblInd w:w="93" w:type="dxa"/>
        <w:tblBorders>
          <w:top w:val="single" w:sz="4" w:space="0" w:color="auto"/>
          <w:bottom w:val="single" w:sz="4" w:space="0" w:color="auto"/>
        </w:tblBorders>
        <w:tblLook w:val="04A0" w:firstRow="1" w:lastRow="0" w:firstColumn="1" w:lastColumn="0" w:noHBand="0" w:noVBand="1"/>
      </w:tblPr>
      <w:tblGrid>
        <w:gridCol w:w="1903"/>
        <w:gridCol w:w="1514"/>
        <w:gridCol w:w="1219"/>
        <w:gridCol w:w="1002"/>
        <w:gridCol w:w="1085"/>
        <w:gridCol w:w="974"/>
        <w:gridCol w:w="1146"/>
        <w:gridCol w:w="953"/>
      </w:tblGrid>
      <w:tr w:rsidR="00361913" w:rsidRPr="00D16B2D" w:rsidTr="00CA5FBB">
        <w:trPr>
          <w:trHeight w:val="330"/>
        </w:trPr>
        <w:tc>
          <w:tcPr>
            <w:tcW w:w="1903" w:type="dxa"/>
            <w:tcBorders>
              <w:top w:val="single" w:sz="4" w:space="0" w:color="auto"/>
              <w:bottom w:val="single" w:sz="4" w:space="0" w:color="auto"/>
            </w:tcBorders>
            <w:shd w:val="clear" w:color="auto" w:fill="auto"/>
            <w:noWrap/>
            <w:vAlign w:val="center"/>
            <w:hideMark/>
          </w:tcPr>
          <w:p w:rsidR="00361913" w:rsidRPr="00CA5FBB" w:rsidRDefault="003B6962" w:rsidP="000B5E51">
            <w:pPr>
              <w:spacing w:before="0" w:line="240" w:lineRule="auto"/>
              <w:jc w:val="center"/>
              <w:rPr>
                <w:b/>
                <w:lang w:val="en-GB" w:eastAsia="en-GB"/>
              </w:rPr>
            </w:pPr>
            <w:r>
              <w:rPr>
                <w:b/>
                <w:lang w:val="en-GB" w:eastAsia="en-GB"/>
              </w:rPr>
              <w:t>s</w:t>
            </w:r>
            <w:r w:rsidR="008943E4" w:rsidRPr="00CA5FBB">
              <w:rPr>
                <w:b/>
                <w:lang w:val="en-GB" w:eastAsia="en-GB"/>
              </w:rPr>
              <w:t>pecies/sex</w:t>
            </w:r>
          </w:p>
        </w:tc>
        <w:tc>
          <w:tcPr>
            <w:tcW w:w="1514" w:type="dxa"/>
            <w:tcBorders>
              <w:top w:val="single" w:sz="4" w:space="0" w:color="auto"/>
              <w:bottom w:val="single" w:sz="4" w:space="0" w:color="auto"/>
            </w:tcBorders>
            <w:shd w:val="clear" w:color="auto" w:fill="auto"/>
            <w:noWrap/>
            <w:vAlign w:val="center"/>
            <w:hideMark/>
          </w:tcPr>
          <w:p w:rsidR="00361913" w:rsidRPr="00CA5FBB" w:rsidRDefault="003B6962" w:rsidP="000B5E51">
            <w:pPr>
              <w:spacing w:before="0" w:line="240" w:lineRule="auto"/>
              <w:jc w:val="center"/>
              <w:rPr>
                <w:b/>
                <w:lang w:val="en-GB" w:eastAsia="en-GB"/>
              </w:rPr>
            </w:pPr>
            <w:r>
              <w:rPr>
                <w:b/>
                <w:lang w:val="en-GB" w:eastAsia="en-GB"/>
              </w:rPr>
              <w:t>d</w:t>
            </w:r>
            <w:r w:rsidR="008943E4" w:rsidRPr="00CA5FBB">
              <w:rPr>
                <w:b/>
                <w:lang w:val="en-GB" w:eastAsia="en-GB"/>
              </w:rPr>
              <w:t>ental score</w:t>
            </w:r>
          </w:p>
        </w:tc>
        <w:tc>
          <w:tcPr>
            <w:tcW w:w="1219" w:type="dxa"/>
            <w:tcBorders>
              <w:top w:val="single" w:sz="4" w:space="0" w:color="auto"/>
              <w:bottom w:val="single" w:sz="4" w:space="0" w:color="auto"/>
            </w:tcBorders>
            <w:shd w:val="clear" w:color="auto" w:fill="auto"/>
            <w:noWrap/>
            <w:vAlign w:val="center"/>
            <w:hideMark/>
          </w:tcPr>
          <w:p w:rsidR="00361913" w:rsidRPr="00CA5FBB" w:rsidRDefault="003B6962" w:rsidP="000B5E51">
            <w:pPr>
              <w:spacing w:before="0" w:line="240" w:lineRule="auto"/>
              <w:jc w:val="center"/>
              <w:rPr>
                <w:b/>
                <w:lang w:val="en-GB" w:eastAsia="en-GB"/>
              </w:rPr>
            </w:pPr>
            <w:r>
              <w:rPr>
                <w:b/>
                <w:lang w:val="en-GB" w:eastAsia="en-GB"/>
              </w:rPr>
              <w:t>h</w:t>
            </w:r>
            <w:r w:rsidR="008943E4" w:rsidRPr="00CA5FBB">
              <w:rPr>
                <w:b/>
                <w:lang w:val="en-GB" w:eastAsia="en-GB"/>
              </w:rPr>
              <w:t>umerus</w:t>
            </w:r>
          </w:p>
        </w:tc>
        <w:tc>
          <w:tcPr>
            <w:tcW w:w="1002" w:type="dxa"/>
            <w:tcBorders>
              <w:top w:val="single" w:sz="4" w:space="0" w:color="auto"/>
              <w:bottom w:val="single" w:sz="4" w:space="0" w:color="auto"/>
            </w:tcBorders>
            <w:shd w:val="clear" w:color="000000" w:fill="FFFFFF"/>
            <w:noWrap/>
            <w:vAlign w:val="center"/>
            <w:hideMark/>
          </w:tcPr>
          <w:p w:rsidR="00361913" w:rsidRPr="00CA5FBB" w:rsidRDefault="003B6962" w:rsidP="000B5E51">
            <w:pPr>
              <w:spacing w:before="0" w:line="240" w:lineRule="auto"/>
              <w:jc w:val="center"/>
              <w:rPr>
                <w:b/>
                <w:lang w:val="en-GB" w:eastAsia="en-GB"/>
              </w:rPr>
            </w:pPr>
            <w:r>
              <w:rPr>
                <w:b/>
                <w:lang w:val="en-GB" w:eastAsia="en-GB"/>
              </w:rPr>
              <w:t>r</w:t>
            </w:r>
            <w:r w:rsidR="008943E4" w:rsidRPr="00CA5FBB">
              <w:rPr>
                <w:b/>
                <w:lang w:val="en-GB" w:eastAsia="en-GB"/>
              </w:rPr>
              <w:t>adius</w:t>
            </w:r>
          </w:p>
        </w:tc>
        <w:tc>
          <w:tcPr>
            <w:tcW w:w="1085" w:type="dxa"/>
            <w:tcBorders>
              <w:top w:val="single" w:sz="4" w:space="0" w:color="auto"/>
              <w:bottom w:val="single" w:sz="4" w:space="0" w:color="auto"/>
            </w:tcBorders>
            <w:shd w:val="clear" w:color="auto" w:fill="auto"/>
            <w:noWrap/>
            <w:vAlign w:val="center"/>
            <w:hideMark/>
          </w:tcPr>
          <w:p w:rsidR="00361913" w:rsidRPr="00CA5FBB" w:rsidRDefault="003B6962" w:rsidP="000B5E51">
            <w:pPr>
              <w:spacing w:before="0" w:line="240" w:lineRule="auto"/>
              <w:jc w:val="center"/>
              <w:rPr>
                <w:b/>
                <w:lang w:val="en-GB" w:eastAsia="en-GB"/>
              </w:rPr>
            </w:pPr>
            <w:r>
              <w:rPr>
                <w:b/>
                <w:lang w:val="en-GB" w:eastAsia="en-GB"/>
              </w:rPr>
              <w:t>u</w:t>
            </w:r>
            <w:r w:rsidR="008943E4" w:rsidRPr="00CA5FBB">
              <w:rPr>
                <w:b/>
                <w:lang w:val="en-GB" w:eastAsia="en-GB"/>
              </w:rPr>
              <w:t>lna</w:t>
            </w:r>
          </w:p>
        </w:tc>
        <w:tc>
          <w:tcPr>
            <w:tcW w:w="974" w:type="dxa"/>
            <w:tcBorders>
              <w:top w:val="single" w:sz="4" w:space="0" w:color="auto"/>
              <w:bottom w:val="single" w:sz="4" w:space="0" w:color="auto"/>
            </w:tcBorders>
            <w:shd w:val="clear" w:color="auto" w:fill="auto"/>
            <w:noWrap/>
            <w:vAlign w:val="center"/>
            <w:hideMark/>
          </w:tcPr>
          <w:p w:rsidR="00361913" w:rsidRPr="00CA5FBB" w:rsidRDefault="003B6962" w:rsidP="000B5E51">
            <w:pPr>
              <w:spacing w:before="0" w:line="240" w:lineRule="auto"/>
              <w:jc w:val="center"/>
              <w:rPr>
                <w:b/>
                <w:lang w:val="en-GB" w:eastAsia="en-GB"/>
              </w:rPr>
            </w:pPr>
            <w:r>
              <w:rPr>
                <w:b/>
                <w:lang w:val="en-GB" w:eastAsia="en-GB"/>
              </w:rPr>
              <w:t>f</w:t>
            </w:r>
            <w:r w:rsidR="008943E4" w:rsidRPr="00CA5FBB">
              <w:rPr>
                <w:b/>
                <w:lang w:val="en-GB" w:eastAsia="en-GB"/>
              </w:rPr>
              <w:t>emur</w:t>
            </w:r>
          </w:p>
        </w:tc>
        <w:tc>
          <w:tcPr>
            <w:tcW w:w="1146" w:type="dxa"/>
            <w:tcBorders>
              <w:top w:val="single" w:sz="4" w:space="0" w:color="auto"/>
              <w:bottom w:val="single" w:sz="4" w:space="0" w:color="auto"/>
            </w:tcBorders>
            <w:shd w:val="clear" w:color="auto" w:fill="auto"/>
            <w:noWrap/>
            <w:vAlign w:val="center"/>
            <w:hideMark/>
          </w:tcPr>
          <w:p w:rsidR="00361913" w:rsidRPr="00CA5FBB" w:rsidRDefault="003B6962" w:rsidP="000B5E51">
            <w:pPr>
              <w:spacing w:before="0" w:line="240" w:lineRule="auto"/>
              <w:jc w:val="center"/>
              <w:rPr>
                <w:b/>
                <w:lang w:val="en-GB" w:eastAsia="en-GB"/>
              </w:rPr>
            </w:pPr>
            <w:r>
              <w:rPr>
                <w:b/>
                <w:lang w:val="en-GB" w:eastAsia="en-GB"/>
              </w:rPr>
              <w:t>t</w:t>
            </w:r>
            <w:r w:rsidR="008943E4" w:rsidRPr="00CA5FBB">
              <w:rPr>
                <w:b/>
                <w:lang w:val="en-GB" w:eastAsia="en-GB"/>
              </w:rPr>
              <w:t>ibia</w:t>
            </w:r>
          </w:p>
        </w:tc>
        <w:tc>
          <w:tcPr>
            <w:tcW w:w="953" w:type="dxa"/>
            <w:tcBorders>
              <w:top w:val="single" w:sz="4" w:space="0" w:color="auto"/>
              <w:bottom w:val="single" w:sz="4" w:space="0" w:color="auto"/>
            </w:tcBorders>
            <w:shd w:val="clear" w:color="auto" w:fill="auto"/>
            <w:noWrap/>
            <w:vAlign w:val="center"/>
            <w:hideMark/>
          </w:tcPr>
          <w:p w:rsidR="00361913" w:rsidRPr="00CA5FBB" w:rsidRDefault="003B6962" w:rsidP="000B5E51">
            <w:pPr>
              <w:spacing w:before="0" w:line="240" w:lineRule="auto"/>
              <w:jc w:val="center"/>
              <w:rPr>
                <w:b/>
                <w:lang w:val="en-GB" w:eastAsia="en-GB"/>
              </w:rPr>
            </w:pPr>
            <w:r>
              <w:rPr>
                <w:b/>
                <w:lang w:val="en-GB" w:eastAsia="en-GB"/>
              </w:rPr>
              <w:t>f</w:t>
            </w:r>
            <w:r w:rsidR="008943E4" w:rsidRPr="00CA5FBB">
              <w:rPr>
                <w:b/>
                <w:lang w:val="en-GB" w:eastAsia="en-GB"/>
              </w:rPr>
              <w:t>ibula</w:t>
            </w:r>
          </w:p>
        </w:tc>
      </w:tr>
      <w:tr w:rsidR="00946F95" w:rsidRPr="00D16B2D" w:rsidTr="00CA5FBB">
        <w:trPr>
          <w:trHeight w:val="315"/>
        </w:trPr>
        <w:tc>
          <w:tcPr>
            <w:tcW w:w="1903" w:type="dxa"/>
            <w:vMerge w:val="restart"/>
            <w:tcBorders>
              <w:top w:val="single" w:sz="4" w:space="0" w:color="auto"/>
              <w:bottom w:val="nil"/>
            </w:tcBorders>
            <w:shd w:val="clear" w:color="auto" w:fill="auto"/>
            <w:noWrap/>
            <w:vAlign w:val="center"/>
            <w:hideMark/>
          </w:tcPr>
          <w:p w:rsidR="00A35CA0" w:rsidRDefault="00946F95" w:rsidP="00CA5FBB">
            <w:pPr>
              <w:spacing w:before="0" w:line="240" w:lineRule="auto"/>
              <w:jc w:val="center"/>
              <w:rPr>
                <w:rFonts w:eastAsia="Times New Roman"/>
                <w:i/>
                <w:iCs/>
                <w:color w:val="000000"/>
                <w:lang w:val="en-GB" w:eastAsia="en-GB"/>
              </w:rPr>
            </w:pPr>
            <w:r w:rsidRPr="00D16B2D">
              <w:rPr>
                <w:rFonts w:eastAsia="Times New Roman"/>
                <w:i/>
                <w:iCs/>
                <w:color w:val="000000"/>
                <w:lang w:val="en-GB" w:eastAsia="en-GB"/>
              </w:rPr>
              <w:t>Pan troglodytes</w:t>
            </w:r>
          </w:p>
          <w:p w:rsidR="00A35CA0" w:rsidRDefault="00946F95" w:rsidP="00CA5FBB">
            <w:pPr>
              <w:spacing w:before="0" w:afterAutospacing="1" w:line="240" w:lineRule="auto"/>
              <w:jc w:val="center"/>
              <w:rPr>
                <w:rFonts w:eastAsia="Times New Roman"/>
                <w:i/>
                <w:iCs/>
                <w:color w:val="000000"/>
                <w:lang w:val="en-GB" w:eastAsia="en-GB"/>
              </w:rPr>
            </w:pPr>
            <w:r w:rsidRPr="00325E61">
              <w:rPr>
                <w:rFonts w:eastAsia="Times New Roman"/>
                <w:color w:val="000000"/>
                <w:lang w:val="en-GB" w:eastAsia="en-GB"/>
              </w:rPr>
              <w:t>no sex</w:t>
            </w:r>
          </w:p>
        </w:tc>
        <w:tc>
          <w:tcPr>
            <w:tcW w:w="1514" w:type="dxa"/>
            <w:tcBorders>
              <w:top w:val="single" w:sz="4" w:space="0" w:color="auto"/>
              <w:bottom w:val="nil"/>
            </w:tcBorders>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0 to 10</w:t>
            </w:r>
          </w:p>
        </w:tc>
        <w:tc>
          <w:tcPr>
            <w:tcW w:w="1219" w:type="dxa"/>
            <w:tcBorders>
              <w:top w:val="single" w:sz="4" w:space="0" w:color="auto"/>
              <w:bottom w:val="nil"/>
            </w:tcBorders>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002" w:type="dxa"/>
            <w:tcBorders>
              <w:top w:val="single" w:sz="4" w:space="0" w:color="auto"/>
              <w:bottom w:val="nil"/>
            </w:tcBorders>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1085" w:type="dxa"/>
            <w:tcBorders>
              <w:top w:val="single" w:sz="4" w:space="0" w:color="auto"/>
              <w:bottom w:val="nil"/>
            </w:tcBorders>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74" w:type="dxa"/>
            <w:tcBorders>
              <w:top w:val="single" w:sz="4" w:space="0" w:color="auto"/>
              <w:bottom w:val="nil"/>
            </w:tcBorders>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146" w:type="dxa"/>
            <w:tcBorders>
              <w:top w:val="single" w:sz="4" w:space="0" w:color="auto"/>
              <w:bottom w:val="nil"/>
            </w:tcBorders>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953" w:type="dxa"/>
            <w:tcBorders>
              <w:top w:val="single" w:sz="4" w:space="0" w:color="auto"/>
              <w:bottom w:val="nil"/>
            </w:tcBorders>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r>
      <w:tr w:rsidR="00946F95" w:rsidRPr="00504647" w:rsidTr="00CA5FBB">
        <w:trPr>
          <w:trHeight w:val="315"/>
        </w:trPr>
        <w:tc>
          <w:tcPr>
            <w:tcW w:w="1903" w:type="dxa"/>
            <w:vMerge/>
            <w:tcBorders>
              <w:top w:val="nil"/>
              <w:bottom w:val="nil"/>
            </w:tcBorders>
            <w:shd w:val="clear" w:color="auto" w:fill="auto"/>
            <w:noWrap/>
            <w:vAlign w:val="bottom"/>
            <w:hideMark/>
          </w:tcPr>
          <w:p w:rsidR="00946F95" w:rsidRPr="00325E61" w:rsidRDefault="00946F95" w:rsidP="00045B39">
            <w:pPr>
              <w:spacing w:before="0" w:line="240" w:lineRule="auto"/>
              <w:rPr>
                <w:rFonts w:eastAsia="Times New Roman"/>
                <w:color w:val="000000"/>
                <w:lang w:val="en-GB" w:eastAsia="en-GB"/>
              </w:rPr>
            </w:pPr>
          </w:p>
        </w:tc>
        <w:tc>
          <w:tcPr>
            <w:tcW w:w="1514"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11 to 20</w:t>
            </w:r>
          </w:p>
        </w:tc>
        <w:tc>
          <w:tcPr>
            <w:tcW w:w="1219"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3</w:t>
            </w:r>
          </w:p>
        </w:tc>
        <w:tc>
          <w:tcPr>
            <w:tcW w:w="1002"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2</w:t>
            </w:r>
          </w:p>
        </w:tc>
        <w:tc>
          <w:tcPr>
            <w:tcW w:w="1085"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1</w:t>
            </w:r>
          </w:p>
        </w:tc>
        <w:tc>
          <w:tcPr>
            <w:tcW w:w="974"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1</w:t>
            </w:r>
          </w:p>
        </w:tc>
        <w:tc>
          <w:tcPr>
            <w:tcW w:w="1146"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2</w:t>
            </w:r>
          </w:p>
        </w:tc>
        <w:tc>
          <w:tcPr>
            <w:tcW w:w="953"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2</w:t>
            </w:r>
          </w:p>
        </w:tc>
      </w:tr>
      <w:tr w:rsidR="00946F95" w:rsidRPr="00D16B2D" w:rsidTr="00CA5FBB">
        <w:trPr>
          <w:trHeight w:val="315"/>
        </w:trPr>
        <w:tc>
          <w:tcPr>
            <w:tcW w:w="1903" w:type="dxa"/>
            <w:vMerge/>
            <w:tcBorders>
              <w:top w:val="nil"/>
              <w:bottom w:val="nil"/>
            </w:tcBorders>
            <w:shd w:val="clear" w:color="auto" w:fill="auto"/>
            <w:noWrap/>
            <w:vAlign w:val="bottom"/>
            <w:hideMark/>
          </w:tcPr>
          <w:p w:rsidR="00946F95" w:rsidRPr="00325E61" w:rsidRDefault="00946F95" w:rsidP="00045B39">
            <w:pPr>
              <w:spacing w:before="0" w:line="240" w:lineRule="auto"/>
              <w:rPr>
                <w:rFonts w:eastAsia="Times New Roman"/>
                <w:color w:val="000000"/>
                <w:lang w:val="en-GB" w:eastAsia="en-GB"/>
              </w:rPr>
            </w:pPr>
          </w:p>
        </w:tc>
        <w:tc>
          <w:tcPr>
            <w:tcW w:w="1514" w:type="dxa"/>
            <w:tcBorders>
              <w:top w:val="nil"/>
              <w:bottom w:val="nil"/>
            </w:tcBorders>
            <w:shd w:val="clear" w:color="auto" w:fill="auto"/>
            <w:noWrap/>
            <w:vAlign w:val="center"/>
            <w:hideMark/>
          </w:tcPr>
          <w:p w:rsidR="00946F95" w:rsidRPr="00325E61" w:rsidRDefault="00946F95" w:rsidP="00045B39">
            <w:pPr>
              <w:spacing w:before="0" w:line="240" w:lineRule="auto"/>
              <w:jc w:val="center"/>
              <w:rPr>
                <w:rFonts w:eastAsia="Times New Roman"/>
                <w:color w:val="000000"/>
                <w:lang w:val="en-GB" w:eastAsia="en-GB"/>
              </w:rPr>
            </w:pPr>
            <w:r w:rsidRPr="00325E61">
              <w:rPr>
                <w:rFonts w:eastAsia="Times New Roman"/>
                <w:color w:val="000000"/>
                <w:lang w:val="en-GB" w:eastAsia="en-GB"/>
              </w:rPr>
              <w:t>21 to 30</w:t>
            </w:r>
          </w:p>
        </w:tc>
        <w:tc>
          <w:tcPr>
            <w:tcW w:w="1219"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1</w:t>
            </w:r>
          </w:p>
        </w:tc>
        <w:tc>
          <w:tcPr>
            <w:tcW w:w="1002"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1</w:t>
            </w:r>
          </w:p>
        </w:tc>
        <w:tc>
          <w:tcPr>
            <w:tcW w:w="1085"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1</w:t>
            </w:r>
          </w:p>
        </w:tc>
        <w:tc>
          <w:tcPr>
            <w:tcW w:w="974"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2</w:t>
            </w:r>
          </w:p>
        </w:tc>
        <w:tc>
          <w:tcPr>
            <w:tcW w:w="1146"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2</w:t>
            </w:r>
          </w:p>
        </w:tc>
        <w:tc>
          <w:tcPr>
            <w:tcW w:w="953"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1</w:t>
            </w:r>
          </w:p>
        </w:tc>
      </w:tr>
      <w:tr w:rsidR="00946F95" w:rsidRPr="00D16B2D" w:rsidTr="00CA5FBB">
        <w:trPr>
          <w:trHeight w:val="315"/>
        </w:trPr>
        <w:tc>
          <w:tcPr>
            <w:tcW w:w="1903" w:type="dxa"/>
            <w:vMerge/>
            <w:tcBorders>
              <w:top w:val="nil"/>
              <w:bottom w:val="nil"/>
            </w:tcBorders>
            <w:shd w:val="clear" w:color="auto" w:fill="auto"/>
            <w:noWrap/>
            <w:vAlign w:val="bottom"/>
            <w:hideMark/>
          </w:tcPr>
          <w:p w:rsidR="00946F95" w:rsidRPr="00325E61" w:rsidRDefault="00946F95" w:rsidP="00045B39">
            <w:pPr>
              <w:spacing w:before="0" w:line="240" w:lineRule="auto"/>
              <w:rPr>
                <w:rFonts w:eastAsia="Times New Roman"/>
                <w:color w:val="000000"/>
                <w:lang w:val="en-GB" w:eastAsia="en-GB"/>
              </w:rPr>
            </w:pPr>
          </w:p>
        </w:tc>
        <w:tc>
          <w:tcPr>
            <w:tcW w:w="1514" w:type="dxa"/>
            <w:tcBorders>
              <w:top w:val="nil"/>
              <w:bottom w:val="nil"/>
            </w:tcBorders>
            <w:shd w:val="clear" w:color="auto" w:fill="auto"/>
            <w:noWrap/>
            <w:vAlign w:val="center"/>
            <w:hideMark/>
          </w:tcPr>
          <w:p w:rsidR="00946F95" w:rsidRPr="00325E61" w:rsidRDefault="00946F95" w:rsidP="00045B39">
            <w:pPr>
              <w:spacing w:before="0" w:line="240" w:lineRule="auto"/>
              <w:jc w:val="center"/>
              <w:rPr>
                <w:rFonts w:eastAsia="Times New Roman"/>
                <w:color w:val="000000"/>
                <w:lang w:val="en-GB" w:eastAsia="en-GB"/>
              </w:rPr>
            </w:pPr>
            <w:r w:rsidRPr="00325E61">
              <w:rPr>
                <w:rFonts w:eastAsia="Times New Roman"/>
                <w:color w:val="000000"/>
                <w:lang w:val="en-GB" w:eastAsia="en-GB"/>
              </w:rPr>
              <w:t>31 to 40</w:t>
            </w:r>
          </w:p>
        </w:tc>
        <w:tc>
          <w:tcPr>
            <w:tcW w:w="1219"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0</w:t>
            </w:r>
          </w:p>
        </w:tc>
        <w:tc>
          <w:tcPr>
            <w:tcW w:w="1002"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0</w:t>
            </w:r>
          </w:p>
        </w:tc>
        <w:tc>
          <w:tcPr>
            <w:tcW w:w="1085"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0</w:t>
            </w:r>
          </w:p>
        </w:tc>
        <w:tc>
          <w:tcPr>
            <w:tcW w:w="974"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0</w:t>
            </w:r>
          </w:p>
        </w:tc>
        <w:tc>
          <w:tcPr>
            <w:tcW w:w="1146"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0</w:t>
            </w:r>
          </w:p>
        </w:tc>
        <w:tc>
          <w:tcPr>
            <w:tcW w:w="953"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0</w:t>
            </w:r>
          </w:p>
        </w:tc>
      </w:tr>
      <w:tr w:rsidR="00946F95" w:rsidRPr="00D16B2D" w:rsidTr="00CA5FBB">
        <w:trPr>
          <w:trHeight w:val="315"/>
        </w:trPr>
        <w:tc>
          <w:tcPr>
            <w:tcW w:w="1903" w:type="dxa"/>
            <w:vMerge/>
            <w:tcBorders>
              <w:top w:val="nil"/>
              <w:bottom w:val="nil"/>
            </w:tcBorders>
            <w:shd w:val="clear" w:color="auto" w:fill="auto"/>
            <w:noWrap/>
            <w:vAlign w:val="bottom"/>
            <w:hideMark/>
          </w:tcPr>
          <w:p w:rsidR="00946F95" w:rsidRPr="00325E61" w:rsidRDefault="00946F95" w:rsidP="00045B39">
            <w:pPr>
              <w:spacing w:before="0" w:line="240" w:lineRule="auto"/>
              <w:rPr>
                <w:rFonts w:eastAsia="Times New Roman"/>
                <w:color w:val="000000"/>
                <w:lang w:val="en-GB" w:eastAsia="en-GB"/>
              </w:rPr>
            </w:pPr>
          </w:p>
        </w:tc>
        <w:tc>
          <w:tcPr>
            <w:tcW w:w="1514" w:type="dxa"/>
            <w:tcBorders>
              <w:top w:val="nil"/>
              <w:bottom w:val="nil"/>
            </w:tcBorders>
            <w:shd w:val="clear" w:color="auto" w:fill="auto"/>
            <w:noWrap/>
            <w:vAlign w:val="center"/>
            <w:hideMark/>
          </w:tcPr>
          <w:p w:rsidR="00946F95" w:rsidRPr="00325E61" w:rsidRDefault="00946F95" w:rsidP="00045B39">
            <w:pPr>
              <w:spacing w:before="0" w:line="240" w:lineRule="auto"/>
              <w:jc w:val="center"/>
              <w:rPr>
                <w:rFonts w:eastAsia="Times New Roman"/>
                <w:color w:val="000000"/>
                <w:lang w:val="en-GB" w:eastAsia="en-GB"/>
              </w:rPr>
            </w:pPr>
            <w:r w:rsidRPr="00325E61">
              <w:rPr>
                <w:rFonts w:eastAsia="Times New Roman"/>
                <w:color w:val="000000"/>
                <w:lang w:val="en-GB" w:eastAsia="en-GB"/>
              </w:rPr>
              <w:t>41 to 50</w:t>
            </w:r>
          </w:p>
        </w:tc>
        <w:tc>
          <w:tcPr>
            <w:tcW w:w="1219"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4</w:t>
            </w:r>
          </w:p>
        </w:tc>
        <w:tc>
          <w:tcPr>
            <w:tcW w:w="1002"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4</w:t>
            </w:r>
          </w:p>
        </w:tc>
        <w:tc>
          <w:tcPr>
            <w:tcW w:w="1085"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4</w:t>
            </w:r>
          </w:p>
        </w:tc>
        <w:tc>
          <w:tcPr>
            <w:tcW w:w="974"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4</w:t>
            </w:r>
          </w:p>
        </w:tc>
        <w:tc>
          <w:tcPr>
            <w:tcW w:w="1146"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3</w:t>
            </w:r>
          </w:p>
        </w:tc>
        <w:tc>
          <w:tcPr>
            <w:tcW w:w="953" w:type="dxa"/>
            <w:tcBorders>
              <w:top w:val="nil"/>
              <w:bottom w:val="nil"/>
            </w:tcBorders>
            <w:shd w:val="clear" w:color="auto" w:fill="auto"/>
            <w:noWrap/>
            <w:vAlign w:val="center"/>
            <w:hideMark/>
          </w:tcPr>
          <w:p w:rsidR="00946F95" w:rsidRPr="00325E61" w:rsidRDefault="00946F95" w:rsidP="00045B39">
            <w:pPr>
              <w:spacing w:before="0" w:afterAutospacing="1" w:line="240" w:lineRule="auto"/>
              <w:jc w:val="center"/>
              <w:rPr>
                <w:rFonts w:eastAsia="Times New Roman"/>
                <w:color w:val="000000"/>
                <w:lang w:val="en-GB" w:eastAsia="en-GB"/>
              </w:rPr>
            </w:pPr>
            <w:r w:rsidRPr="00325E61">
              <w:rPr>
                <w:rFonts w:eastAsia="Times New Roman"/>
                <w:color w:val="000000"/>
                <w:lang w:val="en-GB" w:eastAsia="en-GB"/>
              </w:rPr>
              <w:t>3</w:t>
            </w:r>
          </w:p>
        </w:tc>
      </w:tr>
      <w:tr w:rsidR="00946F95" w:rsidRPr="00D16B2D" w:rsidTr="00CA5FBB">
        <w:trPr>
          <w:trHeight w:val="315"/>
        </w:trPr>
        <w:tc>
          <w:tcPr>
            <w:tcW w:w="1903" w:type="dxa"/>
            <w:vMerge/>
            <w:tcBorders>
              <w:top w:val="nil"/>
              <w:bottom w:val="nil"/>
            </w:tcBorders>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tcBorders>
              <w:top w:val="nil"/>
              <w:bottom w:val="nil"/>
            </w:tcBorders>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51 to 60</w:t>
            </w:r>
          </w:p>
        </w:tc>
        <w:tc>
          <w:tcPr>
            <w:tcW w:w="1219" w:type="dxa"/>
            <w:tcBorders>
              <w:top w:val="nil"/>
              <w:bottom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1002" w:type="dxa"/>
            <w:tcBorders>
              <w:top w:val="nil"/>
              <w:bottom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085" w:type="dxa"/>
            <w:tcBorders>
              <w:top w:val="nil"/>
              <w:bottom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74" w:type="dxa"/>
            <w:tcBorders>
              <w:top w:val="nil"/>
              <w:bottom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146" w:type="dxa"/>
            <w:tcBorders>
              <w:top w:val="nil"/>
              <w:bottom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53" w:type="dxa"/>
            <w:tcBorders>
              <w:top w:val="nil"/>
              <w:bottom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r>
      <w:tr w:rsidR="00946F95" w:rsidRPr="00D16B2D" w:rsidTr="00CA5FBB">
        <w:trPr>
          <w:trHeight w:val="330"/>
        </w:trPr>
        <w:tc>
          <w:tcPr>
            <w:tcW w:w="1903" w:type="dxa"/>
            <w:vMerge/>
            <w:tcBorders>
              <w:top w:val="nil"/>
              <w:bottom w:val="single" w:sz="4" w:space="0" w:color="auto"/>
            </w:tcBorders>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tcBorders>
              <w:top w:val="nil"/>
              <w:bottom w:val="single" w:sz="4" w:space="0" w:color="auto"/>
            </w:tcBorders>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64+</w:t>
            </w:r>
          </w:p>
        </w:tc>
        <w:tc>
          <w:tcPr>
            <w:tcW w:w="1219" w:type="dxa"/>
            <w:tcBorders>
              <w:top w:val="nil"/>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1002" w:type="dxa"/>
            <w:tcBorders>
              <w:top w:val="nil"/>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1085" w:type="dxa"/>
            <w:tcBorders>
              <w:top w:val="nil"/>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74" w:type="dxa"/>
            <w:tcBorders>
              <w:top w:val="nil"/>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1146" w:type="dxa"/>
            <w:tcBorders>
              <w:top w:val="nil"/>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53" w:type="dxa"/>
            <w:tcBorders>
              <w:top w:val="nil"/>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r>
      <w:tr w:rsidR="00946F95" w:rsidRPr="00D16B2D" w:rsidTr="00CA5FBB">
        <w:trPr>
          <w:trHeight w:val="330"/>
        </w:trPr>
        <w:tc>
          <w:tcPr>
            <w:tcW w:w="1903" w:type="dxa"/>
            <w:vMerge w:val="restart"/>
            <w:tcBorders>
              <w:top w:val="single" w:sz="4" w:space="0" w:color="auto"/>
            </w:tcBorders>
            <w:shd w:val="clear" w:color="auto" w:fill="auto"/>
            <w:noWrap/>
            <w:vAlign w:val="center"/>
            <w:hideMark/>
          </w:tcPr>
          <w:p w:rsidR="00A35CA0" w:rsidRDefault="00946F95" w:rsidP="00CA5FBB">
            <w:pPr>
              <w:spacing w:before="0" w:line="240" w:lineRule="auto"/>
              <w:jc w:val="center"/>
              <w:rPr>
                <w:rFonts w:eastAsia="Times New Roman"/>
                <w:i/>
                <w:iCs/>
                <w:color w:val="000000"/>
                <w:lang w:val="en-GB" w:eastAsia="en-GB"/>
              </w:rPr>
            </w:pPr>
            <w:r w:rsidRPr="00D16B2D">
              <w:rPr>
                <w:rFonts w:eastAsia="Times New Roman"/>
                <w:i/>
                <w:iCs/>
                <w:color w:val="000000"/>
                <w:lang w:val="en-GB" w:eastAsia="en-GB"/>
              </w:rPr>
              <w:t>Pan troglodytes</w:t>
            </w:r>
          </w:p>
          <w:p w:rsidR="00A35CA0" w:rsidRDefault="00946F95" w:rsidP="00CA5FBB">
            <w:pPr>
              <w:spacing w:before="0" w:line="240" w:lineRule="auto"/>
              <w:jc w:val="center"/>
              <w:rPr>
                <w:rFonts w:eastAsia="Times New Roman"/>
                <w:i/>
                <w:iCs/>
                <w:color w:val="000000"/>
                <w:lang w:val="en-GB" w:eastAsia="en-GB"/>
              </w:rPr>
            </w:pPr>
            <w:r>
              <w:rPr>
                <w:rFonts w:eastAsia="Times New Roman"/>
                <w:color w:val="000000"/>
                <w:lang w:val="en-GB" w:eastAsia="en-GB"/>
              </w:rPr>
              <w:t>f</w:t>
            </w:r>
            <w:r w:rsidRPr="00D16B2D">
              <w:rPr>
                <w:rFonts w:eastAsia="Times New Roman"/>
                <w:color w:val="000000"/>
                <w:lang w:val="en-GB" w:eastAsia="en-GB"/>
              </w:rPr>
              <w:t>emales</w:t>
            </w:r>
          </w:p>
        </w:tc>
        <w:tc>
          <w:tcPr>
            <w:tcW w:w="1514" w:type="dxa"/>
            <w:tcBorders>
              <w:top w:val="single" w:sz="4" w:space="0" w:color="auto"/>
            </w:tcBorders>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0 to 10</w:t>
            </w:r>
          </w:p>
        </w:tc>
        <w:tc>
          <w:tcPr>
            <w:tcW w:w="1219" w:type="dxa"/>
            <w:tcBorders>
              <w:top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002" w:type="dxa"/>
            <w:tcBorders>
              <w:top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1085" w:type="dxa"/>
            <w:tcBorders>
              <w:top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74" w:type="dxa"/>
            <w:tcBorders>
              <w:top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1146" w:type="dxa"/>
            <w:tcBorders>
              <w:top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53" w:type="dxa"/>
            <w:tcBorders>
              <w:top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r>
      <w:tr w:rsidR="00946F95" w:rsidRPr="00D16B2D" w:rsidTr="003B6962">
        <w:trPr>
          <w:trHeight w:val="315"/>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11 to 20</w:t>
            </w:r>
          </w:p>
        </w:tc>
        <w:tc>
          <w:tcPr>
            <w:tcW w:w="1219"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002"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0</w:t>
            </w:r>
          </w:p>
        </w:tc>
        <w:tc>
          <w:tcPr>
            <w:tcW w:w="1085"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0</w:t>
            </w:r>
          </w:p>
        </w:tc>
        <w:tc>
          <w:tcPr>
            <w:tcW w:w="974"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146"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953"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0</w:t>
            </w:r>
          </w:p>
        </w:tc>
      </w:tr>
      <w:tr w:rsidR="00946F95" w:rsidRPr="00D16B2D" w:rsidTr="003B6962">
        <w:trPr>
          <w:trHeight w:val="330"/>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21 to 30</w:t>
            </w:r>
          </w:p>
        </w:tc>
        <w:tc>
          <w:tcPr>
            <w:tcW w:w="1219"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7</w:t>
            </w:r>
          </w:p>
        </w:tc>
        <w:tc>
          <w:tcPr>
            <w:tcW w:w="1002"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6</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9</w:t>
            </w:r>
          </w:p>
        </w:tc>
        <w:tc>
          <w:tcPr>
            <w:tcW w:w="1146"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9</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3</w:t>
            </w:r>
          </w:p>
        </w:tc>
      </w:tr>
      <w:tr w:rsidR="00946F95" w:rsidRPr="00D16B2D" w:rsidTr="003B6962">
        <w:trPr>
          <w:trHeight w:val="315"/>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31 to 40</w:t>
            </w:r>
          </w:p>
        </w:tc>
        <w:tc>
          <w:tcPr>
            <w:tcW w:w="1219"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6</w:t>
            </w:r>
          </w:p>
        </w:tc>
        <w:tc>
          <w:tcPr>
            <w:tcW w:w="1002"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6</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6</w:t>
            </w:r>
          </w:p>
        </w:tc>
        <w:tc>
          <w:tcPr>
            <w:tcW w:w="1146"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6</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r>
      <w:tr w:rsidR="00946F95" w:rsidRPr="00D16B2D" w:rsidTr="003B6962">
        <w:trPr>
          <w:trHeight w:val="315"/>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41 to 50</w:t>
            </w:r>
          </w:p>
        </w:tc>
        <w:tc>
          <w:tcPr>
            <w:tcW w:w="1219"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13</w:t>
            </w:r>
          </w:p>
        </w:tc>
        <w:tc>
          <w:tcPr>
            <w:tcW w:w="1002"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7</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13</w:t>
            </w:r>
          </w:p>
        </w:tc>
        <w:tc>
          <w:tcPr>
            <w:tcW w:w="1146"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13</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10</w:t>
            </w:r>
          </w:p>
        </w:tc>
      </w:tr>
      <w:tr w:rsidR="00946F95" w:rsidRPr="00D16B2D" w:rsidTr="003B6962">
        <w:trPr>
          <w:trHeight w:val="315"/>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51 to 60</w:t>
            </w:r>
          </w:p>
        </w:tc>
        <w:tc>
          <w:tcPr>
            <w:tcW w:w="1219"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14</w:t>
            </w:r>
          </w:p>
        </w:tc>
        <w:tc>
          <w:tcPr>
            <w:tcW w:w="1002"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9</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14</w:t>
            </w:r>
          </w:p>
        </w:tc>
        <w:tc>
          <w:tcPr>
            <w:tcW w:w="1146" w:type="dxa"/>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13</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13</w:t>
            </w:r>
          </w:p>
        </w:tc>
      </w:tr>
      <w:tr w:rsidR="00946F95" w:rsidRPr="00D16B2D" w:rsidTr="006F2E2D">
        <w:trPr>
          <w:trHeight w:val="330"/>
        </w:trPr>
        <w:tc>
          <w:tcPr>
            <w:tcW w:w="1903" w:type="dxa"/>
            <w:vMerge/>
            <w:tcBorders>
              <w:bottom w:val="single" w:sz="4" w:space="0" w:color="auto"/>
            </w:tcBorders>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tcBorders>
              <w:bottom w:val="single" w:sz="4" w:space="0" w:color="auto"/>
            </w:tcBorders>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61+</w:t>
            </w:r>
          </w:p>
        </w:tc>
        <w:tc>
          <w:tcPr>
            <w:tcW w:w="1219" w:type="dxa"/>
            <w:tcBorders>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37</w:t>
            </w:r>
          </w:p>
        </w:tc>
        <w:tc>
          <w:tcPr>
            <w:tcW w:w="1002" w:type="dxa"/>
            <w:tcBorders>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37</w:t>
            </w:r>
          </w:p>
        </w:tc>
        <w:tc>
          <w:tcPr>
            <w:tcW w:w="1085" w:type="dxa"/>
            <w:tcBorders>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35</w:t>
            </w:r>
          </w:p>
        </w:tc>
        <w:tc>
          <w:tcPr>
            <w:tcW w:w="974" w:type="dxa"/>
            <w:tcBorders>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37</w:t>
            </w:r>
          </w:p>
        </w:tc>
        <w:tc>
          <w:tcPr>
            <w:tcW w:w="1146" w:type="dxa"/>
            <w:tcBorders>
              <w:bottom w:val="single" w:sz="4" w:space="0" w:color="auto"/>
            </w:tcBorders>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37</w:t>
            </w:r>
          </w:p>
        </w:tc>
        <w:tc>
          <w:tcPr>
            <w:tcW w:w="953" w:type="dxa"/>
            <w:tcBorders>
              <w:bottom w:val="single" w:sz="4" w:space="0" w:color="auto"/>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36</w:t>
            </w:r>
          </w:p>
        </w:tc>
      </w:tr>
      <w:tr w:rsidR="006F2E2D" w:rsidRPr="00D16B2D" w:rsidTr="006F2E2D">
        <w:trPr>
          <w:trHeight w:val="315"/>
        </w:trPr>
        <w:tc>
          <w:tcPr>
            <w:tcW w:w="1903" w:type="dxa"/>
            <w:tcBorders>
              <w:top w:val="single" w:sz="4" w:space="0" w:color="auto"/>
              <w:bottom w:val="nil"/>
            </w:tcBorders>
            <w:shd w:val="clear" w:color="auto" w:fill="auto"/>
            <w:noWrap/>
            <w:vAlign w:val="center"/>
          </w:tcPr>
          <w:p w:rsidR="006F2E2D" w:rsidRPr="00D16B2D" w:rsidRDefault="006F2E2D">
            <w:pPr>
              <w:spacing w:before="0" w:line="240" w:lineRule="auto"/>
              <w:jc w:val="center"/>
              <w:rPr>
                <w:rFonts w:eastAsia="Times New Roman"/>
                <w:i/>
                <w:iCs/>
                <w:color w:val="000000"/>
                <w:lang w:val="en-GB" w:eastAsia="en-GB"/>
              </w:rPr>
            </w:pPr>
          </w:p>
        </w:tc>
        <w:tc>
          <w:tcPr>
            <w:tcW w:w="1514" w:type="dxa"/>
            <w:tcBorders>
              <w:top w:val="single" w:sz="4" w:space="0" w:color="auto"/>
              <w:bottom w:val="nil"/>
            </w:tcBorders>
            <w:shd w:val="clear" w:color="auto" w:fill="auto"/>
            <w:noWrap/>
            <w:vAlign w:val="center"/>
          </w:tcPr>
          <w:p w:rsidR="006F2E2D" w:rsidRPr="0063245A" w:rsidRDefault="006F2E2D" w:rsidP="00045B39">
            <w:pPr>
              <w:spacing w:before="0" w:line="240" w:lineRule="auto"/>
              <w:jc w:val="center"/>
              <w:rPr>
                <w:rFonts w:eastAsia="Times New Roman"/>
                <w:color w:val="000000"/>
                <w:lang w:val="en-GB" w:eastAsia="en-GB"/>
              </w:rPr>
            </w:pPr>
            <w:r>
              <w:rPr>
                <w:rFonts w:eastAsia="Times New Roman"/>
                <w:color w:val="000000"/>
                <w:lang w:val="en-GB" w:eastAsia="en-GB"/>
              </w:rPr>
              <w:t>0 to 10</w:t>
            </w:r>
          </w:p>
        </w:tc>
        <w:tc>
          <w:tcPr>
            <w:tcW w:w="1219" w:type="dxa"/>
            <w:tcBorders>
              <w:top w:val="single" w:sz="4" w:space="0" w:color="auto"/>
              <w:bottom w:val="nil"/>
            </w:tcBorders>
            <w:shd w:val="clear" w:color="auto" w:fill="auto"/>
            <w:noWrap/>
            <w:vAlign w:val="center"/>
          </w:tcPr>
          <w:p w:rsidR="006F2E2D" w:rsidRPr="0063245A" w:rsidRDefault="006F2E2D" w:rsidP="00045B39">
            <w:pPr>
              <w:spacing w:before="0" w:afterAutospacing="1" w:line="240" w:lineRule="auto"/>
              <w:jc w:val="center"/>
              <w:rPr>
                <w:rFonts w:eastAsia="Times New Roman"/>
                <w:color w:val="000000"/>
                <w:lang w:val="en-GB" w:eastAsia="en-GB"/>
              </w:rPr>
            </w:pPr>
            <w:r>
              <w:rPr>
                <w:rFonts w:eastAsia="Times New Roman"/>
                <w:color w:val="000000"/>
                <w:lang w:val="en-GB" w:eastAsia="en-GB"/>
              </w:rPr>
              <w:t>0</w:t>
            </w:r>
          </w:p>
        </w:tc>
        <w:tc>
          <w:tcPr>
            <w:tcW w:w="1002" w:type="dxa"/>
            <w:tcBorders>
              <w:top w:val="single" w:sz="4" w:space="0" w:color="auto"/>
              <w:bottom w:val="nil"/>
            </w:tcBorders>
            <w:shd w:val="clear" w:color="auto" w:fill="auto"/>
            <w:noWrap/>
            <w:vAlign w:val="center"/>
          </w:tcPr>
          <w:p w:rsidR="006F2E2D" w:rsidRPr="0063245A" w:rsidRDefault="006F2E2D" w:rsidP="00045B39">
            <w:pPr>
              <w:spacing w:before="0" w:afterAutospacing="1" w:line="240" w:lineRule="auto"/>
              <w:jc w:val="center"/>
              <w:rPr>
                <w:rFonts w:eastAsia="Times New Roman"/>
                <w:color w:val="000000"/>
                <w:lang w:val="en-GB" w:eastAsia="en-GB"/>
              </w:rPr>
            </w:pPr>
            <w:r>
              <w:rPr>
                <w:rFonts w:eastAsia="Times New Roman"/>
                <w:color w:val="000000"/>
                <w:lang w:val="en-GB" w:eastAsia="en-GB"/>
              </w:rPr>
              <w:t>0</w:t>
            </w:r>
          </w:p>
        </w:tc>
        <w:tc>
          <w:tcPr>
            <w:tcW w:w="1085" w:type="dxa"/>
            <w:tcBorders>
              <w:top w:val="single" w:sz="4" w:space="0" w:color="auto"/>
              <w:bottom w:val="nil"/>
            </w:tcBorders>
            <w:shd w:val="clear" w:color="auto" w:fill="auto"/>
            <w:noWrap/>
            <w:vAlign w:val="center"/>
          </w:tcPr>
          <w:p w:rsidR="006F2E2D" w:rsidRPr="0063245A" w:rsidRDefault="006F2E2D" w:rsidP="00045B39">
            <w:pPr>
              <w:spacing w:before="0" w:afterAutospacing="1" w:line="240" w:lineRule="auto"/>
              <w:jc w:val="center"/>
              <w:rPr>
                <w:rFonts w:eastAsia="Times New Roman"/>
                <w:color w:val="000000"/>
                <w:lang w:val="en-GB" w:eastAsia="en-GB"/>
              </w:rPr>
            </w:pPr>
            <w:r>
              <w:rPr>
                <w:rFonts w:eastAsia="Times New Roman"/>
                <w:color w:val="000000"/>
                <w:lang w:val="en-GB" w:eastAsia="en-GB"/>
              </w:rPr>
              <w:t>0</w:t>
            </w:r>
          </w:p>
        </w:tc>
        <w:tc>
          <w:tcPr>
            <w:tcW w:w="974" w:type="dxa"/>
            <w:tcBorders>
              <w:top w:val="single" w:sz="4" w:space="0" w:color="auto"/>
              <w:bottom w:val="nil"/>
            </w:tcBorders>
            <w:shd w:val="clear" w:color="auto" w:fill="auto"/>
            <w:noWrap/>
            <w:vAlign w:val="center"/>
          </w:tcPr>
          <w:p w:rsidR="006F2E2D" w:rsidRPr="0063245A" w:rsidRDefault="006F2E2D" w:rsidP="00045B39">
            <w:pPr>
              <w:spacing w:before="0" w:afterAutospacing="1" w:line="240" w:lineRule="auto"/>
              <w:jc w:val="center"/>
              <w:rPr>
                <w:rFonts w:eastAsia="Times New Roman"/>
                <w:color w:val="000000"/>
                <w:lang w:val="en-GB" w:eastAsia="en-GB"/>
              </w:rPr>
            </w:pPr>
            <w:r>
              <w:rPr>
                <w:rFonts w:eastAsia="Times New Roman"/>
                <w:color w:val="000000"/>
                <w:lang w:val="en-GB" w:eastAsia="en-GB"/>
              </w:rPr>
              <w:t>0</w:t>
            </w:r>
          </w:p>
        </w:tc>
        <w:tc>
          <w:tcPr>
            <w:tcW w:w="1146" w:type="dxa"/>
            <w:tcBorders>
              <w:top w:val="single" w:sz="4" w:space="0" w:color="auto"/>
              <w:bottom w:val="nil"/>
            </w:tcBorders>
            <w:shd w:val="clear" w:color="auto" w:fill="auto"/>
            <w:noWrap/>
            <w:vAlign w:val="center"/>
          </w:tcPr>
          <w:p w:rsidR="006F2E2D" w:rsidRPr="0063245A" w:rsidRDefault="006F2E2D" w:rsidP="00045B39">
            <w:pPr>
              <w:spacing w:before="0" w:afterAutospacing="1" w:line="240" w:lineRule="auto"/>
              <w:jc w:val="center"/>
              <w:rPr>
                <w:rFonts w:eastAsia="Times New Roman"/>
                <w:color w:val="000000"/>
                <w:lang w:val="en-GB" w:eastAsia="en-GB"/>
              </w:rPr>
            </w:pPr>
            <w:r>
              <w:rPr>
                <w:rFonts w:eastAsia="Times New Roman"/>
                <w:color w:val="000000"/>
                <w:lang w:val="en-GB" w:eastAsia="en-GB"/>
              </w:rPr>
              <w:t>0</w:t>
            </w:r>
          </w:p>
        </w:tc>
        <w:tc>
          <w:tcPr>
            <w:tcW w:w="953" w:type="dxa"/>
            <w:tcBorders>
              <w:top w:val="single" w:sz="4" w:space="0" w:color="auto"/>
              <w:bottom w:val="nil"/>
            </w:tcBorders>
            <w:shd w:val="clear" w:color="auto" w:fill="auto"/>
            <w:noWrap/>
            <w:vAlign w:val="center"/>
          </w:tcPr>
          <w:p w:rsidR="006F2E2D" w:rsidRPr="0063245A" w:rsidRDefault="006F2E2D" w:rsidP="00045B39">
            <w:pPr>
              <w:spacing w:before="0" w:afterAutospacing="1" w:line="240" w:lineRule="auto"/>
              <w:jc w:val="center"/>
              <w:rPr>
                <w:rFonts w:eastAsia="Times New Roman"/>
                <w:color w:val="000000"/>
                <w:lang w:val="en-GB" w:eastAsia="en-GB"/>
              </w:rPr>
            </w:pPr>
            <w:r>
              <w:rPr>
                <w:rFonts w:eastAsia="Times New Roman"/>
                <w:color w:val="000000"/>
                <w:lang w:val="en-GB" w:eastAsia="en-GB"/>
              </w:rPr>
              <w:t>0</w:t>
            </w:r>
          </w:p>
        </w:tc>
      </w:tr>
      <w:tr w:rsidR="00946F95" w:rsidRPr="00D16B2D" w:rsidTr="00CA5FBB">
        <w:trPr>
          <w:trHeight w:val="315"/>
        </w:trPr>
        <w:tc>
          <w:tcPr>
            <w:tcW w:w="1903" w:type="dxa"/>
            <w:vMerge w:val="restart"/>
            <w:tcBorders>
              <w:top w:val="nil"/>
            </w:tcBorders>
            <w:shd w:val="clear" w:color="auto" w:fill="auto"/>
            <w:noWrap/>
            <w:vAlign w:val="center"/>
            <w:hideMark/>
          </w:tcPr>
          <w:p w:rsidR="00A35CA0" w:rsidRDefault="00946F95" w:rsidP="00CA5FBB">
            <w:pPr>
              <w:spacing w:before="0" w:line="240" w:lineRule="auto"/>
              <w:jc w:val="center"/>
              <w:rPr>
                <w:rFonts w:eastAsia="Times New Roman"/>
                <w:i/>
                <w:iCs/>
                <w:color w:val="000000"/>
                <w:sz w:val="24"/>
                <w:szCs w:val="24"/>
                <w:lang w:val="en-GB" w:eastAsia="en-GB"/>
              </w:rPr>
            </w:pPr>
            <w:r w:rsidRPr="00D16B2D">
              <w:rPr>
                <w:rFonts w:eastAsia="Times New Roman"/>
                <w:i/>
                <w:iCs/>
                <w:color w:val="000000"/>
                <w:lang w:val="en-GB" w:eastAsia="en-GB"/>
              </w:rPr>
              <w:t>Pan troglodytes</w:t>
            </w:r>
          </w:p>
          <w:p w:rsidR="00A35CA0" w:rsidRDefault="00946F95" w:rsidP="00CA5FBB">
            <w:pPr>
              <w:spacing w:before="0" w:line="240" w:lineRule="auto"/>
              <w:jc w:val="center"/>
              <w:rPr>
                <w:rFonts w:eastAsia="Times New Roman"/>
                <w:i/>
                <w:iCs/>
                <w:color w:val="000000"/>
                <w:lang w:val="en-GB" w:eastAsia="en-GB"/>
              </w:rPr>
            </w:pPr>
            <w:r>
              <w:rPr>
                <w:rFonts w:eastAsia="Times New Roman"/>
                <w:color w:val="000000"/>
                <w:lang w:val="en-GB" w:eastAsia="en-GB"/>
              </w:rPr>
              <w:t>m</w:t>
            </w:r>
            <w:r w:rsidRPr="00D16B2D">
              <w:rPr>
                <w:rFonts w:eastAsia="Times New Roman"/>
                <w:color w:val="000000"/>
                <w:lang w:val="en-GB" w:eastAsia="en-GB"/>
              </w:rPr>
              <w:t>ales</w:t>
            </w:r>
          </w:p>
        </w:tc>
        <w:tc>
          <w:tcPr>
            <w:tcW w:w="1514" w:type="dxa"/>
            <w:tcBorders>
              <w:top w:val="nil"/>
            </w:tcBorders>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11 to 20</w:t>
            </w:r>
          </w:p>
        </w:tc>
        <w:tc>
          <w:tcPr>
            <w:tcW w:w="1219" w:type="dxa"/>
            <w:tcBorders>
              <w:top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002" w:type="dxa"/>
            <w:tcBorders>
              <w:top w:val="nil"/>
            </w:tcBorders>
            <w:shd w:val="clear" w:color="auto" w:fill="auto"/>
            <w:noWrap/>
            <w:vAlign w:val="center"/>
            <w:hideMark/>
          </w:tcPr>
          <w:p w:rsidR="00946F95" w:rsidRPr="0062333B"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1085" w:type="dxa"/>
            <w:tcBorders>
              <w:top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974" w:type="dxa"/>
            <w:tcBorders>
              <w:top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3</w:t>
            </w:r>
          </w:p>
        </w:tc>
        <w:tc>
          <w:tcPr>
            <w:tcW w:w="1146" w:type="dxa"/>
            <w:tcBorders>
              <w:top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953" w:type="dxa"/>
            <w:tcBorders>
              <w:top w:val="nil"/>
            </w:tcBorders>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w:t>
            </w:r>
          </w:p>
        </w:tc>
      </w:tr>
      <w:tr w:rsidR="00946F95" w:rsidRPr="00D16B2D" w:rsidTr="003B6962">
        <w:trPr>
          <w:trHeight w:val="315"/>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21 to 30</w:t>
            </w:r>
          </w:p>
        </w:tc>
        <w:tc>
          <w:tcPr>
            <w:tcW w:w="1219"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7</w:t>
            </w:r>
          </w:p>
        </w:tc>
        <w:tc>
          <w:tcPr>
            <w:tcW w:w="1002"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6</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8</w:t>
            </w:r>
          </w:p>
        </w:tc>
        <w:tc>
          <w:tcPr>
            <w:tcW w:w="1146"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8</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4</w:t>
            </w:r>
          </w:p>
        </w:tc>
      </w:tr>
      <w:tr w:rsidR="00946F95" w:rsidRPr="00D16B2D" w:rsidTr="003B6962">
        <w:trPr>
          <w:trHeight w:val="315"/>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31 to 40</w:t>
            </w:r>
          </w:p>
        </w:tc>
        <w:tc>
          <w:tcPr>
            <w:tcW w:w="1219"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8</w:t>
            </w:r>
          </w:p>
        </w:tc>
        <w:tc>
          <w:tcPr>
            <w:tcW w:w="1002"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8</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9</w:t>
            </w:r>
          </w:p>
        </w:tc>
        <w:tc>
          <w:tcPr>
            <w:tcW w:w="1146"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9</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4</w:t>
            </w:r>
          </w:p>
        </w:tc>
      </w:tr>
      <w:tr w:rsidR="00946F95" w:rsidRPr="00D16B2D" w:rsidTr="003B6962">
        <w:trPr>
          <w:trHeight w:val="315"/>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41 to 50</w:t>
            </w:r>
          </w:p>
        </w:tc>
        <w:tc>
          <w:tcPr>
            <w:tcW w:w="1219"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10</w:t>
            </w:r>
          </w:p>
        </w:tc>
        <w:tc>
          <w:tcPr>
            <w:tcW w:w="1002"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11</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2</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11</w:t>
            </w:r>
          </w:p>
        </w:tc>
        <w:tc>
          <w:tcPr>
            <w:tcW w:w="1146"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11</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9</w:t>
            </w:r>
          </w:p>
        </w:tc>
      </w:tr>
      <w:tr w:rsidR="00946F95" w:rsidRPr="00D16B2D" w:rsidTr="003B6962">
        <w:trPr>
          <w:trHeight w:val="315"/>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51 to 60</w:t>
            </w:r>
          </w:p>
        </w:tc>
        <w:tc>
          <w:tcPr>
            <w:tcW w:w="1219"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1002"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10</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6</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1146"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10</w:t>
            </w:r>
          </w:p>
        </w:tc>
      </w:tr>
      <w:tr w:rsidR="00946F95" w:rsidRPr="00D16B2D" w:rsidTr="003B6962">
        <w:trPr>
          <w:trHeight w:val="330"/>
        </w:trPr>
        <w:tc>
          <w:tcPr>
            <w:tcW w:w="1903" w:type="dxa"/>
            <w:vMerge/>
            <w:shd w:val="clear" w:color="auto" w:fill="auto"/>
            <w:noWrap/>
            <w:vAlign w:val="bottom"/>
            <w:hideMark/>
          </w:tcPr>
          <w:p w:rsidR="00946F95" w:rsidRPr="00D16B2D" w:rsidRDefault="00946F95" w:rsidP="00045B39">
            <w:pPr>
              <w:spacing w:before="0" w:line="240" w:lineRule="auto"/>
              <w:rPr>
                <w:rFonts w:eastAsia="Times New Roman"/>
                <w:color w:val="000000"/>
                <w:lang w:val="en-GB" w:eastAsia="en-GB"/>
              </w:rPr>
            </w:pPr>
          </w:p>
        </w:tc>
        <w:tc>
          <w:tcPr>
            <w:tcW w:w="1514" w:type="dxa"/>
            <w:shd w:val="clear" w:color="auto" w:fill="auto"/>
            <w:noWrap/>
            <w:vAlign w:val="center"/>
            <w:hideMark/>
          </w:tcPr>
          <w:p w:rsidR="00946F95" w:rsidRPr="0063245A" w:rsidRDefault="00946F95" w:rsidP="00045B39">
            <w:pPr>
              <w:spacing w:before="0" w:line="240" w:lineRule="auto"/>
              <w:jc w:val="center"/>
              <w:rPr>
                <w:rFonts w:eastAsia="Times New Roman"/>
                <w:color w:val="000000"/>
                <w:lang w:val="en-GB" w:eastAsia="en-GB"/>
              </w:rPr>
            </w:pPr>
            <w:r w:rsidRPr="0063245A">
              <w:rPr>
                <w:rFonts w:eastAsia="Times New Roman"/>
                <w:color w:val="000000"/>
                <w:lang w:val="en-GB" w:eastAsia="en-GB"/>
              </w:rPr>
              <w:t>61+</w:t>
            </w:r>
          </w:p>
        </w:tc>
        <w:tc>
          <w:tcPr>
            <w:tcW w:w="1219"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1002"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1085"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11</w:t>
            </w:r>
          </w:p>
        </w:tc>
        <w:tc>
          <w:tcPr>
            <w:tcW w:w="974"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1146"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c>
          <w:tcPr>
            <w:tcW w:w="953" w:type="dxa"/>
            <w:shd w:val="clear" w:color="auto" w:fill="auto"/>
            <w:noWrap/>
            <w:vAlign w:val="center"/>
            <w:hideMark/>
          </w:tcPr>
          <w:p w:rsidR="00946F95" w:rsidRPr="00504647" w:rsidRDefault="00946F95" w:rsidP="00045B39">
            <w:pPr>
              <w:spacing w:before="0" w:afterAutospacing="1" w:line="240" w:lineRule="auto"/>
              <w:jc w:val="center"/>
              <w:rPr>
                <w:rFonts w:eastAsia="Times New Roman"/>
                <w:color w:val="000000"/>
                <w:lang w:val="en-GB" w:eastAsia="en-GB"/>
              </w:rPr>
            </w:pPr>
            <w:r w:rsidRPr="0063245A">
              <w:rPr>
                <w:rFonts w:eastAsia="Times New Roman"/>
                <w:color w:val="000000"/>
                <w:lang w:val="en-GB" w:eastAsia="en-GB"/>
              </w:rPr>
              <w:t>12</w:t>
            </w:r>
          </w:p>
        </w:tc>
      </w:tr>
    </w:tbl>
    <w:p w:rsidR="00361913" w:rsidRPr="00C405B7" w:rsidRDefault="00361913" w:rsidP="00D263E8">
      <w:pPr>
        <w:pStyle w:val="Heading3"/>
      </w:pPr>
      <w:bookmarkStart w:id="200" w:name="_Toc373477780"/>
      <w:bookmarkStart w:id="201" w:name="_Toc373480778"/>
      <w:r>
        <w:t>Investigating the possibility of lateralization</w:t>
      </w:r>
      <w:bookmarkEnd w:id="200"/>
      <w:bookmarkEnd w:id="201"/>
    </w:p>
    <w:p w:rsidR="005429D0" w:rsidRDefault="0092159B" w:rsidP="009A7AF5">
      <w:pPr>
        <w:rPr>
          <w:noProof/>
        </w:rPr>
      </w:pPr>
      <w:r w:rsidRPr="0092159B">
        <w:rPr>
          <w:noProof/>
        </w:rPr>
        <w:t>Humans show bone length asymmetry which is ass</w:t>
      </w:r>
      <w:r w:rsidR="0061583F">
        <w:rPr>
          <w:noProof/>
        </w:rPr>
        <w:t>ociated with handedness and</w:t>
      </w:r>
      <w:r w:rsidRPr="0092159B">
        <w:rPr>
          <w:noProof/>
        </w:rPr>
        <w:t xml:space="preserve"> there are consistent differences between sides (</w:t>
      </w:r>
      <w:r w:rsidRPr="0092159B">
        <w:t>Auerbach and Ruff 2006).</w:t>
      </w:r>
      <w:r w:rsidRPr="0092159B">
        <w:rPr>
          <w:noProof/>
        </w:rPr>
        <w:t xml:space="preserve">  </w:t>
      </w:r>
      <w:r w:rsidRPr="0092159B">
        <w:t xml:space="preserve">In chimpanzees and bonobos laterality is substantially less clear.  Some reports suggest </w:t>
      </w:r>
      <w:r w:rsidR="00165025">
        <w:t xml:space="preserve">a </w:t>
      </w:r>
      <w:r w:rsidR="008566B0">
        <w:t>slight tendency towards right-</w:t>
      </w:r>
      <w:r w:rsidRPr="0092159B">
        <w:t>handedness in chimpanzees (Hopkins 2006, Hopkins and Pearson 2000) but with populations not necessarily tending towards one specific limb (Corp and Byrne 2003).  In bonobos it has been suggested that there is no clear preference for hand use (Harrison and Nystrom 2008).  With regards to osteological studies, some slight asymmetries have been reported with respect to sub-periosteal area of the humerus (</w:t>
      </w:r>
      <w:r w:rsidRPr="0092159B">
        <w:rPr>
          <w:bCs/>
          <w:color w:val="000000"/>
          <w:shd w:val="clear" w:color="auto" w:fill="FFFFFF"/>
        </w:rPr>
        <w:t xml:space="preserve">Sarringhaus </w:t>
      </w:r>
      <w:r w:rsidRPr="0092159B">
        <w:rPr>
          <w:bCs/>
          <w:i/>
          <w:color w:val="000000"/>
          <w:shd w:val="clear" w:color="auto" w:fill="FFFFFF"/>
        </w:rPr>
        <w:t>et al.</w:t>
      </w:r>
      <w:r w:rsidRPr="0092159B">
        <w:rPr>
          <w:bCs/>
          <w:color w:val="000000"/>
          <w:shd w:val="clear" w:color="auto" w:fill="FFFFFF"/>
        </w:rPr>
        <w:t xml:space="preserve"> 2005) but data specifically comparing left and right limb bone lengths appears to be lacking.</w:t>
      </w:r>
      <w:r w:rsidRPr="0092159B">
        <w:rPr>
          <w:noProof/>
        </w:rPr>
        <w:t xml:space="preserve">  Recent evidence based on h</w:t>
      </w:r>
      <w:r w:rsidR="006E2492">
        <w:rPr>
          <w:noProof/>
        </w:rPr>
        <w:t>umeral length in 40 chimpanzees</w:t>
      </w:r>
      <w:r w:rsidRPr="0092159B">
        <w:rPr>
          <w:noProof/>
        </w:rPr>
        <w:t xml:space="preserve"> suggested that there is no lateralisation</w:t>
      </w:r>
      <w:r w:rsidR="006E2492">
        <w:rPr>
          <w:noProof/>
        </w:rPr>
        <w:t xml:space="preserve"> </w:t>
      </w:r>
      <w:r w:rsidR="006E2492" w:rsidRPr="0092159B">
        <w:rPr>
          <w:noProof/>
        </w:rPr>
        <w:t>(Barros and Soligo 2013)</w:t>
      </w:r>
      <w:r w:rsidRPr="0092159B">
        <w:rPr>
          <w:noProof/>
        </w:rPr>
        <w:t xml:space="preserve">.  No data comparing humeral length in bonobos </w:t>
      </w:r>
      <w:r w:rsidR="00F05F2F">
        <w:rPr>
          <w:noProof/>
        </w:rPr>
        <w:t>are</w:t>
      </w:r>
      <w:r w:rsidR="005429D0">
        <w:rPr>
          <w:noProof/>
        </w:rPr>
        <w:t xml:space="preserve"> available.</w:t>
      </w:r>
    </w:p>
    <w:p w:rsidR="00E22661" w:rsidRDefault="00E22661">
      <w:pPr>
        <w:spacing w:before="0" w:after="200" w:line="276" w:lineRule="auto"/>
        <w:jc w:val="left"/>
        <w:rPr>
          <w:noProof/>
        </w:rPr>
      </w:pPr>
      <w:r>
        <w:rPr>
          <w:noProof/>
        </w:rPr>
        <w:br w:type="page"/>
      </w:r>
    </w:p>
    <w:p w:rsidR="0092159B" w:rsidRDefault="005429D0" w:rsidP="009A7AF5">
      <w:pPr>
        <w:rPr>
          <w:noProof/>
        </w:rPr>
      </w:pPr>
      <w:r>
        <w:rPr>
          <w:noProof/>
        </w:rPr>
        <w:lastRenderedPageBreak/>
        <w:t>I</w:t>
      </w:r>
      <w:r w:rsidR="0092159B" w:rsidRPr="0092159B">
        <w:rPr>
          <w:noProof/>
        </w:rPr>
        <w:t>t would seem reasonable to postulate that if there does exist handedness in chimpanzees and bonobos, that this feature would be much less pronounced than it is for humans.</w:t>
      </w:r>
      <w:r w:rsidR="00DB6C59">
        <w:rPr>
          <w:noProof/>
        </w:rPr>
        <w:t xml:space="preserve">  This is because if </w:t>
      </w:r>
      <w:r w:rsidR="00A02701">
        <w:rPr>
          <w:noProof/>
        </w:rPr>
        <w:t>distinct</w:t>
      </w:r>
      <w:r w:rsidR="00DB6C59">
        <w:rPr>
          <w:noProof/>
        </w:rPr>
        <w:t xml:space="preserve"> later</w:t>
      </w:r>
      <w:r w:rsidR="00165025">
        <w:rPr>
          <w:noProof/>
        </w:rPr>
        <w:t>alisation were present then</w:t>
      </w:r>
      <w:r w:rsidR="00DB6C59">
        <w:rPr>
          <w:noProof/>
        </w:rPr>
        <w:t xml:space="preserve"> there would be much greater consensus regarding its presence</w:t>
      </w:r>
      <w:r>
        <w:rPr>
          <w:noProof/>
        </w:rPr>
        <w:t xml:space="preserve"> given the amount of study already conducted considering the issue</w:t>
      </w:r>
      <w:r w:rsidR="00DB6C59">
        <w:rPr>
          <w:noProof/>
        </w:rPr>
        <w:t>.</w:t>
      </w:r>
      <w:r w:rsidR="0092159B" w:rsidRPr="0092159B">
        <w:rPr>
          <w:noProof/>
        </w:rPr>
        <w:t xml:space="preserve">  As a consequence, the types of asymmetries seen in human limb dimensions are less likely to be present in the two </w:t>
      </w:r>
      <w:r w:rsidR="0092159B" w:rsidRPr="0092159B">
        <w:rPr>
          <w:i/>
          <w:noProof/>
        </w:rPr>
        <w:t>Pan</w:t>
      </w:r>
      <w:r w:rsidR="0092159B" w:rsidRPr="0092159B">
        <w:rPr>
          <w:noProof/>
        </w:rPr>
        <w:t xml:space="preserve"> species.</w:t>
      </w:r>
    </w:p>
    <w:p w:rsidR="00361913" w:rsidRDefault="0061583F" w:rsidP="009A7AF5">
      <w:pPr>
        <w:rPr>
          <w:noProof/>
        </w:rPr>
      </w:pPr>
      <w:r>
        <w:rPr>
          <w:noProof/>
        </w:rPr>
        <w:t>In this study a</w:t>
      </w:r>
      <w:r w:rsidR="00361913">
        <w:rPr>
          <w:noProof/>
        </w:rPr>
        <w:t xml:space="preserve"> combined sample variable would include some data from individuals that only have one side of the skeleton present.  This could vary between left and right and also was found at a number of different dental score stages.  In order to clarify if lateralization is a factor that may potentially reduce precision, differences between left and right </w:t>
      </w:r>
      <w:r w:rsidR="002D3720">
        <w:rPr>
          <w:noProof/>
        </w:rPr>
        <w:t>are</w:t>
      </w:r>
      <w:r w:rsidR="00361913">
        <w:rPr>
          <w:noProof/>
        </w:rPr>
        <w:t xml:space="preserve"> considered.</w:t>
      </w:r>
    </w:p>
    <w:p w:rsidR="00E22661" w:rsidRDefault="0063245A" w:rsidP="009A7AF5">
      <w:pPr>
        <w:rPr>
          <w:noProof/>
          <w:color w:val="000000" w:themeColor="text1"/>
        </w:rPr>
      </w:pPr>
      <w:r>
        <w:rPr>
          <w:noProof/>
        </w:rPr>
        <w:t>T</w:t>
      </w:r>
      <w:r w:rsidR="00361913">
        <w:rPr>
          <w:noProof/>
        </w:rPr>
        <w:t xml:space="preserve">his procedure </w:t>
      </w:r>
      <w:r w:rsidR="00280D04">
        <w:rPr>
          <w:noProof/>
        </w:rPr>
        <w:t>is commenc</w:t>
      </w:r>
      <w:r>
        <w:rPr>
          <w:noProof/>
        </w:rPr>
        <w:t xml:space="preserve">ed </w:t>
      </w:r>
      <w:r w:rsidR="00361913">
        <w:rPr>
          <w:noProof/>
        </w:rPr>
        <w:t>by first considering the humerus, which is the most</w:t>
      </w:r>
      <w:r w:rsidR="00723A29">
        <w:rPr>
          <w:noProof/>
        </w:rPr>
        <w:t xml:space="preserve"> lateralized</w:t>
      </w:r>
      <w:r w:rsidR="00361913">
        <w:rPr>
          <w:noProof/>
        </w:rPr>
        <w:t xml:space="preserve"> bone in the human body.  There were 19 left and 26 right humer</w:t>
      </w:r>
      <w:r w:rsidR="00165025">
        <w:rPr>
          <w:noProof/>
        </w:rPr>
        <w:t>i</w:t>
      </w:r>
      <w:r w:rsidR="00361913">
        <w:rPr>
          <w:noProof/>
        </w:rPr>
        <w:t xml:space="preserve">i for </w:t>
      </w:r>
      <w:r w:rsidR="00361913">
        <w:rPr>
          <w:i/>
          <w:noProof/>
        </w:rPr>
        <w:t>Pan paniscus</w:t>
      </w:r>
      <w:r w:rsidR="00361913">
        <w:rPr>
          <w:noProof/>
        </w:rPr>
        <w:t xml:space="preserve"> and 153 left and 149 right humer</w:t>
      </w:r>
      <w:r w:rsidR="00165025">
        <w:rPr>
          <w:noProof/>
        </w:rPr>
        <w:t>i</w:t>
      </w:r>
      <w:r w:rsidR="00361913">
        <w:rPr>
          <w:noProof/>
        </w:rPr>
        <w:t xml:space="preserve">i for </w:t>
      </w:r>
      <w:r w:rsidR="00361913">
        <w:rPr>
          <w:i/>
          <w:noProof/>
        </w:rPr>
        <w:t xml:space="preserve">Pan troglodytes </w:t>
      </w:r>
      <w:r w:rsidR="00361913">
        <w:rPr>
          <w:noProof/>
        </w:rPr>
        <w:t>present.  Of these</w:t>
      </w:r>
      <w:r w:rsidR="00165025">
        <w:rPr>
          <w:noProof/>
        </w:rPr>
        <w:t>,</w:t>
      </w:r>
      <w:r w:rsidR="00361913">
        <w:rPr>
          <w:noProof/>
        </w:rPr>
        <w:t xml:space="preserve"> 16 </w:t>
      </w:r>
      <w:r w:rsidR="00361913" w:rsidRPr="00BC4C97">
        <w:rPr>
          <w:i/>
          <w:noProof/>
        </w:rPr>
        <w:t>Pan paniscus</w:t>
      </w:r>
      <w:r w:rsidR="00361913">
        <w:rPr>
          <w:noProof/>
        </w:rPr>
        <w:t xml:space="preserve"> and 138 </w:t>
      </w:r>
      <w:r w:rsidR="00361913" w:rsidRPr="00BC4C97">
        <w:rPr>
          <w:i/>
          <w:noProof/>
        </w:rPr>
        <w:t>Pan troglodytes</w:t>
      </w:r>
      <w:r w:rsidR="00361913">
        <w:rPr>
          <w:noProof/>
        </w:rPr>
        <w:t xml:space="preserve"> individuals had values for both sides.  All values were inspected for extreme outli</w:t>
      </w:r>
      <w:r w:rsidR="00FE304A">
        <w:rPr>
          <w:noProof/>
        </w:rPr>
        <w:t>ers (differences of more than 15</w:t>
      </w:r>
      <w:r w:rsidR="00361913">
        <w:rPr>
          <w:noProof/>
        </w:rPr>
        <w:t xml:space="preserve"> mm) as these were likely to be consequent of measurement error or </w:t>
      </w:r>
      <w:r w:rsidR="00165025">
        <w:rPr>
          <w:noProof/>
        </w:rPr>
        <w:t xml:space="preserve">a </w:t>
      </w:r>
      <w:r w:rsidR="00361913">
        <w:rPr>
          <w:noProof/>
        </w:rPr>
        <w:t xml:space="preserve">pathological condition.  In humans, the deviation between sides is </w:t>
      </w:r>
      <w:r w:rsidR="00B1729C">
        <w:rPr>
          <w:noProof/>
        </w:rPr>
        <w:t xml:space="preserve">rarely greater than this value </w:t>
      </w:r>
      <w:r w:rsidR="00A32C15">
        <w:rPr>
          <w:noProof/>
        </w:rPr>
        <w:t>(</w:t>
      </w:r>
      <w:r w:rsidR="00FE304A">
        <w:rPr>
          <w:noProof/>
        </w:rPr>
        <w:t>Steele and Mays 1995</w:t>
      </w:r>
      <w:r w:rsidR="00A32C15">
        <w:rPr>
          <w:noProof/>
        </w:rPr>
        <w:t>).</w:t>
      </w:r>
      <w:r w:rsidR="00361913">
        <w:rPr>
          <w:noProof/>
        </w:rPr>
        <w:t xml:space="preserve">  Two </w:t>
      </w:r>
      <w:r w:rsidR="00361913" w:rsidRPr="006559C1">
        <w:rPr>
          <w:i/>
          <w:noProof/>
        </w:rPr>
        <w:t>Pan paniscus</w:t>
      </w:r>
      <w:r w:rsidR="00361913">
        <w:rPr>
          <w:noProof/>
        </w:rPr>
        <w:t xml:space="preserve"> and four </w:t>
      </w:r>
      <w:r w:rsidR="00361913">
        <w:rPr>
          <w:i/>
          <w:noProof/>
        </w:rPr>
        <w:t xml:space="preserve">Pan troglodytes </w:t>
      </w:r>
      <w:r w:rsidR="00361913">
        <w:rPr>
          <w:noProof/>
        </w:rPr>
        <w:t>i</w:t>
      </w:r>
      <w:r w:rsidR="00AB1532">
        <w:rPr>
          <w:noProof/>
        </w:rPr>
        <w:t>ndividuals were removed due to</w:t>
      </w:r>
      <w:r w:rsidR="00361913">
        <w:rPr>
          <w:noProof/>
        </w:rPr>
        <w:t xml:space="preserve"> greater than 3</w:t>
      </w:r>
      <w:r>
        <w:rPr>
          <w:noProof/>
        </w:rPr>
        <w:t>0</w:t>
      </w:r>
      <w:r w:rsidR="00361913">
        <w:rPr>
          <w:noProof/>
        </w:rPr>
        <w:t xml:space="preserve"> </w:t>
      </w:r>
      <w:r>
        <w:rPr>
          <w:noProof/>
        </w:rPr>
        <w:t>m</w:t>
      </w:r>
      <w:r w:rsidR="00361913">
        <w:rPr>
          <w:noProof/>
        </w:rPr>
        <w:t xml:space="preserve">m difference between sides.  The vast majority of </w:t>
      </w:r>
      <w:r w:rsidR="00361913" w:rsidRPr="009A7AF5">
        <w:rPr>
          <w:noProof/>
          <w:color w:val="000000" w:themeColor="text1"/>
        </w:rPr>
        <w:t xml:space="preserve">individuals showed </w:t>
      </w:r>
      <w:r w:rsidR="0014361C">
        <w:rPr>
          <w:noProof/>
          <w:color w:val="000000" w:themeColor="text1"/>
        </w:rPr>
        <w:t xml:space="preserve">differences </w:t>
      </w:r>
      <w:r w:rsidR="00361913" w:rsidRPr="009A7AF5">
        <w:rPr>
          <w:noProof/>
          <w:color w:val="000000" w:themeColor="text1"/>
        </w:rPr>
        <w:t xml:space="preserve">of less than 5 mm and these outlier individuals were likely </w:t>
      </w:r>
      <w:r w:rsidR="00165025">
        <w:rPr>
          <w:noProof/>
          <w:color w:val="000000" w:themeColor="text1"/>
        </w:rPr>
        <w:t xml:space="preserve">the result of </w:t>
      </w:r>
      <w:r w:rsidR="00361913" w:rsidRPr="009A7AF5">
        <w:rPr>
          <w:noProof/>
          <w:color w:val="000000" w:themeColor="text1"/>
        </w:rPr>
        <w:t>sampling error or some other unexplained effect.  Figure</w:t>
      </w:r>
      <w:r w:rsidR="003D179F">
        <w:rPr>
          <w:noProof/>
          <w:color w:val="000000" w:themeColor="text1"/>
        </w:rPr>
        <w:t>s</w:t>
      </w:r>
      <w:r w:rsidR="00361913" w:rsidRPr="009A7AF5">
        <w:rPr>
          <w:noProof/>
          <w:color w:val="000000" w:themeColor="text1"/>
        </w:rPr>
        <w:t xml:space="preserve"> 3.</w:t>
      </w:r>
      <w:r w:rsidR="00650CD0" w:rsidRPr="009A7AF5">
        <w:rPr>
          <w:noProof/>
          <w:color w:val="000000" w:themeColor="text1"/>
        </w:rPr>
        <w:t>10</w:t>
      </w:r>
      <w:r w:rsidR="00B1729C" w:rsidRPr="009A7AF5">
        <w:rPr>
          <w:noProof/>
          <w:color w:val="000000" w:themeColor="text1"/>
        </w:rPr>
        <w:t xml:space="preserve"> and 3.1</w:t>
      </w:r>
      <w:r w:rsidR="00650CD0" w:rsidRPr="009A7AF5">
        <w:rPr>
          <w:noProof/>
          <w:color w:val="000000" w:themeColor="text1"/>
        </w:rPr>
        <w:t>1</w:t>
      </w:r>
      <w:r w:rsidR="00361913" w:rsidRPr="009A7AF5">
        <w:rPr>
          <w:noProof/>
          <w:color w:val="000000" w:themeColor="text1"/>
        </w:rPr>
        <w:t xml:space="preserve"> show individual points from humer</w:t>
      </w:r>
      <w:r w:rsidR="005D0587">
        <w:rPr>
          <w:noProof/>
          <w:color w:val="000000" w:themeColor="text1"/>
        </w:rPr>
        <w:t>i</w:t>
      </w:r>
      <w:r w:rsidR="00361913" w:rsidRPr="009A7AF5">
        <w:rPr>
          <w:noProof/>
          <w:color w:val="000000" w:themeColor="text1"/>
        </w:rPr>
        <w:t xml:space="preserve">i for </w:t>
      </w:r>
      <w:r w:rsidR="00361913" w:rsidRPr="009A7AF5">
        <w:rPr>
          <w:i/>
          <w:noProof/>
          <w:color w:val="000000" w:themeColor="text1"/>
        </w:rPr>
        <w:t>Pan paniscus</w:t>
      </w:r>
      <w:r w:rsidR="00361913" w:rsidRPr="009A7AF5">
        <w:rPr>
          <w:noProof/>
          <w:color w:val="000000" w:themeColor="text1"/>
        </w:rPr>
        <w:t xml:space="preserve"> and </w:t>
      </w:r>
      <w:r w:rsidR="00361913" w:rsidRPr="009A7AF5">
        <w:rPr>
          <w:i/>
          <w:noProof/>
          <w:color w:val="000000" w:themeColor="text1"/>
        </w:rPr>
        <w:t>Pan troglodytes</w:t>
      </w:r>
      <w:r w:rsidR="00361913" w:rsidRPr="009A7AF5">
        <w:rPr>
          <w:noProof/>
          <w:color w:val="000000" w:themeColor="text1"/>
        </w:rPr>
        <w:t xml:space="preserve"> respectively.</w:t>
      </w:r>
      <w:r w:rsidR="00361913" w:rsidRPr="005D0587">
        <w:rPr>
          <w:noProof/>
          <w:color w:val="000000" w:themeColor="text1"/>
        </w:rPr>
        <w:t xml:space="preserve">  </w:t>
      </w:r>
      <w:r w:rsidR="00361913" w:rsidRPr="009A7AF5">
        <w:rPr>
          <w:noProof/>
          <w:color w:val="000000" w:themeColor="text1"/>
        </w:rPr>
        <w:t>A linear regression line is also plotted as well as a line of perfect isometry where left equals right.</w:t>
      </w:r>
    </w:p>
    <w:p w:rsidR="00E22661" w:rsidRDefault="00E22661">
      <w:pPr>
        <w:spacing w:before="0" w:after="200" w:line="276" w:lineRule="auto"/>
        <w:jc w:val="left"/>
        <w:rPr>
          <w:noProof/>
          <w:color w:val="000000" w:themeColor="text1"/>
        </w:rPr>
      </w:pPr>
      <w:r>
        <w:rPr>
          <w:noProof/>
          <w:color w:val="000000" w:themeColor="text1"/>
        </w:rPr>
        <w:br w:type="page"/>
      </w:r>
    </w:p>
    <w:p w:rsidR="00E22661" w:rsidRDefault="00E22661" w:rsidP="00E22661">
      <w:pPr>
        <w:pStyle w:val="Caption"/>
        <w:jc w:val="center"/>
        <w:rPr>
          <w:b/>
        </w:rPr>
      </w:pPr>
      <w:r>
        <w:rPr>
          <w:noProof/>
          <w:lang w:val="en-GB" w:eastAsia="en-GB"/>
        </w:rPr>
        <w:lastRenderedPageBreak/>
        <w:drawing>
          <wp:inline distT="0" distB="0" distL="0" distR="0" wp14:anchorId="202423AC" wp14:editId="257942A5">
            <wp:extent cx="4726380" cy="3372592"/>
            <wp:effectExtent l="0" t="0" r="17145" b="1841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1913" w:rsidRPr="009A7AF5" w:rsidRDefault="00C9288A" w:rsidP="00C9288A">
      <w:pPr>
        <w:pStyle w:val="Caption"/>
      </w:pPr>
      <w:bookmarkStart w:id="202" w:name="_Toc373147457"/>
      <w:proofErr w:type="gramStart"/>
      <w:r w:rsidRPr="00C9288A">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10</w:t>
      </w:r>
      <w:r w:rsidR="008943E4">
        <w:rPr>
          <w:b/>
        </w:rPr>
        <w:fldChar w:fldCharType="end"/>
      </w:r>
      <w:r w:rsidR="00036EDD">
        <w:rPr>
          <w:b/>
        </w:rPr>
        <w:t xml:space="preserve"> </w:t>
      </w:r>
      <w:r w:rsidR="00361913" w:rsidRPr="009A7AF5">
        <w:t xml:space="preserve"> Left and right humer</w:t>
      </w:r>
      <w:r w:rsidR="0081294B">
        <w:t>i</w:t>
      </w:r>
      <w:r w:rsidR="00361913" w:rsidRPr="009A7AF5">
        <w:t xml:space="preserve">i plotted again each other for </w:t>
      </w:r>
      <w:r w:rsidR="00361913" w:rsidRPr="009A7AF5">
        <w:rPr>
          <w:i/>
        </w:rPr>
        <w:t xml:space="preserve">Pan </w:t>
      </w:r>
      <w:proofErr w:type="gramStart"/>
      <w:r w:rsidR="00361913" w:rsidRPr="009A7AF5">
        <w:rPr>
          <w:i/>
        </w:rPr>
        <w:t>paniscus</w:t>
      </w:r>
      <w:proofErr w:type="gramEnd"/>
      <w:r w:rsidR="00361913" w:rsidRPr="009A7AF5">
        <w:rPr>
          <w:i/>
        </w:rPr>
        <w:t xml:space="preserve"> </w:t>
      </w:r>
      <w:r w:rsidR="00361913" w:rsidRPr="009A7AF5">
        <w:t>individuals</w:t>
      </w:r>
      <w:r w:rsidR="0052459D" w:rsidRPr="009A7AF5">
        <w:t>.</w:t>
      </w:r>
      <w:bookmarkEnd w:id="202"/>
    </w:p>
    <w:p w:rsidR="00361913" w:rsidRPr="009A7AF5" w:rsidRDefault="00361913" w:rsidP="00C9288A">
      <w:pPr>
        <w:pStyle w:val="Caption"/>
      </w:pPr>
      <w:bookmarkStart w:id="203" w:name="_Toc373147458"/>
      <w:r w:rsidRPr="00C9288A">
        <w:rPr>
          <w:b/>
          <w:noProof/>
          <w:lang w:val="en-GB" w:eastAsia="en-GB"/>
        </w:rPr>
        <w:drawing>
          <wp:anchor distT="0" distB="180340" distL="114300" distR="114300" simplePos="0" relativeHeight="251663360" behindDoc="0" locked="1" layoutInCell="1" allowOverlap="0" wp14:anchorId="37FE8085" wp14:editId="39953A38">
            <wp:simplePos x="0" y="0"/>
            <wp:positionH relativeFrom="column">
              <wp:posOffset>520700</wp:posOffset>
            </wp:positionH>
            <wp:positionV relativeFrom="paragraph">
              <wp:posOffset>55880</wp:posOffset>
            </wp:positionV>
            <wp:extent cx="4809490" cy="3906520"/>
            <wp:effectExtent l="19050" t="0" r="10160"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roofErr w:type="gramStart"/>
      <w:r w:rsidR="00C9288A" w:rsidRPr="00C9288A">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11</w:t>
      </w:r>
      <w:r w:rsidR="008943E4">
        <w:rPr>
          <w:b/>
        </w:rPr>
        <w:fldChar w:fldCharType="end"/>
      </w:r>
      <w:r w:rsidR="009A7AF5" w:rsidRPr="009A7AF5">
        <w:t xml:space="preserve"> </w:t>
      </w:r>
      <w:r w:rsidR="00036EDD">
        <w:t xml:space="preserve"> </w:t>
      </w:r>
      <w:r w:rsidR="009A7AF5" w:rsidRPr="009A7AF5">
        <w:t>Left and right humer</w:t>
      </w:r>
      <w:r w:rsidR="009B0F21">
        <w:t>i</w:t>
      </w:r>
      <w:r w:rsidR="009A7AF5" w:rsidRPr="009A7AF5">
        <w:t xml:space="preserve">i plotted again each other for </w:t>
      </w:r>
      <w:r w:rsidR="009A7AF5" w:rsidRPr="009A7AF5">
        <w:rPr>
          <w:i/>
        </w:rPr>
        <w:t xml:space="preserve">Pan </w:t>
      </w:r>
      <w:proofErr w:type="gramStart"/>
      <w:r w:rsidR="009A7AF5" w:rsidRPr="009A7AF5">
        <w:rPr>
          <w:i/>
        </w:rPr>
        <w:t>troglodytes</w:t>
      </w:r>
      <w:proofErr w:type="gramEnd"/>
      <w:r w:rsidR="009A7AF5" w:rsidRPr="009A7AF5">
        <w:rPr>
          <w:i/>
        </w:rPr>
        <w:t xml:space="preserve"> </w:t>
      </w:r>
      <w:r w:rsidR="009A7AF5" w:rsidRPr="009A7AF5">
        <w:t>individuals.</w:t>
      </w:r>
      <w:bookmarkEnd w:id="203"/>
    </w:p>
    <w:p w:rsidR="00361913" w:rsidRPr="00A47F83" w:rsidRDefault="00361913" w:rsidP="000C7CD4">
      <w:pPr>
        <w:rPr>
          <w:noProof/>
        </w:rPr>
      </w:pPr>
      <w:r>
        <w:rPr>
          <w:noProof/>
        </w:rPr>
        <w:lastRenderedPageBreak/>
        <w:t xml:space="preserve">The regression lines in </w:t>
      </w:r>
      <w:r w:rsidR="008E5014">
        <w:rPr>
          <w:noProof/>
        </w:rPr>
        <w:t>F</w:t>
      </w:r>
      <w:r>
        <w:rPr>
          <w:noProof/>
        </w:rPr>
        <w:t xml:space="preserve">igures 3.14 and 3.15 almost perfectly overlap for both species, suggesting that there was no notable difference between right and left humerii with respect to length.  Upon observation of the data points for individuals of </w:t>
      </w:r>
      <w:r w:rsidRPr="00554018">
        <w:rPr>
          <w:i/>
          <w:noProof/>
        </w:rPr>
        <w:t>Pan troglodytes</w:t>
      </w:r>
      <w:r>
        <w:rPr>
          <w:noProof/>
        </w:rPr>
        <w:t xml:space="preserve">, there appears not to be any significant trend of deviation above or below isometry for any point in development.  If lateralization is a developed trait later in growth, then one might expect </w:t>
      </w:r>
      <w:r w:rsidR="00706126">
        <w:rPr>
          <w:noProof/>
        </w:rPr>
        <w:t>differences</w:t>
      </w:r>
      <w:r>
        <w:rPr>
          <w:noProof/>
        </w:rPr>
        <w:t xml:space="preserve"> to appear more frequently at longer lengths, but this is clearly not the case.  To compare these samples statistically, a non-parametric paired sample test was performed for t</w:t>
      </w:r>
      <w:r w:rsidR="00C21D0E">
        <w:rPr>
          <w:noProof/>
        </w:rPr>
        <w:t>he humerus in SPSS Statistics 21</w:t>
      </w:r>
      <w:r>
        <w:rPr>
          <w:noProof/>
        </w:rPr>
        <w:t xml:space="preserve">.  </w:t>
      </w:r>
      <w:r w:rsidR="003B3E20">
        <w:rPr>
          <w:noProof/>
        </w:rPr>
        <w:t>Table 3.30</w:t>
      </w:r>
      <w:r w:rsidR="00826965">
        <w:rPr>
          <w:noProof/>
        </w:rPr>
        <w:t xml:space="preserve"> </w:t>
      </w:r>
      <w:r w:rsidR="00EE0E1C">
        <w:rPr>
          <w:noProof/>
        </w:rPr>
        <w:t>indicates</w:t>
      </w:r>
      <w:r w:rsidR="00826965">
        <w:rPr>
          <w:noProof/>
        </w:rPr>
        <w:t xml:space="preserve"> </w:t>
      </w:r>
      <w:r w:rsidR="008943E4" w:rsidRPr="00CA5FBB">
        <w:rPr>
          <w:i/>
          <w:noProof/>
        </w:rPr>
        <w:t>Z</w:t>
      </w:r>
      <w:r w:rsidR="00826965">
        <w:rPr>
          <w:noProof/>
        </w:rPr>
        <w:t xml:space="preserve"> scores and 2-tailed significance values for </w:t>
      </w:r>
      <w:r w:rsidR="00826965">
        <w:rPr>
          <w:i/>
          <w:noProof/>
        </w:rPr>
        <w:t xml:space="preserve">Pan </w:t>
      </w:r>
      <w:r w:rsidR="00826965" w:rsidRPr="00826965">
        <w:rPr>
          <w:i/>
          <w:noProof/>
        </w:rPr>
        <w:t>troglodytes</w:t>
      </w:r>
      <w:r w:rsidR="00826965">
        <w:rPr>
          <w:noProof/>
        </w:rPr>
        <w:t xml:space="preserve"> and </w:t>
      </w:r>
      <w:r w:rsidR="00826965">
        <w:rPr>
          <w:i/>
          <w:noProof/>
        </w:rPr>
        <w:t xml:space="preserve">Pan </w:t>
      </w:r>
      <w:r w:rsidR="00826965" w:rsidRPr="00826965">
        <w:rPr>
          <w:i/>
          <w:noProof/>
        </w:rPr>
        <w:t>paniscus</w:t>
      </w:r>
      <w:r w:rsidR="00826965">
        <w:rPr>
          <w:noProof/>
        </w:rPr>
        <w:t xml:space="preserve"> males and females.</w:t>
      </w:r>
    </w:p>
    <w:p w:rsidR="00B3613E" w:rsidRPr="00B50932" w:rsidRDefault="00C9288A" w:rsidP="00C9288A">
      <w:pPr>
        <w:pStyle w:val="Caption"/>
      </w:pPr>
      <w:bookmarkStart w:id="204" w:name="_Toc373180142"/>
      <w:proofErr w:type="gramStart"/>
      <w:r w:rsidRPr="00C9288A">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30</w:t>
      </w:r>
      <w:r w:rsidR="008943E4">
        <w:rPr>
          <w:b/>
        </w:rPr>
        <w:fldChar w:fldCharType="end"/>
      </w:r>
      <w:r>
        <w:t xml:space="preserve"> </w:t>
      </w:r>
      <w:r w:rsidR="00B3613E" w:rsidRPr="00B3613E">
        <w:t xml:space="preserve">Z scores and significance from 2-tailed paired sample test for the humerus in </w:t>
      </w:r>
      <w:r w:rsidR="00B3613E" w:rsidRPr="00B3613E">
        <w:rPr>
          <w:i/>
        </w:rPr>
        <w:t xml:space="preserve">Pan </w:t>
      </w:r>
      <w:proofErr w:type="gramStart"/>
      <w:r w:rsidR="00B3613E" w:rsidRPr="00B3613E">
        <w:rPr>
          <w:i/>
        </w:rPr>
        <w:t>troglodytes</w:t>
      </w:r>
      <w:proofErr w:type="gramEnd"/>
      <w:r w:rsidR="00B3613E" w:rsidRPr="00B3613E">
        <w:t xml:space="preserve"> and </w:t>
      </w:r>
      <w:r w:rsidR="00B3613E" w:rsidRPr="00B3613E">
        <w:rPr>
          <w:i/>
        </w:rPr>
        <w:t>Pan pansicus</w:t>
      </w:r>
      <w:r w:rsidR="00B3613E">
        <w:t>.</w:t>
      </w:r>
      <w:bookmarkEnd w:id="204"/>
    </w:p>
    <w:tbl>
      <w:tblPr>
        <w:tblW w:w="6330" w:type="dxa"/>
        <w:jc w:val="center"/>
        <w:tblInd w:w="-430" w:type="dxa"/>
        <w:tblBorders>
          <w:top w:val="single" w:sz="4" w:space="0" w:color="auto"/>
          <w:bottom w:val="single" w:sz="8" w:space="0" w:color="auto"/>
        </w:tblBorders>
        <w:tblLook w:val="04A0" w:firstRow="1" w:lastRow="0" w:firstColumn="1" w:lastColumn="0" w:noHBand="0" w:noVBand="1"/>
      </w:tblPr>
      <w:tblGrid>
        <w:gridCol w:w="2490"/>
        <w:gridCol w:w="1091"/>
        <w:gridCol w:w="829"/>
        <w:gridCol w:w="1057"/>
        <w:gridCol w:w="863"/>
      </w:tblGrid>
      <w:tr w:rsidR="00092B9D" w:rsidRPr="00092B9D" w:rsidTr="00092B9D">
        <w:trPr>
          <w:trHeight w:val="300"/>
          <w:jc w:val="center"/>
        </w:trPr>
        <w:tc>
          <w:tcPr>
            <w:tcW w:w="2490" w:type="dxa"/>
            <w:vMerge w:val="restart"/>
            <w:tcBorders>
              <w:top w:val="single" w:sz="4" w:space="0" w:color="auto"/>
              <w:bottom w:val="nil"/>
            </w:tcBorders>
            <w:shd w:val="clear" w:color="auto" w:fill="auto"/>
            <w:noWrap/>
            <w:vAlign w:val="center"/>
            <w:hideMark/>
          </w:tcPr>
          <w:p w:rsidR="00092B9D" w:rsidRPr="00092B9D" w:rsidRDefault="00092B9D" w:rsidP="00092B9D">
            <w:pPr>
              <w:spacing w:before="0" w:line="240" w:lineRule="auto"/>
              <w:jc w:val="center"/>
              <w:rPr>
                <w:rFonts w:eastAsia="Times New Roman"/>
                <w:b/>
                <w:color w:val="000000"/>
                <w:lang w:val="en-GB" w:eastAsia="en-GB"/>
              </w:rPr>
            </w:pPr>
            <w:bookmarkStart w:id="205" w:name="_Toc373180143"/>
            <w:r w:rsidRPr="00092B9D">
              <w:rPr>
                <w:rFonts w:eastAsia="Times New Roman"/>
                <w:b/>
                <w:color w:val="000000"/>
                <w:lang w:val="en-GB" w:eastAsia="en-GB"/>
              </w:rPr>
              <w:t>test statistic</w:t>
            </w:r>
          </w:p>
        </w:tc>
        <w:tc>
          <w:tcPr>
            <w:tcW w:w="1920" w:type="dxa"/>
            <w:gridSpan w:val="2"/>
            <w:tcBorders>
              <w:top w:val="single" w:sz="4" w:space="0" w:color="auto"/>
              <w:bottom w:val="nil"/>
            </w:tcBorders>
            <w:shd w:val="clear" w:color="auto" w:fill="auto"/>
            <w:noWrap/>
            <w:vAlign w:val="center"/>
            <w:hideMark/>
          </w:tcPr>
          <w:p w:rsidR="00092B9D" w:rsidRPr="00092B9D" w:rsidRDefault="00092B9D" w:rsidP="00092B9D">
            <w:pPr>
              <w:spacing w:before="0" w:line="240" w:lineRule="auto"/>
              <w:jc w:val="center"/>
              <w:rPr>
                <w:rFonts w:eastAsia="Times New Roman"/>
                <w:b/>
                <w:i/>
                <w:color w:val="000000"/>
                <w:lang w:val="en-GB" w:eastAsia="en-GB"/>
              </w:rPr>
            </w:pPr>
            <w:r w:rsidRPr="00092B9D">
              <w:rPr>
                <w:rFonts w:eastAsia="Times New Roman"/>
                <w:b/>
                <w:i/>
                <w:color w:val="000000"/>
                <w:lang w:val="en-GB" w:eastAsia="en-GB"/>
              </w:rPr>
              <w:t>Pan troglodytes</w:t>
            </w:r>
          </w:p>
        </w:tc>
        <w:tc>
          <w:tcPr>
            <w:tcW w:w="1920" w:type="dxa"/>
            <w:gridSpan w:val="2"/>
            <w:tcBorders>
              <w:top w:val="single" w:sz="4" w:space="0" w:color="auto"/>
              <w:bottom w:val="nil"/>
            </w:tcBorders>
            <w:shd w:val="clear" w:color="auto" w:fill="auto"/>
            <w:noWrap/>
            <w:vAlign w:val="center"/>
            <w:hideMark/>
          </w:tcPr>
          <w:p w:rsidR="00092B9D" w:rsidRPr="00092B9D" w:rsidRDefault="00092B9D" w:rsidP="00092B9D">
            <w:pPr>
              <w:spacing w:before="0" w:line="240" w:lineRule="auto"/>
              <w:jc w:val="center"/>
              <w:rPr>
                <w:rFonts w:eastAsia="Times New Roman"/>
                <w:b/>
                <w:i/>
                <w:color w:val="000000"/>
                <w:lang w:val="en-GB" w:eastAsia="en-GB"/>
              </w:rPr>
            </w:pPr>
            <w:r w:rsidRPr="00092B9D">
              <w:rPr>
                <w:rFonts w:eastAsia="Times New Roman"/>
                <w:b/>
                <w:i/>
                <w:color w:val="000000"/>
                <w:lang w:val="en-GB" w:eastAsia="en-GB"/>
              </w:rPr>
              <w:t>Pan paniscus</w:t>
            </w:r>
          </w:p>
        </w:tc>
      </w:tr>
      <w:tr w:rsidR="00092B9D" w:rsidRPr="00092B9D" w:rsidTr="00092B9D">
        <w:trPr>
          <w:trHeight w:val="300"/>
          <w:jc w:val="center"/>
        </w:trPr>
        <w:tc>
          <w:tcPr>
            <w:tcW w:w="2490" w:type="dxa"/>
            <w:vMerge/>
            <w:tcBorders>
              <w:top w:val="nil"/>
              <w:bottom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b/>
                <w:color w:val="000000"/>
                <w:lang w:val="en-GB" w:eastAsia="en-GB"/>
              </w:rPr>
            </w:pPr>
          </w:p>
        </w:tc>
        <w:tc>
          <w:tcPr>
            <w:tcW w:w="1091" w:type="dxa"/>
            <w:tcBorders>
              <w:top w:val="nil"/>
              <w:bottom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b/>
                <w:color w:val="000000"/>
                <w:lang w:val="en-GB" w:eastAsia="en-GB"/>
              </w:rPr>
            </w:pPr>
            <w:r w:rsidRPr="00092B9D">
              <w:rPr>
                <w:rFonts w:eastAsia="Times New Roman"/>
                <w:b/>
                <w:color w:val="000000"/>
                <w:lang w:val="en-GB" w:eastAsia="en-GB"/>
              </w:rPr>
              <w:t>females</w:t>
            </w:r>
          </w:p>
        </w:tc>
        <w:tc>
          <w:tcPr>
            <w:tcW w:w="829" w:type="dxa"/>
            <w:tcBorders>
              <w:top w:val="nil"/>
              <w:bottom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b/>
                <w:color w:val="000000"/>
                <w:lang w:val="en-GB" w:eastAsia="en-GB"/>
              </w:rPr>
            </w:pPr>
            <w:r w:rsidRPr="00092B9D">
              <w:rPr>
                <w:rFonts w:eastAsia="Times New Roman"/>
                <w:b/>
                <w:color w:val="000000"/>
                <w:lang w:val="en-GB" w:eastAsia="en-GB"/>
              </w:rPr>
              <w:t>males</w:t>
            </w:r>
          </w:p>
        </w:tc>
        <w:tc>
          <w:tcPr>
            <w:tcW w:w="1057" w:type="dxa"/>
            <w:tcBorders>
              <w:top w:val="nil"/>
              <w:bottom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b/>
                <w:color w:val="000000"/>
                <w:lang w:val="en-GB" w:eastAsia="en-GB"/>
              </w:rPr>
            </w:pPr>
            <w:r w:rsidRPr="00092B9D">
              <w:rPr>
                <w:rFonts w:eastAsia="Times New Roman"/>
                <w:b/>
                <w:color w:val="000000"/>
                <w:lang w:val="en-GB" w:eastAsia="en-GB"/>
              </w:rPr>
              <w:t>females</w:t>
            </w:r>
          </w:p>
        </w:tc>
        <w:tc>
          <w:tcPr>
            <w:tcW w:w="863" w:type="dxa"/>
            <w:tcBorders>
              <w:top w:val="nil"/>
              <w:bottom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b/>
                <w:color w:val="000000"/>
                <w:lang w:val="en-GB" w:eastAsia="en-GB"/>
              </w:rPr>
            </w:pPr>
            <w:r w:rsidRPr="00092B9D">
              <w:rPr>
                <w:rFonts w:eastAsia="Times New Roman"/>
                <w:b/>
                <w:color w:val="000000"/>
                <w:lang w:val="en-GB" w:eastAsia="en-GB"/>
              </w:rPr>
              <w:t>males</w:t>
            </w:r>
          </w:p>
        </w:tc>
      </w:tr>
      <w:tr w:rsidR="00092B9D" w:rsidRPr="00092B9D" w:rsidTr="00092B9D">
        <w:trPr>
          <w:trHeight w:val="300"/>
          <w:jc w:val="center"/>
        </w:trPr>
        <w:tc>
          <w:tcPr>
            <w:tcW w:w="2490" w:type="dxa"/>
            <w:tcBorders>
              <w:top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i/>
                <w:iCs/>
                <w:color w:val="000000"/>
                <w:lang w:val="en-GB" w:eastAsia="en-GB"/>
              </w:rPr>
            </w:pPr>
            <w:r w:rsidRPr="00092B9D">
              <w:rPr>
                <w:rFonts w:eastAsia="Times New Roman"/>
                <w:i/>
                <w:iCs/>
                <w:color w:val="000000"/>
                <w:lang w:val="en-GB" w:eastAsia="en-GB"/>
              </w:rPr>
              <w:t>Z</w:t>
            </w:r>
            <w:r w:rsidRPr="00092B9D">
              <w:rPr>
                <w:rFonts w:eastAsia="Times New Roman"/>
                <w:color w:val="000000"/>
                <w:lang w:val="en-GB" w:eastAsia="en-GB"/>
              </w:rPr>
              <w:t xml:space="preserve"> score</w:t>
            </w:r>
          </w:p>
        </w:tc>
        <w:tc>
          <w:tcPr>
            <w:tcW w:w="1091" w:type="dxa"/>
            <w:tcBorders>
              <w:top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-0.938</w:t>
            </w:r>
          </w:p>
        </w:tc>
        <w:tc>
          <w:tcPr>
            <w:tcW w:w="829" w:type="dxa"/>
            <w:tcBorders>
              <w:top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-0.65</w:t>
            </w:r>
          </w:p>
        </w:tc>
        <w:tc>
          <w:tcPr>
            <w:tcW w:w="1057" w:type="dxa"/>
            <w:tcBorders>
              <w:top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-1.063</w:t>
            </w:r>
          </w:p>
        </w:tc>
        <w:tc>
          <w:tcPr>
            <w:tcW w:w="863" w:type="dxa"/>
            <w:tcBorders>
              <w:top w:val="single" w:sz="4" w:space="0" w:color="auto"/>
            </w:tcBorders>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-1.378</w:t>
            </w:r>
          </w:p>
        </w:tc>
      </w:tr>
      <w:tr w:rsidR="00092B9D" w:rsidRPr="00092B9D" w:rsidTr="00092B9D">
        <w:trPr>
          <w:trHeight w:val="315"/>
          <w:jc w:val="center"/>
        </w:trPr>
        <w:tc>
          <w:tcPr>
            <w:tcW w:w="2490" w:type="dxa"/>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significance (2-tailed)</w:t>
            </w:r>
          </w:p>
        </w:tc>
        <w:tc>
          <w:tcPr>
            <w:tcW w:w="1091" w:type="dxa"/>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0.348</w:t>
            </w:r>
          </w:p>
        </w:tc>
        <w:tc>
          <w:tcPr>
            <w:tcW w:w="829" w:type="dxa"/>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0.516</w:t>
            </w:r>
          </w:p>
        </w:tc>
        <w:tc>
          <w:tcPr>
            <w:tcW w:w="1057" w:type="dxa"/>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0.288</w:t>
            </w:r>
          </w:p>
        </w:tc>
        <w:tc>
          <w:tcPr>
            <w:tcW w:w="863" w:type="dxa"/>
            <w:shd w:val="clear" w:color="auto" w:fill="auto"/>
            <w:noWrap/>
            <w:vAlign w:val="center"/>
            <w:hideMark/>
          </w:tcPr>
          <w:p w:rsidR="00092B9D" w:rsidRPr="00092B9D" w:rsidRDefault="00092B9D" w:rsidP="00092B9D">
            <w:pPr>
              <w:spacing w:before="0" w:line="240" w:lineRule="auto"/>
              <w:jc w:val="center"/>
              <w:rPr>
                <w:rFonts w:eastAsia="Times New Roman"/>
                <w:color w:val="000000"/>
                <w:lang w:val="en-GB" w:eastAsia="en-GB"/>
              </w:rPr>
            </w:pPr>
            <w:r w:rsidRPr="00092B9D">
              <w:rPr>
                <w:rFonts w:eastAsia="Times New Roman"/>
                <w:color w:val="000000"/>
                <w:lang w:val="en-GB" w:eastAsia="en-GB"/>
              </w:rPr>
              <w:t>0.168</w:t>
            </w:r>
          </w:p>
        </w:tc>
      </w:tr>
    </w:tbl>
    <w:p w:rsidR="00361913" w:rsidRPr="000D0868" w:rsidRDefault="00C9288A" w:rsidP="00C9288A">
      <w:pPr>
        <w:pStyle w:val="Caption"/>
        <w:keepNext/>
        <w:jc w:val="left"/>
      </w:pPr>
      <w:proofErr w:type="gramStart"/>
      <w:r w:rsidRPr="00C9288A">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31</w:t>
      </w:r>
      <w:r w:rsidR="008943E4">
        <w:rPr>
          <w:b/>
        </w:rPr>
        <w:fldChar w:fldCharType="end"/>
      </w:r>
      <w:r w:rsidR="00036EDD">
        <w:rPr>
          <w:b/>
        </w:rPr>
        <w:t xml:space="preserve"> </w:t>
      </w:r>
      <w:r w:rsidR="000D0868">
        <w:t xml:space="preserve"> </w:t>
      </w:r>
      <w:r w:rsidR="008943E4" w:rsidRPr="00CA5FBB">
        <w:rPr>
          <w:i/>
        </w:rPr>
        <w:t>Z</w:t>
      </w:r>
      <w:r w:rsidR="000D0868">
        <w:t xml:space="preserve"> scores and 2-tailed significance for left-right comparisons of all long bones (excluding humerus) for male and female </w:t>
      </w:r>
      <w:r w:rsidR="000D0868">
        <w:rPr>
          <w:i/>
        </w:rPr>
        <w:t xml:space="preserve">Pan </w:t>
      </w:r>
      <w:proofErr w:type="gramStart"/>
      <w:r w:rsidR="000D0868">
        <w:rPr>
          <w:i/>
        </w:rPr>
        <w:t>troglodytes</w:t>
      </w:r>
      <w:proofErr w:type="gramEnd"/>
      <w:r w:rsidR="000D0868">
        <w:t xml:space="preserve"> and </w:t>
      </w:r>
      <w:r w:rsidR="000D0868">
        <w:rPr>
          <w:i/>
        </w:rPr>
        <w:t>Pan paniscus</w:t>
      </w:r>
      <w:r w:rsidR="000D0868">
        <w:t>.</w:t>
      </w:r>
      <w:bookmarkEnd w:id="205"/>
    </w:p>
    <w:tbl>
      <w:tblPr>
        <w:tblW w:w="7528" w:type="dxa"/>
        <w:jc w:val="center"/>
        <w:tblBorders>
          <w:top w:val="single" w:sz="4" w:space="0" w:color="auto"/>
          <w:bottom w:val="single" w:sz="4" w:space="0" w:color="auto"/>
        </w:tblBorders>
        <w:tblLook w:val="04A0" w:firstRow="1" w:lastRow="0" w:firstColumn="1" w:lastColumn="0" w:noHBand="0" w:noVBand="1"/>
      </w:tblPr>
      <w:tblGrid>
        <w:gridCol w:w="3559"/>
        <w:gridCol w:w="1418"/>
        <w:gridCol w:w="2551"/>
      </w:tblGrid>
      <w:tr w:rsidR="00CE65D8" w:rsidRPr="00CE65D8" w:rsidTr="008B0723">
        <w:trPr>
          <w:trHeight w:val="284"/>
          <w:jc w:val="center"/>
        </w:trPr>
        <w:tc>
          <w:tcPr>
            <w:tcW w:w="3559" w:type="dxa"/>
            <w:tcBorders>
              <w:top w:val="single" w:sz="4" w:space="0" w:color="auto"/>
              <w:bottom w:val="single" w:sz="4" w:space="0" w:color="auto"/>
            </w:tcBorders>
            <w:shd w:val="clear" w:color="auto" w:fill="auto"/>
            <w:noWrap/>
            <w:vAlign w:val="center"/>
            <w:hideMark/>
          </w:tcPr>
          <w:p w:rsidR="00CE65D8" w:rsidRPr="00CA5FBB" w:rsidRDefault="008B0723" w:rsidP="00C456A9">
            <w:pPr>
              <w:spacing w:before="0" w:line="240" w:lineRule="auto"/>
              <w:jc w:val="center"/>
              <w:rPr>
                <w:b/>
                <w:lang w:val="en-GB" w:eastAsia="en-GB"/>
              </w:rPr>
            </w:pPr>
            <w:r>
              <w:rPr>
                <w:b/>
                <w:lang w:val="en-GB" w:eastAsia="en-GB"/>
              </w:rPr>
              <w:t>s</w:t>
            </w:r>
            <w:r w:rsidR="008943E4" w:rsidRPr="00CA5FBB">
              <w:rPr>
                <w:b/>
                <w:lang w:val="en-GB" w:eastAsia="en-GB"/>
              </w:rPr>
              <w:t>pecies/sex/bone</w:t>
            </w:r>
          </w:p>
        </w:tc>
        <w:tc>
          <w:tcPr>
            <w:tcW w:w="1418" w:type="dxa"/>
            <w:tcBorders>
              <w:top w:val="single" w:sz="4" w:space="0" w:color="auto"/>
              <w:bottom w:val="single" w:sz="4" w:space="0" w:color="auto"/>
            </w:tcBorders>
            <w:shd w:val="clear" w:color="auto" w:fill="auto"/>
            <w:noWrap/>
            <w:vAlign w:val="center"/>
            <w:hideMark/>
          </w:tcPr>
          <w:p w:rsidR="00CE65D8" w:rsidRPr="00CA5FBB" w:rsidRDefault="008943E4" w:rsidP="00B07FB8">
            <w:pPr>
              <w:spacing w:before="0" w:line="240" w:lineRule="auto"/>
              <w:jc w:val="center"/>
              <w:rPr>
                <w:rFonts w:eastAsia="Times New Roman"/>
                <w:b/>
                <w:color w:val="000000"/>
                <w:lang w:val="en-GB" w:eastAsia="en-GB"/>
              </w:rPr>
            </w:pPr>
            <w:r w:rsidRPr="00CA5FBB">
              <w:rPr>
                <w:rFonts w:eastAsia="Times New Roman"/>
                <w:b/>
                <w:i/>
                <w:color w:val="000000"/>
                <w:lang w:val="en-GB" w:eastAsia="en-GB"/>
              </w:rPr>
              <w:t>Z</w:t>
            </w:r>
            <w:r w:rsidRPr="00CA5FBB">
              <w:rPr>
                <w:rFonts w:eastAsia="Times New Roman"/>
                <w:b/>
                <w:color w:val="000000"/>
                <w:lang w:val="en-GB" w:eastAsia="en-GB"/>
              </w:rPr>
              <w:t xml:space="preserve"> score</w:t>
            </w:r>
          </w:p>
        </w:tc>
        <w:tc>
          <w:tcPr>
            <w:tcW w:w="2551" w:type="dxa"/>
            <w:tcBorders>
              <w:top w:val="single" w:sz="4" w:space="0" w:color="auto"/>
              <w:bottom w:val="single" w:sz="4" w:space="0" w:color="auto"/>
            </w:tcBorders>
            <w:shd w:val="clear" w:color="auto" w:fill="auto"/>
            <w:noWrap/>
            <w:vAlign w:val="center"/>
            <w:hideMark/>
          </w:tcPr>
          <w:p w:rsidR="00CE65D8" w:rsidRPr="00CA5FBB" w:rsidRDefault="008B0723" w:rsidP="00B07FB8">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ignificance (2-tailed)</w:t>
            </w:r>
          </w:p>
        </w:tc>
      </w:tr>
      <w:tr w:rsidR="00CE65D8" w:rsidRPr="00CE65D8" w:rsidTr="00CA5FBB">
        <w:trPr>
          <w:trHeight w:val="284"/>
          <w:jc w:val="center"/>
        </w:trPr>
        <w:tc>
          <w:tcPr>
            <w:tcW w:w="3559" w:type="dxa"/>
            <w:tcBorders>
              <w:top w:val="single" w:sz="4" w:space="0" w:color="auto"/>
            </w:tcBorders>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 xml:space="preserve">P. paniscus </w:t>
            </w:r>
            <w:r w:rsidRPr="00CE65D8">
              <w:rPr>
                <w:rFonts w:eastAsia="Times New Roman"/>
                <w:color w:val="000000"/>
                <w:lang w:val="en-GB" w:eastAsia="en-GB"/>
              </w:rPr>
              <w:t>females radius</w:t>
            </w:r>
          </w:p>
        </w:tc>
        <w:tc>
          <w:tcPr>
            <w:tcW w:w="1418" w:type="dxa"/>
            <w:tcBorders>
              <w:top w:val="single" w:sz="4" w:space="0" w:color="auto"/>
            </w:tcBorders>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r w:rsidR="00300743" w:rsidRPr="00300743">
              <w:rPr>
                <w:rFonts w:eastAsia="Times New Roman"/>
                <w:color w:val="000000"/>
                <w:vertAlign w:val="superscript"/>
                <w:lang w:val="en-GB" w:eastAsia="en-GB"/>
              </w:rPr>
              <w:t>1.</w:t>
            </w:r>
          </w:p>
        </w:tc>
        <w:tc>
          <w:tcPr>
            <w:tcW w:w="2551" w:type="dxa"/>
            <w:tcBorders>
              <w:top w:val="single" w:sz="4" w:space="0" w:color="auto"/>
            </w:tcBorders>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P.paniscus</w:t>
            </w:r>
            <w:r w:rsidRPr="00CE65D8">
              <w:rPr>
                <w:rFonts w:eastAsia="Times New Roman"/>
                <w:color w:val="000000"/>
                <w:lang w:val="en-GB" w:eastAsia="en-GB"/>
              </w:rPr>
              <w:t xml:space="preserve"> males radius</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troglodytes</w:t>
            </w:r>
            <w:r w:rsidRPr="00CE65D8">
              <w:rPr>
                <w:rFonts w:eastAsia="Times New Roman"/>
                <w:color w:val="000000"/>
                <w:lang w:val="en-GB" w:eastAsia="en-GB"/>
              </w:rPr>
              <w:t xml:space="preserve"> female radius</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-0.612</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0.541</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troglodytes</w:t>
            </w:r>
            <w:r w:rsidRPr="00CE65D8">
              <w:rPr>
                <w:rFonts w:eastAsia="Times New Roman"/>
                <w:color w:val="000000"/>
                <w:lang w:val="en-GB" w:eastAsia="en-GB"/>
              </w:rPr>
              <w:t xml:space="preserve"> male radius</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-1.131</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0.258</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 xml:space="preserve">P. paniscus </w:t>
            </w:r>
            <w:r w:rsidRPr="00CE65D8">
              <w:rPr>
                <w:rFonts w:eastAsia="Times New Roman"/>
                <w:color w:val="000000"/>
                <w:lang w:val="en-GB" w:eastAsia="en-GB"/>
              </w:rPr>
              <w:t>females ulna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-0.816</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0.414</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 xml:space="preserve">P.paniscus </w:t>
            </w:r>
            <w:r w:rsidRPr="00CE65D8">
              <w:rPr>
                <w:rFonts w:eastAsia="Times New Roman"/>
                <w:color w:val="000000"/>
                <w:lang w:val="en-GB" w:eastAsia="en-GB"/>
              </w:rPr>
              <w:t>males ulna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troglodytes</w:t>
            </w:r>
            <w:r w:rsidRPr="00CE65D8">
              <w:rPr>
                <w:rFonts w:eastAsia="Times New Roman"/>
                <w:color w:val="000000"/>
                <w:lang w:val="en-GB" w:eastAsia="en-GB"/>
              </w:rPr>
              <w:t xml:space="preserve"> female ulna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-0.163</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0.870</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troglodytes</w:t>
            </w:r>
            <w:r w:rsidRPr="00CE65D8">
              <w:rPr>
                <w:rFonts w:eastAsia="Times New Roman"/>
                <w:color w:val="000000"/>
                <w:lang w:val="en-GB" w:eastAsia="en-GB"/>
              </w:rPr>
              <w:t xml:space="preserve"> male ulna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-0.634</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0.526</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paniscus</w:t>
            </w:r>
            <w:r w:rsidRPr="00CE65D8">
              <w:rPr>
                <w:rFonts w:eastAsia="Times New Roman"/>
                <w:color w:val="000000"/>
                <w:lang w:val="en-GB" w:eastAsia="en-GB"/>
              </w:rPr>
              <w:t xml:space="preserve"> females femur</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P.paniscus</w:t>
            </w:r>
            <w:r w:rsidRPr="00CE65D8">
              <w:rPr>
                <w:rFonts w:eastAsia="Times New Roman"/>
                <w:color w:val="000000"/>
                <w:lang w:val="en-GB" w:eastAsia="en-GB"/>
              </w:rPr>
              <w:t xml:space="preserve"> males femur</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-0.141</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0.888</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troglodytes</w:t>
            </w:r>
            <w:r w:rsidRPr="00CE65D8">
              <w:rPr>
                <w:rFonts w:eastAsia="Times New Roman"/>
                <w:color w:val="000000"/>
                <w:lang w:val="en-GB" w:eastAsia="en-GB"/>
              </w:rPr>
              <w:t xml:space="preserve"> female femur</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-0.340</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0.734</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troglodytes</w:t>
            </w:r>
            <w:r w:rsidRPr="00CE65D8">
              <w:rPr>
                <w:rFonts w:eastAsia="Times New Roman"/>
                <w:color w:val="000000"/>
                <w:lang w:val="en-GB" w:eastAsia="en-GB"/>
              </w:rPr>
              <w:t xml:space="preserve"> male femur</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-0.524</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0.600</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paniscus</w:t>
            </w:r>
            <w:r w:rsidRPr="00CE65D8">
              <w:rPr>
                <w:rFonts w:eastAsia="Times New Roman"/>
                <w:color w:val="000000"/>
                <w:lang w:val="en-GB" w:eastAsia="en-GB"/>
              </w:rPr>
              <w:t xml:space="preserve"> females tibia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-0.378</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0.705</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 xml:space="preserve">P.paniscus </w:t>
            </w:r>
            <w:r w:rsidRPr="00CE65D8">
              <w:rPr>
                <w:rFonts w:eastAsia="Times New Roman"/>
                <w:color w:val="000000"/>
                <w:lang w:val="en-GB" w:eastAsia="en-GB"/>
              </w:rPr>
              <w:t>males tibia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 xml:space="preserve">P. troglodytes </w:t>
            </w:r>
            <w:r w:rsidRPr="00CE65D8">
              <w:rPr>
                <w:rFonts w:eastAsia="Times New Roman"/>
                <w:color w:val="000000"/>
                <w:lang w:val="en-GB" w:eastAsia="en-GB"/>
              </w:rPr>
              <w:t>female tibia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-0.641</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0.521</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troglodytes</w:t>
            </w:r>
            <w:r w:rsidRPr="00CE65D8">
              <w:rPr>
                <w:rFonts w:eastAsia="Times New Roman"/>
                <w:color w:val="000000"/>
                <w:lang w:val="en-GB" w:eastAsia="en-GB"/>
              </w:rPr>
              <w:t xml:space="preserve"> male tibia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-1.342</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0.180</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 xml:space="preserve">P. paniscus </w:t>
            </w:r>
            <w:r w:rsidRPr="00CE65D8">
              <w:rPr>
                <w:rFonts w:eastAsia="Times New Roman"/>
                <w:color w:val="000000"/>
                <w:lang w:val="en-GB" w:eastAsia="en-GB"/>
              </w:rPr>
              <w:t>females fibula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-1.342</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0.180</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P.paniscus</w:t>
            </w:r>
            <w:r w:rsidRPr="00CE65D8">
              <w:rPr>
                <w:rFonts w:eastAsia="Times New Roman"/>
                <w:color w:val="000000"/>
                <w:lang w:val="en-GB" w:eastAsia="en-GB"/>
              </w:rPr>
              <w:t xml:space="preserve"> males fibula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-0.447</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0.655</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P. troglodytes</w:t>
            </w:r>
            <w:r w:rsidRPr="00CE65D8">
              <w:rPr>
                <w:rFonts w:eastAsia="Times New Roman"/>
                <w:color w:val="000000"/>
                <w:lang w:val="en-GB" w:eastAsia="en-GB"/>
              </w:rPr>
              <w:t xml:space="preserve"> female fibula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-0.519</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0.604</w:t>
            </w:r>
          </w:p>
        </w:tc>
      </w:tr>
      <w:tr w:rsidR="00CE65D8" w:rsidRPr="00CE65D8" w:rsidTr="00CA5FBB">
        <w:trPr>
          <w:trHeight w:val="284"/>
          <w:jc w:val="center"/>
        </w:trPr>
        <w:tc>
          <w:tcPr>
            <w:tcW w:w="3559" w:type="dxa"/>
            <w:shd w:val="clear" w:color="auto" w:fill="auto"/>
            <w:noWrap/>
            <w:vAlign w:val="center"/>
            <w:hideMark/>
          </w:tcPr>
          <w:p w:rsidR="00A35CA0" w:rsidRDefault="00CE65D8" w:rsidP="00CA5FBB">
            <w:pPr>
              <w:spacing w:before="0" w:line="240" w:lineRule="auto"/>
              <w:jc w:val="left"/>
              <w:rPr>
                <w:rFonts w:eastAsia="Times New Roman"/>
                <w:color w:val="000000"/>
                <w:lang w:val="en-GB" w:eastAsia="en-GB"/>
              </w:rPr>
            </w:pPr>
            <w:r w:rsidRPr="00CE65D8">
              <w:rPr>
                <w:rFonts w:eastAsia="Times New Roman"/>
                <w:i/>
                <w:iCs/>
                <w:color w:val="000000"/>
                <w:lang w:val="en-GB" w:eastAsia="en-GB"/>
              </w:rPr>
              <w:t xml:space="preserve">P. troglodytes </w:t>
            </w:r>
            <w:r w:rsidRPr="00CE65D8">
              <w:rPr>
                <w:rFonts w:eastAsia="Times New Roman"/>
                <w:color w:val="000000"/>
                <w:lang w:val="en-GB" w:eastAsia="en-GB"/>
              </w:rPr>
              <w:t>male fibula</w:t>
            </w:r>
          </w:p>
        </w:tc>
        <w:tc>
          <w:tcPr>
            <w:tcW w:w="1418"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-0.169</w:t>
            </w:r>
          </w:p>
        </w:tc>
        <w:tc>
          <w:tcPr>
            <w:tcW w:w="2551" w:type="dxa"/>
            <w:shd w:val="clear" w:color="auto" w:fill="auto"/>
            <w:noWrap/>
            <w:vAlign w:val="center"/>
            <w:hideMark/>
          </w:tcPr>
          <w:p w:rsidR="00CE65D8" w:rsidRPr="00CE65D8" w:rsidRDefault="00CE65D8" w:rsidP="00582B18">
            <w:pPr>
              <w:spacing w:before="0" w:line="240" w:lineRule="auto"/>
              <w:jc w:val="center"/>
              <w:rPr>
                <w:rFonts w:eastAsia="Times New Roman"/>
                <w:color w:val="000000"/>
                <w:lang w:val="en-GB" w:eastAsia="en-GB"/>
              </w:rPr>
            </w:pPr>
            <w:r w:rsidRPr="00CE65D8">
              <w:rPr>
                <w:rFonts w:eastAsia="Times New Roman"/>
                <w:color w:val="000000"/>
                <w:lang w:val="en-GB" w:eastAsia="en-GB"/>
              </w:rPr>
              <w:t>0.866</w:t>
            </w:r>
          </w:p>
        </w:tc>
      </w:tr>
    </w:tbl>
    <w:p w:rsidR="00361913" w:rsidRDefault="00216910" w:rsidP="00B0627C">
      <w:pPr>
        <w:pStyle w:val="ListParagraph"/>
        <w:numPr>
          <w:ilvl w:val="0"/>
          <w:numId w:val="42"/>
        </w:numPr>
        <w:tabs>
          <w:tab w:val="left" w:pos="360"/>
        </w:tabs>
        <w:spacing w:before="120" w:line="240" w:lineRule="auto"/>
        <w:ind w:left="709" w:hanging="142"/>
        <w:rPr>
          <w:noProof/>
          <w:color w:val="000000" w:themeColor="text1"/>
          <w:sz w:val="20"/>
          <w:szCs w:val="20"/>
        </w:rPr>
      </w:pPr>
      <w:r>
        <w:rPr>
          <w:noProof/>
          <w:color w:val="000000" w:themeColor="text1"/>
        </w:rPr>
        <w:t xml:space="preserve"> </w:t>
      </w:r>
      <w:r w:rsidRPr="00216910">
        <w:rPr>
          <w:noProof/>
          <w:color w:val="000000" w:themeColor="text1"/>
          <w:sz w:val="20"/>
          <w:szCs w:val="20"/>
        </w:rPr>
        <w:t xml:space="preserve">‘-’ means that all individuals had exactly the same score.  This only occurred for </w:t>
      </w:r>
      <w:r w:rsidRPr="00216910">
        <w:rPr>
          <w:i/>
          <w:noProof/>
          <w:color w:val="000000" w:themeColor="text1"/>
          <w:sz w:val="20"/>
          <w:szCs w:val="20"/>
        </w:rPr>
        <w:t>Pan paniscus</w:t>
      </w:r>
      <w:r w:rsidR="0042733A">
        <w:rPr>
          <w:noProof/>
          <w:color w:val="000000" w:themeColor="text1"/>
          <w:sz w:val="20"/>
          <w:szCs w:val="20"/>
        </w:rPr>
        <w:t xml:space="preserve"> where small sample size contributed to this occurence</w:t>
      </w:r>
      <w:r w:rsidRPr="00216910">
        <w:rPr>
          <w:noProof/>
          <w:color w:val="000000" w:themeColor="text1"/>
          <w:sz w:val="20"/>
          <w:szCs w:val="20"/>
        </w:rPr>
        <w:t>.  As such, no tests were performed.</w:t>
      </w:r>
    </w:p>
    <w:p w:rsidR="00C2028A" w:rsidRDefault="00C2028A" w:rsidP="00C2028A">
      <w:r>
        <w:lastRenderedPageBreak/>
        <w:t xml:space="preserve">It is clear that there is no statistically significant difference between left and right humeral measurements for either species.  In humans this is the most asymmetric bone </w:t>
      </w:r>
      <w:r w:rsidR="00887EAB">
        <w:t xml:space="preserve">and </w:t>
      </w:r>
      <w:r w:rsidR="00A061BF">
        <w:t xml:space="preserve">it has been </w:t>
      </w:r>
      <w:r>
        <w:t xml:space="preserve">confirmed here that there is no significant difference for chimpanzees or bonobos.  </w:t>
      </w:r>
      <w:r w:rsidR="00A061BF">
        <w:t>It may be inferred</w:t>
      </w:r>
      <w:r>
        <w:t xml:space="preserve"> that it is very unlikely that the remaining bones of the body are asymmetric but to provide certainty this same statistical test was carried out for the remaining long bones and this was shown to be true.  The </w:t>
      </w:r>
      <w:r w:rsidR="00FE6221">
        <w:t xml:space="preserve">results of these tests are shown </w:t>
      </w:r>
      <w:r>
        <w:t>in Table 3.31.</w:t>
      </w:r>
    </w:p>
    <w:p w:rsidR="00361913" w:rsidRPr="00C405B7" w:rsidRDefault="00361913" w:rsidP="00D263E8">
      <w:pPr>
        <w:pStyle w:val="Heading3"/>
      </w:pPr>
      <w:bookmarkStart w:id="206" w:name="_Toc373477781"/>
      <w:bookmarkStart w:id="207" w:name="_Toc373480779"/>
      <w:r w:rsidRPr="00C405B7">
        <w:t>Combined sample variable and dental score 64 individuals</w:t>
      </w:r>
      <w:bookmarkEnd w:id="206"/>
      <w:bookmarkEnd w:id="207"/>
    </w:p>
    <w:p w:rsidR="00361913" w:rsidRDefault="003B3409" w:rsidP="00BF19DB">
      <w:pPr>
        <w:rPr>
          <w:noProof/>
        </w:rPr>
      </w:pPr>
      <w:r>
        <w:rPr>
          <w:noProof/>
        </w:rPr>
        <w:t>Given that there wa</w:t>
      </w:r>
      <w:r w:rsidR="00361913">
        <w:rPr>
          <w:noProof/>
        </w:rPr>
        <w:t>s no</w:t>
      </w:r>
      <w:r w:rsidR="008846C1">
        <w:rPr>
          <w:noProof/>
        </w:rPr>
        <w:t xml:space="preserve"> significant</w:t>
      </w:r>
      <w:r w:rsidR="00361913">
        <w:rPr>
          <w:noProof/>
        </w:rPr>
        <w:t xml:space="preserve"> difference between sides with respect to length, a combined sample variable was created.  A mean value </w:t>
      </w:r>
      <w:r w:rsidR="008E37EA">
        <w:rPr>
          <w:noProof/>
        </w:rPr>
        <w:t xml:space="preserve">for left and right </w:t>
      </w:r>
      <w:r w:rsidR="00361913">
        <w:rPr>
          <w:noProof/>
        </w:rPr>
        <w:t xml:space="preserve">was taken for individuals where there was a </w:t>
      </w:r>
      <w:r w:rsidR="00A3007F">
        <w:rPr>
          <w:noProof/>
        </w:rPr>
        <w:t>difference between sides.  Long-</w:t>
      </w:r>
      <w:r w:rsidR="00361913">
        <w:rPr>
          <w:noProof/>
        </w:rPr>
        <w:t xml:space="preserve">bone lengths from the combined sample variable were sorted by species and by sex.  The overall sample size present for individuals that also had corresponding dental scores </w:t>
      </w:r>
      <w:r w:rsidR="00E278C4">
        <w:rPr>
          <w:noProof/>
        </w:rPr>
        <w:t>is</w:t>
      </w:r>
      <w:r w:rsidR="00361913">
        <w:rPr>
          <w:noProof/>
        </w:rPr>
        <w:t xml:space="preserve"> shown in </w:t>
      </w:r>
      <w:r w:rsidR="00E278C4">
        <w:rPr>
          <w:noProof/>
        </w:rPr>
        <w:t>T</w:t>
      </w:r>
      <w:r w:rsidR="00361913">
        <w:rPr>
          <w:noProof/>
        </w:rPr>
        <w:t>able 3.</w:t>
      </w:r>
      <w:r w:rsidR="00326E0C">
        <w:rPr>
          <w:noProof/>
        </w:rPr>
        <w:t>3</w:t>
      </w:r>
      <w:r w:rsidR="00C26B04">
        <w:rPr>
          <w:noProof/>
        </w:rPr>
        <w:t>2</w:t>
      </w:r>
      <w:r w:rsidR="00361913">
        <w:rPr>
          <w:noProof/>
        </w:rPr>
        <w:t>.</w:t>
      </w:r>
    </w:p>
    <w:p w:rsidR="00361913" w:rsidRPr="00854267" w:rsidRDefault="00C9288A" w:rsidP="00C9288A">
      <w:pPr>
        <w:pStyle w:val="Caption"/>
        <w:keepNext/>
        <w:jc w:val="left"/>
      </w:pPr>
      <w:bookmarkStart w:id="208" w:name="_Toc373180144"/>
      <w:proofErr w:type="gramStart"/>
      <w:r w:rsidRPr="00C9288A">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3</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32</w:t>
      </w:r>
      <w:r w:rsidR="008943E4">
        <w:rPr>
          <w:b/>
        </w:rPr>
        <w:fldChar w:fldCharType="end"/>
      </w:r>
      <w:r w:rsidR="0056603F">
        <w:t xml:space="preserve"> Number of contributing measurements with dental scores for each long-bone in </w:t>
      </w:r>
      <w:r w:rsidR="0056603F">
        <w:rPr>
          <w:i/>
        </w:rPr>
        <w:t xml:space="preserve">Pan </w:t>
      </w:r>
      <w:proofErr w:type="gramStart"/>
      <w:r w:rsidR="0056603F">
        <w:rPr>
          <w:i/>
        </w:rPr>
        <w:t>paniscus</w:t>
      </w:r>
      <w:proofErr w:type="gramEnd"/>
      <w:r w:rsidR="0056603F">
        <w:t xml:space="preserve"> and </w:t>
      </w:r>
      <w:r w:rsidR="0056603F">
        <w:rPr>
          <w:i/>
        </w:rPr>
        <w:t>Pan troglodytes</w:t>
      </w:r>
      <w:r w:rsidR="0056603F">
        <w:t>.</w:t>
      </w:r>
      <w:bookmarkEnd w:id="208"/>
    </w:p>
    <w:tbl>
      <w:tblPr>
        <w:tblW w:w="6749" w:type="dxa"/>
        <w:jc w:val="center"/>
        <w:tblInd w:w="-696" w:type="dxa"/>
        <w:tblLook w:val="04A0" w:firstRow="1" w:lastRow="0" w:firstColumn="1" w:lastColumn="0" w:noHBand="0" w:noVBand="1"/>
      </w:tblPr>
      <w:tblGrid>
        <w:gridCol w:w="2036"/>
        <w:gridCol w:w="960"/>
        <w:gridCol w:w="960"/>
        <w:gridCol w:w="1521"/>
        <w:gridCol w:w="1272"/>
      </w:tblGrid>
      <w:tr w:rsidR="00927143" w:rsidRPr="00927143" w:rsidTr="00FA3E3E">
        <w:trPr>
          <w:trHeight w:val="315"/>
          <w:jc w:val="center"/>
        </w:trPr>
        <w:tc>
          <w:tcPr>
            <w:tcW w:w="2036"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i/>
                <w:iCs/>
                <w:color w:val="000000"/>
                <w:lang w:val="en-GB" w:eastAsia="en-GB"/>
              </w:rPr>
            </w:pPr>
            <w:r w:rsidRPr="00927143">
              <w:rPr>
                <w:rFonts w:eastAsia="Times New Roman"/>
                <w:b/>
                <w:bCs/>
                <w:i/>
                <w:iCs/>
                <w:color w:val="000000"/>
                <w:lang w:val="en-GB" w:eastAsia="en-GB"/>
              </w:rPr>
              <w:t>Pan troglodytes</w:t>
            </w:r>
          </w:p>
        </w:tc>
        <w:tc>
          <w:tcPr>
            <w:tcW w:w="960"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color w:val="000000"/>
                <w:lang w:val="en-GB" w:eastAsia="en-GB"/>
              </w:rPr>
            </w:pPr>
            <w:r w:rsidRPr="00927143">
              <w:rPr>
                <w:rFonts w:eastAsia="Times New Roman"/>
                <w:b/>
                <w:bCs/>
                <w:color w:val="000000"/>
                <w:lang w:val="en-GB" w:eastAsia="en-GB"/>
              </w:rPr>
              <w:t>males</w:t>
            </w:r>
          </w:p>
        </w:tc>
        <w:tc>
          <w:tcPr>
            <w:tcW w:w="960"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color w:val="000000"/>
                <w:lang w:val="en-GB" w:eastAsia="en-GB"/>
              </w:rPr>
            </w:pPr>
            <w:r w:rsidRPr="00927143">
              <w:rPr>
                <w:rFonts w:eastAsia="Times New Roman"/>
                <w:b/>
                <w:bCs/>
                <w:color w:val="000000"/>
                <w:lang w:val="en-GB" w:eastAsia="en-GB"/>
              </w:rPr>
              <w:t>females</w:t>
            </w:r>
          </w:p>
        </w:tc>
        <w:tc>
          <w:tcPr>
            <w:tcW w:w="1521"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color w:val="000000"/>
                <w:lang w:val="en-GB" w:eastAsia="en-GB"/>
              </w:rPr>
            </w:pPr>
            <w:r w:rsidRPr="00927143">
              <w:rPr>
                <w:rFonts w:eastAsia="Times New Roman"/>
                <w:b/>
                <w:bCs/>
                <w:color w:val="000000"/>
                <w:lang w:val="en-GB" w:eastAsia="en-GB"/>
              </w:rPr>
              <w:t>unknown sex</w:t>
            </w:r>
          </w:p>
        </w:tc>
        <w:tc>
          <w:tcPr>
            <w:tcW w:w="1272"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color w:val="000000"/>
                <w:lang w:val="en-GB" w:eastAsia="en-GB"/>
              </w:rPr>
            </w:pPr>
            <w:r w:rsidRPr="00927143">
              <w:rPr>
                <w:rFonts w:eastAsia="Times New Roman"/>
                <w:b/>
                <w:bCs/>
                <w:color w:val="000000"/>
                <w:lang w:val="en-GB" w:eastAsia="en-GB"/>
              </w:rPr>
              <w:t>total</w:t>
            </w:r>
          </w:p>
        </w:tc>
      </w:tr>
      <w:tr w:rsidR="00927143" w:rsidRPr="00927143" w:rsidTr="00FA3E3E">
        <w:trPr>
          <w:trHeight w:val="300"/>
          <w:jc w:val="center"/>
        </w:trPr>
        <w:tc>
          <w:tcPr>
            <w:tcW w:w="2036"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humerus</w:t>
            </w:r>
          </w:p>
        </w:tc>
        <w:tc>
          <w:tcPr>
            <w:tcW w:w="960"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51</w:t>
            </w:r>
          </w:p>
        </w:tc>
        <w:tc>
          <w:tcPr>
            <w:tcW w:w="960"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81</w:t>
            </w:r>
          </w:p>
        </w:tc>
        <w:tc>
          <w:tcPr>
            <w:tcW w:w="1521"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0</w:t>
            </w:r>
          </w:p>
        </w:tc>
        <w:tc>
          <w:tcPr>
            <w:tcW w:w="1272"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132</w:t>
            </w:r>
          </w:p>
        </w:tc>
      </w:tr>
      <w:tr w:rsidR="00927143" w:rsidRPr="00927143" w:rsidTr="00927143">
        <w:trPr>
          <w:trHeight w:val="315"/>
          <w:jc w:val="center"/>
        </w:trPr>
        <w:tc>
          <w:tcPr>
            <w:tcW w:w="2036"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radius</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49</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74</w:t>
            </w:r>
          </w:p>
        </w:tc>
        <w:tc>
          <w:tcPr>
            <w:tcW w:w="1521"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0</w:t>
            </w:r>
          </w:p>
        </w:tc>
        <w:tc>
          <w:tcPr>
            <w:tcW w:w="1272"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123</w:t>
            </w:r>
          </w:p>
        </w:tc>
      </w:tr>
      <w:tr w:rsidR="00927143" w:rsidRPr="00927143" w:rsidTr="00927143">
        <w:trPr>
          <w:trHeight w:val="315"/>
          <w:jc w:val="center"/>
        </w:trPr>
        <w:tc>
          <w:tcPr>
            <w:tcW w:w="2036"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ulna</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25</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54</w:t>
            </w:r>
          </w:p>
        </w:tc>
        <w:tc>
          <w:tcPr>
            <w:tcW w:w="1521"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0</w:t>
            </w:r>
          </w:p>
        </w:tc>
        <w:tc>
          <w:tcPr>
            <w:tcW w:w="1272"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79</w:t>
            </w:r>
          </w:p>
        </w:tc>
      </w:tr>
      <w:tr w:rsidR="00927143" w:rsidRPr="00927143" w:rsidTr="00927143">
        <w:trPr>
          <w:trHeight w:val="315"/>
          <w:jc w:val="center"/>
        </w:trPr>
        <w:tc>
          <w:tcPr>
            <w:tcW w:w="2036"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femur</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55</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82</w:t>
            </w:r>
          </w:p>
        </w:tc>
        <w:tc>
          <w:tcPr>
            <w:tcW w:w="1521"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0</w:t>
            </w:r>
          </w:p>
        </w:tc>
        <w:tc>
          <w:tcPr>
            <w:tcW w:w="1272"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137</w:t>
            </w:r>
          </w:p>
        </w:tc>
      </w:tr>
      <w:tr w:rsidR="00927143" w:rsidRPr="00927143" w:rsidTr="00927143">
        <w:trPr>
          <w:trHeight w:val="315"/>
          <w:jc w:val="center"/>
        </w:trPr>
        <w:tc>
          <w:tcPr>
            <w:tcW w:w="2036"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tibia</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54</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81</w:t>
            </w:r>
          </w:p>
        </w:tc>
        <w:tc>
          <w:tcPr>
            <w:tcW w:w="1521"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0</w:t>
            </w:r>
          </w:p>
        </w:tc>
        <w:tc>
          <w:tcPr>
            <w:tcW w:w="1272"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135</w:t>
            </w:r>
          </w:p>
        </w:tc>
      </w:tr>
      <w:tr w:rsidR="00927143" w:rsidRPr="00927143" w:rsidTr="00FA3E3E">
        <w:trPr>
          <w:trHeight w:val="315"/>
          <w:jc w:val="center"/>
        </w:trPr>
        <w:tc>
          <w:tcPr>
            <w:tcW w:w="2036"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fibula</w:t>
            </w:r>
          </w:p>
        </w:tc>
        <w:tc>
          <w:tcPr>
            <w:tcW w:w="960"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40</w:t>
            </w:r>
          </w:p>
        </w:tc>
        <w:tc>
          <w:tcPr>
            <w:tcW w:w="960"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65</w:t>
            </w:r>
          </w:p>
        </w:tc>
        <w:tc>
          <w:tcPr>
            <w:tcW w:w="1521"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0</w:t>
            </w:r>
          </w:p>
        </w:tc>
        <w:tc>
          <w:tcPr>
            <w:tcW w:w="1272"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105</w:t>
            </w:r>
          </w:p>
        </w:tc>
      </w:tr>
      <w:tr w:rsidR="00927143" w:rsidRPr="00927143" w:rsidTr="00FA3E3E">
        <w:trPr>
          <w:trHeight w:val="315"/>
          <w:jc w:val="center"/>
        </w:trPr>
        <w:tc>
          <w:tcPr>
            <w:tcW w:w="2036"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i/>
                <w:iCs/>
                <w:color w:val="000000"/>
                <w:lang w:val="en-GB" w:eastAsia="en-GB"/>
              </w:rPr>
            </w:pPr>
            <w:r w:rsidRPr="00927143">
              <w:rPr>
                <w:rFonts w:eastAsia="Times New Roman"/>
                <w:b/>
                <w:bCs/>
                <w:i/>
                <w:iCs/>
                <w:color w:val="000000"/>
                <w:lang w:val="en-GB" w:eastAsia="en-GB"/>
              </w:rPr>
              <w:t>Pan paniscus</w:t>
            </w:r>
          </w:p>
        </w:tc>
        <w:tc>
          <w:tcPr>
            <w:tcW w:w="960"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color w:val="000000"/>
                <w:lang w:val="en-GB" w:eastAsia="en-GB"/>
              </w:rPr>
            </w:pPr>
            <w:r w:rsidRPr="00927143">
              <w:rPr>
                <w:rFonts w:eastAsia="Times New Roman"/>
                <w:b/>
                <w:bCs/>
                <w:color w:val="000000"/>
                <w:lang w:val="en-GB" w:eastAsia="en-GB"/>
              </w:rPr>
              <w:t>males</w:t>
            </w:r>
          </w:p>
        </w:tc>
        <w:tc>
          <w:tcPr>
            <w:tcW w:w="960"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color w:val="000000"/>
                <w:lang w:val="en-GB" w:eastAsia="en-GB"/>
              </w:rPr>
            </w:pPr>
            <w:r w:rsidRPr="00927143">
              <w:rPr>
                <w:rFonts w:eastAsia="Times New Roman"/>
                <w:b/>
                <w:bCs/>
                <w:color w:val="000000"/>
                <w:lang w:val="en-GB" w:eastAsia="en-GB"/>
              </w:rPr>
              <w:t>females</w:t>
            </w:r>
          </w:p>
        </w:tc>
        <w:tc>
          <w:tcPr>
            <w:tcW w:w="1521"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color w:val="000000"/>
                <w:lang w:val="en-GB" w:eastAsia="en-GB"/>
              </w:rPr>
            </w:pPr>
            <w:r w:rsidRPr="00927143">
              <w:rPr>
                <w:rFonts w:eastAsia="Times New Roman"/>
                <w:b/>
                <w:bCs/>
                <w:color w:val="000000"/>
                <w:lang w:val="en-GB" w:eastAsia="en-GB"/>
              </w:rPr>
              <w:t>unknown sex</w:t>
            </w:r>
          </w:p>
        </w:tc>
        <w:tc>
          <w:tcPr>
            <w:tcW w:w="1272" w:type="dxa"/>
            <w:tcBorders>
              <w:top w:val="single" w:sz="4" w:space="0" w:color="auto"/>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b/>
                <w:bCs/>
                <w:color w:val="000000"/>
                <w:lang w:val="en-GB" w:eastAsia="en-GB"/>
              </w:rPr>
            </w:pPr>
            <w:r w:rsidRPr="00927143">
              <w:rPr>
                <w:rFonts w:eastAsia="Times New Roman"/>
                <w:b/>
                <w:bCs/>
                <w:color w:val="000000"/>
                <w:lang w:val="en-GB" w:eastAsia="en-GB"/>
              </w:rPr>
              <w:t>total</w:t>
            </w:r>
          </w:p>
        </w:tc>
      </w:tr>
      <w:tr w:rsidR="00927143" w:rsidRPr="00927143" w:rsidTr="00FA3E3E">
        <w:trPr>
          <w:trHeight w:val="315"/>
          <w:jc w:val="center"/>
        </w:trPr>
        <w:tc>
          <w:tcPr>
            <w:tcW w:w="2036"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humerus</w:t>
            </w:r>
          </w:p>
        </w:tc>
        <w:tc>
          <w:tcPr>
            <w:tcW w:w="960"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14</w:t>
            </w:r>
          </w:p>
        </w:tc>
        <w:tc>
          <w:tcPr>
            <w:tcW w:w="960"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8</w:t>
            </w:r>
          </w:p>
        </w:tc>
        <w:tc>
          <w:tcPr>
            <w:tcW w:w="1521"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3</w:t>
            </w:r>
          </w:p>
        </w:tc>
        <w:tc>
          <w:tcPr>
            <w:tcW w:w="1272" w:type="dxa"/>
            <w:tcBorders>
              <w:top w:val="single" w:sz="4" w:space="0" w:color="auto"/>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25</w:t>
            </w:r>
          </w:p>
        </w:tc>
      </w:tr>
      <w:tr w:rsidR="00927143" w:rsidRPr="00927143" w:rsidTr="00927143">
        <w:trPr>
          <w:trHeight w:val="315"/>
          <w:jc w:val="center"/>
        </w:trPr>
        <w:tc>
          <w:tcPr>
            <w:tcW w:w="2036"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radius</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12</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9</w:t>
            </w:r>
          </w:p>
        </w:tc>
        <w:tc>
          <w:tcPr>
            <w:tcW w:w="1521"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3</w:t>
            </w:r>
          </w:p>
        </w:tc>
        <w:tc>
          <w:tcPr>
            <w:tcW w:w="1272"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24</w:t>
            </w:r>
          </w:p>
        </w:tc>
      </w:tr>
      <w:tr w:rsidR="00927143" w:rsidRPr="00927143" w:rsidTr="00927143">
        <w:trPr>
          <w:trHeight w:val="315"/>
          <w:jc w:val="center"/>
        </w:trPr>
        <w:tc>
          <w:tcPr>
            <w:tcW w:w="2036"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ulna</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8</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7</w:t>
            </w:r>
          </w:p>
        </w:tc>
        <w:tc>
          <w:tcPr>
            <w:tcW w:w="1521"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2</w:t>
            </w:r>
          </w:p>
        </w:tc>
        <w:tc>
          <w:tcPr>
            <w:tcW w:w="1272"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17</w:t>
            </w:r>
          </w:p>
        </w:tc>
      </w:tr>
      <w:tr w:rsidR="00927143" w:rsidRPr="00927143" w:rsidTr="00927143">
        <w:trPr>
          <w:trHeight w:val="315"/>
          <w:jc w:val="center"/>
        </w:trPr>
        <w:tc>
          <w:tcPr>
            <w:tcW w:w="2036"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femur</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14</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10</w:t>
            </w:r>
          </w:p>
        </w:tc>
        <w:tc>
          <w:tcPr>
            <w:tcW w:w="1521"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3</w:t>
            </w:r>
          </w:p>
        </w:tc>
        <w:tc>
          <w:tcPr>
            <w:tcW w:w="1272"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27</w:t>
            </w:r>
          </w:p>
        </w:tc>
      </w:tr>
      <w:tr w:rsidR="00927143" w:rsidRPr="00927143" w:rsidTr="00927143">
        <w:trPr>
          <w:trHeight w:val="315"/>
          <w:jc w:val="center"/>
        </w:trPr>
        <w:tc>
          <w:tcPr>
            <w:tcW w:w="2036"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tibia</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12</w:t>
            </w:r>
          </w:p>
        </w:tc>
        <w:tc>
          <w:tcPr>
            <w:tcW w:w="960"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10</w:t>
            </w:r>
          </w:p>
        </w:tc>
        <w:tc>
          <w:tcPr>
            <w:tcW w:w="1521"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3</w:t>
            </w:r>
          </w:p>
        </w:tc>
        <w:tc>
          <w:tcPr>
            <w:tcW w:w="1272" w:type="dxa"/>
            <w:tcBorders>
              <w:top w:val="nil"/>
              <w:left w:val="nil"/>
              <w:bottom w:val="nil"/>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25</w:t>
            </w:r>
          </w:p>
        </w:tc>
      </w:tr>
      <w:tr w:rsidR="00927143" w:rsidRPr="00927143" w:rsidTr="00FA3E3E">
        <w:trPr>
          <w:trHeight w:val="315"/>
          <w:jc w:val="center"/>
        </w:trPr>
        <w:tc>
          <w:tcPr>
            <w:tcW w:w="2036"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fibula</w:t>
            </w:r>
          </w:p>
        </w:tc>
        <w:tc>
          <w:tcPr>
            <w:tcW w:w="960"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7</w:t>
            </w:r>
          </w:p>
        </w:tc>
        <w:tc>
          <w:tcPr>
            <w:tcW w:w="960"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5</w:t>
            </w:r>
          </w:p>
        </w:tc>
        <w:tc>
          <w:tcPr>
            <w:tcW w:w="1521"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2</w:t>
            </w:r>
          </w:p>
        </w:tc>
        <w:tc>
          <w:tcPr>
            <w:tcW w:w="1272" w:type="dxa"/>
            <w:tcBorders>
              <w:top w:val="nil"/>
              <w:left w:val="nil"/>
              <w:bottom w:val="single" w:sz="4" w:space="0" w:color="auto"/>
              <w:right w:val="nil"/>
            </w:tcBorders>
            <w:shd w:val="clear" w:color="auto" w:fill="auto"/>
            <w:noWrap/>
            <w:vAlign w:val="center"/>
            <w:hideMark/>
          </w:tcPr>
          <w:p w:rsidR="00927143" w:rsidRPr="00927143" w:rsidRDefault="00927143" w:rsidP="00927143">
            <w:pPr>
              <w:spacing w:before="0" w:line="240" w:lineRule="auto"/>
              <w:jc w:val="center"/>
              <w:rPr>
                <w:rFonts w:eastAsia="Times New Roman"/>
                <w:color w:val="000000"/>
                <w:lang w:val="en-GB" w:eastAsia="en-GB"/>
              </w:rPr>
            </w:pPr>
            <w:r w:rsidRPr="00927143">
              <w:rPr>
                <w:rFonts w:eastAsia="Times New Roman"/>
                <w:color w:val="000000"/>
                <w:lang w:val="en-GB" w:eastAsia="en-GB"/>
              </w:rPr>
              <w:t>14</w:t>
            </w:r>
          </w:p>
        </w:tc>
      </w:tr>
    </w:tbl>
    <w:p w:rsidR="004363D9" w:rsidRDefault="004363D9">
      <w:pPr>
        <w:spacing w:before="0" w:after="200" w:line="276" w:lineRule="auto"/>
        <w:jc w:val="left"/>
        <w:rPr>
          <w:rFonts w:asciiTheme="majorBidi" w:eastAsia="Times New Roman" w:hAnsiTheme="majorBidi" w:cstheme="majorBidi"/>
          <w:b/>
          <w:bCs/>
          <w:i/>
          <w:noProof/>
          <w:color w:val="000000"/>
          <w:lang w:val="nl-NL"/>
        </w:rPr>
      </w:pPr>
      <w:r>
        <w:br w:type="page"/>
      </w:r>
    </w:p>
    <w:p w:rsidR="00361913" w:rsidRPr="003E53B3" w:rsidRDefault="00361913" w:rsidP="00D263E8">
      <w:pPr>
        <w:pStyle w:val="Heading2"/>
      </w:pPr>
      <w:bookmarkStart w:id="209" w:name="_Toc373477782"/>
      <w:bookmarkStart w:id="210" w:name="_Toc373480780"/>
      <w:r w:rsidRPr="003E53B3">
        <w:lastRenderedPageBreak/>
        <w:t>The problem of presentin</w:t>
      </w:r>
      <w:r>
        <w:t>g data in a compar</w:t>
      </w:r>
      <w:r w:rsidR="00000A92">
        <w:t>a</w:t>
      </w:r>
      <w:r>
        <w:t>ble framework</w:t>
      </w:r>
      <w:bookmarkEnd w:id="209"/>
      <w:bookmarkEnd w:id="210"/>
    </w:p>
    <w:p w:rsidR="00361913" w:rsidRPr="00B86829" w:rsidRDefault="00361913" w:rsidP="00B86829">
      <w:pPr>
        <w:rPr>
          <w:noProof/>
        </w:rPr>
      </w:pPr>
      <w:r>
        <w:rPr>
          <w:noProof/>
        </w:rPr>
        <w:t>The presentation of long-bone growth data in past studi</w:t>
      </w:r>
      <w:r w:rsidR="00E70F77">
        <w:rPr>
          <w:noProof/>
        </w:rPr>
        <w:t>es has mostly relied upon known-</w:t>
      </w:r>
      <w:r>
        <w:rPr>
          <w:noProof/>
        </w:rPr>
        <w:t xml:space="preserve">age samples.  Those which have not </w:t>
      </w:r>
      <w:r w:rsidR="0044442D">
        <w:rPr>
          <w:noProof/>
        </w:rPr>
        <w:t>(e.g.,</w:t>
      </w:r>
      <w:r>
        <w:rPr>
          <w:noProof/>
        </w:rPr>
        <w:t xml:space="preserve"> Shea 1981) have used emergence estimates for time and grouped individuals into age categories.  Growth rate relative to time has been used to compare chimpanzees to humans.  However, in</w:t>
      </w:r>
      <w:r w:rsidR="00E70F77">
        <w:rPr>
          <w:noProof/>
        </w:rPr>
        <w:t xml:space="preserve"> the present s</w:t>
      </w:r>
      <w:r>
        <w:rPr>
          <w:noProof/>
        </w:rPr>
        <w:t xml:space="preserve">tudy </w:t>
      </w:r>
      <w:r w:rsidR="00327DFB">
        <w:rPr>
          <w:noProof/>
        </w:rPr>
        <w:t>there are</w:t>
      </w:r>
      <w:r>
        <w:rPr>
          <w:noProof/>
        </w:rPr>
        <w:t xml:space="preserve"> Demirjian scores from which lengths have been assigned </w:t>
      </w:r>
      <w:r w:rsidR="00327DFB">
        <w:rPr>
          <w:noProof/>
        </w:rPr>
        <w:t>as well as</w:t>
      </w:r>
      <w:r>
        <w:rPr>
          <w:noProof/>
        </w:rPr>
        <w:t xml:space="preserve"> epiphyseal fusion data based on the same maturational indicator.  The question remains as to which format is best for presenting growth patterns between chimpanzees and humans.  Figure</w:t>
      </w:r>
      <w:r w:rsidR="00DD24ED">
        <w:rPr>
          <w:noProof/>
        </w:rPr>
        <w:t xml:space="preserve"> 3.12</w:t>
      </w:r>
      <w:r>
        <w:rPr>
          <w:noProof/>
        </w:rPr>
        <w:t xml:space="preserve"> </w:t>
      </w:r>
      <w:r w:rsidR="0044442D">
        <w:rPr>
          <w:noProof/>
        </w:rPr>
        <w:t>presents</w:t>
      </w:r>
      <w:r>
        <w:rPr>
          <w:noProof/>
        </w:rPr>
        <w:t xml:space="preserve"> </w:t>
      </w:r>
      <w:r w:rsidR="0044442D">
        <w:rPr>
          <w:noProof/>
        </w:rPr>
        <w:t xml:space="preserve">regression curves for </w:t>
      </w:r>
      <w:r>
        <w:rPr>
          <w:noProof/>
        </w:rPr>
        <w:t xml:space="preserve">chimpanzee and human dental score </w:t>
      </w:r>
      <w:r w:rsidR="0044442D">
        <w:rPr>
          <w:noProof/>
        </w:rPr>
        <w:t xml:space="preserve">plotted against </w:t>
      </w:r>
      <w:r>
        <w:rPr>
          <w:noProof/>
        </w:rPr>
        <w:t>chronological years as determined by prior studies</w:t>
      </w:r>
      <w:r w:rsidR="0044442D">
        <w:rPr>
          <w:noProof/>
        </w:rPr>
        <w:t xml:space="preserve">.  </w:t>
      </w:r>
      <w:r w:rsidR="008E5014">
        <w:rPr>
          <w:noProof/>
        </w:rPr>
        <w:t>F</w:t>
      </w:r>
      <w:r>
        <w:rPr>
          <w:noProof/>
        </w:rPr>
        <w:t>igure</w:t>
      </w:r>
      <w:r w:rsidR="00DD24ED">
        <w:rPr>
          <w:noProof/>
        </w:rPr>
        <w:t xml:space="preserve"> 3.13</w:t>
      </w:r>
      <w:r>
        <w:rPr>
          <w:noProof/>
        </w:rPr>
        <w:t xml:space="preserve"> </w:t>
      </w:r>
      <w:r w:rsidR="0044442D">
        <w:rPr>
          <w:noProof/>
        </w:rPr>
        <w:t>presents</w:t>
      </w:r>
      <w:r>
        <w:rPr>
          <w:noProof/>
        </w:rPr>
        <w:t xml:space="preserve"> the same data but </w:t>
      </w:r>
      <w:r w:rsidR="0044442D">
        <w:rPr>
          <w:noProof/>
        </w:rPr>
        <w:t xml:space="preserve">plotted as a </w:t>
      </w:r>
      <w:r w:rsidR="0036354F">
        <w:rPr>
          <w:noProof/>
        </w:rPr>
        <w:t>percentage</w:t>
      </w:r>
      <w:r>
        <w:rPr>
          <w:noProof/>
        </w:rPr>
        <w:t xml:space="preserve"> of growth</w:t>
      </w:r>
      <w:r w:rsidR="0062295F">
        <w:rPr>
          <w:noProof/>
        </w:rPr>
        <w:t xml:space="preserve"> in years</w:t>
      </w:r>
      <w:r>
        <w:rPr>
          <w:noProof/>
        </w:rPr>
        <w:t>.</w:t>
      </w:r>
    </w:p>
    <w:p w:rsidR="00361913" w:rsidRPr="00B86829" w:rsidRDefault="00B86829" w:rsidP="00D24B89">
      <w:pPr>
        <w:pStyle w:val="ListParagraph"/>
        <w:numPr>
          <w:ilvl w:val="0"/>
          <w:numId w:val="17"/>
        </w:numPr>
        <w:tabs>
          <w:tab w:val="left" w:pos="360"/>
        </w:tabs>
        <w:spacing w:line="240" w:lineRule="auto"/>
        <w:ind w:left="1456" w:hanging="605"/>
        <w:rPr>
          <w:noProof/>
          <w:color w:val="000000" w:themeColor="text1"/>
        </w:rPr>
      </w:pPr>
      <w:r w:rsidRPr="00B86829">
        <w:rPr>
          <w:noProof/>
          <w:color w:val="000000" w:themeColor="text1"/>
          <w:sz w:val="20"/>
          <w:szCs w:val="20"/>
        </w:rPr>
        <w:t xml:space="preserve">Human data is based on Demirjian (1973), Demirjian and Levesque (1986) and Meinl </w:t>
      </w:r>
      <w:r w:rsidRPr="00B86829">
        <w:rPr>
          <w:i/>
          <w:noProof/>
          <w:color w:val="000000" w:themeColor="text1"/>
          <w:sz w:val="20"/>
          <w:szCs w:val="20"/>
        </w:rPr>
        <w:t>et al</w:t>
      </w:r>
      <w:r w:rsidR="000266AF">
        <w:rPr>
          <w:i/>
          <w:noProof/>
          <w:color w:val="000000" w:themeColor="text1"/>
          <w:sz w:val="20"/>
          <w:szCs w:val="20"/>
        </w:rPr>
        <w:t>.</w:t>
      </w:r>
      <w:r w:rsidRPr="00B86829">
        <w:rPr>
          <w:noProof/>
          <w:color w:val="000000" w:themeColor="text1"/>
          <w:sz w:val="20"/>
          <w:szCs w:val="20"/>
        </w:rPr>
        <w:t xml:space="preserve"> (2007)</w:t>
      </w:r>
      <w:r>
        <w:rPr>
          <w:noProof/>
          <w:lang w:val="en-GB" w:eastAsia="en-GB"/>
        </w:rPr>
        <w:drawing>
          <wp:anchor distT="0" distB="0" distL="114300" distR="114300" simplePos="0" relativeHeight="251665408" behindDoc="0" locked="1" layoutInCell="1" allowOverlap="0" wp14:anchorId="2CE75042" wp14:editId="40FECC9E">
            <wp:simplePos x="0" y="0"/>
            <wp:positionH relativeFrom="column">
              <wp:posOffset>455930</wp:posOffset>
            </wp:positionH>
            <wp:positionV relativeFrom="paragraph">
              <wp:posOffset>104775</wp:posOffset>
            </wp:positionV>
            <wp:extent cx="4894580" cy="3846195"/>
            <wp:effectExtent l="0" t="0" r="1270" b="19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4580" cy="3846195"/>
                    </a:xfrm>
                    <a:prstGeom prst="rect">
                      <a:avLst/>
                    </a:prstGeom>
                    <a:noFill/>
                    <a:ln>
                      <a:noFill/>
                    </a:ln>
                  </pic:spPr>
                </pic:pic>
              </a:graphicData>
            </a:graphic>
          </wp:anchor>
        </w:drawing>
      </w:r>
    </w:p>
    <w:p w:rsidR="002B2BCE" w:rsidRPr="00B86829" w:rsidRDefault="00361913" w:rsidP="00BF2740">
      <w:pPr>
        <w:pStyle w:val="ListParagraph"/>
        <w:numPr>
          <w:ilvl w:val="0"/>
          <w:numId w:val="17"/>
        </w:numPr>
        <w:tabs>
          <w:tab w:val="left" w:pos="360"/>
        </w:tabs>
        <w:spacing w:line="240" w:lineRule="auto"/>
        <w:ind w:left="851" w:firstLine="0"/>
        <w:rPr>
          <w:noProof/>
          <w:color w:val="000000" w:themeColor="text1"/>
          <w:sz w:val="20"/>
          <w:szCs w:val="20"/>
        </w:rPr>
      </w:pPr>
      <w:r w:rsidRPr="00B86829">
        <w:rPr>
          <w:noProof/>
          <w:color w:val="000000" w:themeColor="text1"/>
          <w:sz w:val="20"/>
          <w:szCs w:val="20"/>
        </w:rPr>
        <w:t>Chimpanzee data is derived from regression by Kuykendall (1996)</w:t>
      </w:r>
    </w:p>
    <w:p w:rsidR="00AE7FAD" w:rsidRPr="00714EC7" w:rsidRDefault="00C9288A" w:rsidP="00C9288A">
      <w:pPr>
        <w:pStyle w:val="Caption"/>
      </w:pPr>
      <w:bookmarkStart w:id="211" w:name="_Toc373147459"/>
      <w:proofErr w:type="gramStart"/>
      <w:r w:rsidRPr="00C9288A">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12</w:t>
      </w:r>
      <w:r w:rsidR="008943E4">
        <w:rPr>
          <w:b/>
        </w:rPr>
        <w:fldChar w:fldCharType="end"/>
      </w:r>
      <w:r w:rsidR="00B86829">
        <w:t xml:space="preserve"> Chimpanzee and human Demirjian dental score relative to chronological age as determined by prior studies.</w:t>
      </w:r>
      <w:bookmarkEnd w:id="211"/>
    </w:p>
    <w:p w:rsidR="008849C7" w:rsidRPr="008849C7" w:rsidRDefault="00AE7FAD" w:rsidP="007510AD">
      <w:pPr>
        <w:pStyle w:val="ListParagraph"/>
        <w:numPr>
          <w:ilvl w:val="0"/>
          <w:numId w:val="49"/>
        </w:numPr>
        <w:tabs>
          <w:tab w:val="left" w:pos="360"/>
        </w:tabs>
        <w:spacing w:line="240" w:lineRule="auto"/>
        <w:ind w:left="851" w:hanging="425"/>
        <w:rPr>
          <w:noProof/>
          <w:color w:val="000000" w:themeColor="text1"/>
        </w:rPr>
      </w:pPr>
      <w:r w:rsidRPr="00AE7FAD">
        <w:rPr>
          <w:noProof/>
          <w:color w:val="000000" w:themeColor="text1"/>
          <w:sz w:val="20"/>
          <w:szCs w:val="20"/>
        </w:rPr>
        <w:lastRenderedPageBreak/>
        <w:t xml:space="preserve">Human data is based on Demirjian (1973), Demirjian and Levesque (1986) and Meinl </w:t>
      </w:r>
      <w:r w:rsidRPr="00AE7FAD">
        <w:rPr>
          <w:i/>
          <w:noProof/>
          <w:color w:val="000000" w:themeColor="text1"/>
          <w:sz w:val="20"/>
          <w:szCs w:val="20"/>
        </w:rPr>
        <w:t>et al</w:t>
      </w:r>
      <w:r w:rsidR="000266AF">
        <w:rPr>
          <w:i/>
          <w:noProof/>
          <w:color w:val="000000" w:themeColor="text1"/>
          <w:sz w:val="20"/>
          <w:szCs w:val="20"/>
        </w:rPr>
        <w:t>.</w:t>
      </w:r>
      <w:r w:rsidRPr="00AE7FAD">
        <w:rPr>
          <w:noProof/>
          <w:color w:val="000000" w:themeColor="text1"/>
          <w:sz w:val="20"/>
          <w:szCs w:val="20"/>
        </w:rPr>
        <w:t xml:space="preserve"> (2007)</w:t>
      </w:r>
      <w:r w:rsidR="00361913">
        <w:rPr>
          <w:noProof/>
          <w:lang w:val="en-GB" w:eastAsia="en-GB"/>
        </w:rPr>
        <w:drawing>
          <wp:anchor distT="0" distB="0" distL="114300" distR="114300" simplePos="0" relativeHeight="251666432" behindDoc="0" locked="1" layoutInCell="1" allowOverlap="0" wp14:anchorId="09FC9EAC" wp14:editId="3B5FD4B9">
            <wp:simplePos x="0" y="0"/>
            <wp:positionH relativeFrom="column">
              <wp:posOffset>358775</wp:posOffset>
            </wp:positionH>
            <wp:positionV relativeFrom="paragraph">
              <wp:posOffset>-52705</wp:posOffset>
            </wp:positionV>
            <wp:extent cx="5019675" cy="3973830"/>
            <wp:effectExtent l="0" t="0" r="9525" b="76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3973830"/>
                    </a:xfrm>
                    <a:prstGeom prst="rect">
                      <a:avLst/>
                    </a:prstGeom>
                    <a:noFill/>
                    <a:ln>
                      <a:noFill/>
                    </a:ln>
                  </pic:spPr>
                </pic:pic>
              </a:graphicData>
            </a:graphic>
          </wp:anchor>
        </w:drawing>
      </w:r>
    </w:p>
    <w:p w:rsidR="00361913" w:rsidRPr="008849C7" w:rsidRDefault="00361913" w:rsidP="007510AD">
      <w:pPr>
        <w:pStyle w:val="ListParagraph"/>
        <w:numPr>
          <w:ilvl w:val="0"/>
          <w:numId w:val="49"/>
        </w:numPr>
        <w:tabs>
          <w:tab w:val="left" w:pos="360"/>
        </w:tabs>
        <w:spacing w:line="240" w:lineRule="auto"/>
        <w:ind w:left="851" w:hanging="425"/>
        <w:rPr>
          <w:noProof/>
          <w:color w:val="000000" w:themeColor="text1"/>
        </w:rPr>
      </w:pPr>
      <w:r w:rsidRPr="008849C7">
        <w:rPr>
          <w:noProof/>
          <w:color w:val="000000" w:themeColor="text1"/>
          <w:sz w:val="20"/>
          <w:szCs w:val="20"/>
        </w:rPr>
        <w:t>Chimpanzee data is derived from regression by Kuykendall (1996)</w:t>
      </w:r>
    </w:p>
    <w:p w:rsidR="00AE7FAD" w:rsidRPr="00AE7FAD" w:rsidRDefault="00C9288A" w:rsidP="00C9288A">
      <w:pPr>
        <w:pStyle w:val="Caption"/>
      </w:pPr>
      <w:bookmarkStart w:id="212" w:name="_Toc373147460"/>
      <w:proofErr w:type="gramStart"/>
      <w:r w:rsidRPr="00C9288A">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3</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13</w:t>
      </w:r>
      <w:r w:rsidR="008943E4">
        <w:rPr>
          <w:b/>
        </w:rPr>
        <w:fldChar w:fldCharType="end"/>
      </w:r>
      <w:r w:rsidR="00AE7FAD" w:rsidRPr="00AE7FAD">
        <w:t xml:space="preserve"> Chimpanzee and human Demirjian dental score relative to percentiles of age as determined by prior studies.</w:t>
      </w:r>
      <w:bookmarkEnd w:id="212"/>
    </w:p>
    <w:p w:rsidR="00865DBA" w:rsidRDefault="00361913" w:rsidP="00AE7FAD">
      <w:pPr>
        <w:rPr>
          <w:noProof/>
        </w:rPr>
      </w:pPr>
      <w:r>
        <w:rPr>
          <w:noProof/>
        </w:rPr>
        <w:t>While th</w:t>
      </w:r>
      <w:r w:rsidR="00327DFB">
        <w:rPr>
          <w:noProof/>
        </w:rPr>
        <w:t>ese</w:t>
      </w:r>
      <w:r>
        <w:rPr>
          <w:noProof/>
        </w:rPr>
        <w:t xml:space="preserve"> data </w:t>
      </w:r>
      <w:r w:rsidR="00327DFB">
        <w:rPr>
          <w:noProof/>
        </w:rPr>
        <w:t>are</w:t>
      </w:r>
      <w:r>
        <w:rPr>
          <w:noProof/>
        </w:rPr>
        <w:t xml:space="preserve"> well-known, </w:t>
      </w:r>
      <w:r w:rsidR="00714529">
        <w:rPr>
          <w:noProof/>
        </w:rPr>
        <w:t>it</w:t>
      </w:r>
      <w:r w:rsidR="00210EAB">
        <w:rPr>
          <w:noProof/>
        </w:rPr>
        <w:t xml:space="preserve"> is important to observe in </w:t>
      </w:r>
      <w:r w:rsidR="008E5014">
        <w:rPr>
          <w:noProof/>
        </w:rPr>
        <w:t>F</w:t>
      </w:r>
      <w:r>
        <w:rPr>
          <w:noProof/>
        </w:rPr>
        <w:t>igures</w:t>
      </w:r>
      <w:r w:rsidR="00210EAB">
        <w:rPr>
          <w:noProof/>
        </w:rPr>
        <w:t xml:space="preserve"> 3.12 and 3.13</w:t>
      </w:r>
      <w:r>
        <w:rPr>
          <w:noProof/>
        </w:rPr>
        <w:t xml:space="preserve"> that the change in dental score as a function of age is not consistent between the two</w:t>
      </w:r>
      <w:r w:rsidR="00210EAB">
        <w:rPr>
          <w:noProof/>
        </w:rPr>
        <w:t xml:space="preserve"> species.  </w:t>
      </w:r>
      <w:r w:rsidR="00186922">
        <w:rPr>
          <w:noProof/>
        </w:rPr>
        <w:t>The increase in d</w:t>
      </w:r>
      <w:r w:rsidR="00210EAB">
        <w:rPr>
          <w:noProof/>
        </w:rPr>
        <w:t xml:space="preserve">ental score </w:t>
      </w:r>
      <w:r w:rsidR="00186922">
        <w:rPr>
          <w:noProof/>
        </w:rPr>
        <w:t xml:space="preserve">with age </w:t>
      </w:r>
      <w:r w:rsidR="004508AD">
        <w:rPr>
          <w:noProof/>
        </w:rPr>
        <w:t xml:space="preserve">reflects </w:t>
      </w:r>
      <w:r w:rsidR="00210EAB">
        <w:rPr>
          <w:noProof/>
        </w:rPr>
        <w:t>growth rate</w:t>
      </w:r>
      <w:r w:rsidR="00186922">
        <w:rPr>
          <w:noProof/>
        </w:rPr>
        <w:t xml:space="preserve">.  Even when the duration of growth is scaled as </w:t>
      </w:r>
      <w:r w:rsidR="00037A21">
        <w:rPr>
          <w:noProof/>
        </w:rPr>
        <w:t>a percentage of total growth period</w:t>
      </w:r>
      <w:r w:rsidR="0034198C">
        <w:rPr>
          <w:noProof/>
        </w:rPr>
        <w:t xml:space="preserve"> (birth to complete skeletal </w:t>
      </w:r>
      <w:r w:rsidR="00CC460C">
        <w:rPr>
          <w:noProof/>
        </w:rPr>
        <w:t xml:space="preserve">and dental </w:t>
      </w:r>
      <w:r w:rsidR="0034198C">
        <w:rPr>
          <w:noProof/>
        </w:rPr>
        <w:t>maturation)</w:t>
      </w:r>
      <w:r w:rsidR="00186922">
        <w:rPr>
          <w:noProof/>
        </w:rPr>
        <w:t>, the t</w:t>
      </w:r>
      <w:r w:rsidR="00FA3E3E">
        <w:rPr>
          <w:noProof/>
        </w:rPr>
        <w:t>wo species retain their distinc</w:t>
      </w:r>
      <w:r w:rsidR="00186922">
        <w:rPr>
          <w:noProof/>
        </w:rPr>
        <w:t xml:space="preserve">tive patterns.  </w:t>
      </w:r>
      <w:r w:rsidR="00865DBA">
        <w:rPr>
          <w:noProof/>
        </w:rPr>
        <w:t xml:space="preserve">One of the key factors </w:t>
      </w:r>
      <w:r w:rsidR="005944B9">
        <w:rPr>
          <w:noProof/>
        </w:rPr>
        <w:t xml:space="preserve">behind this </w:t>
      </w:r>
      <w:r w:rsidR="00865DBA">
        <w:rPr>
          <w:noProof/>
        </w:rPr>
        <w:t xml:space="preserve">large difference is the human third molar.  This tooth </w:t>
      </w:r>
      <w:r w:rsidR="000001B6">
        <w:rPr>
          <w:noProof/>
        </w:rPr>
        <w:t xml:space="preserve">completes mineralization </w:t>
      </w:r>
      <w:r w:rsidR="00865DBA">
        <w:rPr>
          <w:noProof/>
        </w:rPr>
        <w:t>much later as a proportion of</w:t>
      </w:r>
      <w:r w:rsidR="00413F34">
        <w:rPr>
          <w:noProof/>
        </w:rPr>
        <w:t xml:space="preserve"> total</w:t>
      </w:r>
      <w:r w:rsidR="00865DBA">
        <w:rPr>
          <w:noProof/>
        </w:rPr>
        <w:t xml:space="preserve"> </w:t>
      </w:r>
      <w:r w:rsidR="00556820">
        <w:rPr>
          <w:noProof/>
        </w:rPr>
        <w:t xml:space="preserve">growth </w:t>
      </w:r>
      <w:r w:rsidR="00413F34">
        <w:rPr>
          <w:noProof/>
        </w:rPr>
        <w:t>period</w:t>
      </w:r>
      <w:r w:rsidR="003C6B51">
        <w:rPr>
          <w:noProof/>
        </w:rPr>
        <w:t xml:space="preserve"> </w:t>
      </w:r>
      <w:r w:rsidR="000001B6">
        <w:rPr>
          <w:noProof/>
        </w:rPr>
        <w:t>in humans</w:t>
      </w:r>
      <w:r w:rsidR="00865DBA">
        <w:rPr>
          <w:noProof/>
        </w:rPr>
        <w:t xml:space="preserve"> than it does for chimpanzees.  </w:t>
      </w:r>
      <w:r w:rsidR="00325732">
        <w:rPr>
          <w:noProof/>
        </w:rPr>
        <w:t xml:space="preserve">If the </w:t>
      </w:r>
      <w:r>
        <w:rPr>
          <w:noProof/>
        </w:rPr>
        <w:t xml:space="preserve">data for seven teeth (I1 to M2) </w:t>
      </w:r>
      <w:r w:rsidR="00325732">
        <w:rPr>
          <w:noProof/>
        </w:rPr>
        <w:t xml:space="preserve">were compared </w:t>
      </w:r>
      <w:r>
        <w:rPr>
          <w:noProof/>
        </w:rPr>
        <w:t>for both species</w:t>
      </w:r>
      <w:r w:rsidR="00865DBA">
        <w:rPr>
          <w:noProof/>
        </w:rPr>
        <w:t xml:space="preserve"> as a percentage of </w:t>
      </w:r>
      <w:r w:rsidR="009453FC">
        <w:rPr>
          <w:noProof/>
        </w:rPr>
        <w:t xml:space="preserve">the entire </w:t>
      </w:r>
      <w:r w:rsidR="00865DBA">
        <w:rPr>
          <w:noProof/>
        </w:rPr>
        <w:t xml:space="preserve">growth </w:t>
      </w:r>
      <w:r w:rsidR="009453FC">
        <w:rPr>
          <w:noProof/>
        </w:rPr>
        <w:t xml:space="preserve">period </w:t>
      </w:r>
      <w:r>
        <w:rPr>
          <w:noProof/>
        </w:rPr>
        <w:t xml:space="preserve">the patterns become much more convergent.  This may be hinted at by looking only at the earlier parts of the curve in </w:t>
      </w:r>
      <w:r w:rsidR="008E5014">
        <w:rPr>
          <w:noProof/>
        </w:rPr>
        <w:t>F</w:t>
      </w:r>
      <w:r>
        <w:rPr>
          <w:noProof/>
        </w:rPr>
        <w:t>igure</w:t>
      </w:r>
      <w:r w:rsidR="003D1535">
        <w:rPr>
          <w:noProof/>
        </w:rPr>
        <w:t xml:space="preserve"> 3.13</w:t>
      </w:r>
      <w:r w:rsidR="00A62A2D">
        <w:rPr>
          <w:noProof/>
        </w:rPr>
        <w:t xml:space="preserve">.  However, </w:t>
      </w:r>
      <w:r>
        <w:rPr>
          <w:noProof/>
        </w:rPr>
        <w:t>in th</w:t>
      </w:r>
      <w:r w:rsidR="00327DFB">
        <w:rPr>
          <w:noProof/>
        </w:rPr>
        <w:t>e present</w:t>
      </w:r>
      <w:r>
        <w:rPr>
          <w:noProof/>
        </w:rPr>
        <w:t xml:space="preserve"> study </w:t>
      </w:r>
      <w:r w:rsidR="00327DFB">
        <w:rPr>
          <w:noProof/>
        </w:rPr>
        <w:t xml:space="preserve">there </w:t>
      </w:r>
      <w:r w:rsidR="00EC5BDB">
        <w:rPr>
          <w:noProof/>
        </w:rPr>
        <w:t xml:space="preserve">are </w:t>
      </w:r>
      <w:r>
        <w:rPr>
          <w:noProof/>
        </w:rPr>
        <w:t xml:space="preserve">data for 8 teeth and </w:t>
      </w:r>
      <w:r w:rsidR="00327DFB">
        <w:rPr>
          <w:noProof/>
        </w:rPr>
        <w:t>it is necessary</w:t>
      </w:r>
      <w:r>
        <w:rPr>
          <w:noProof/>
        </w:rPr>
        <w:t xml:space="preserve"> to use third molar data in order to demonstrate</w:t>
      </w:r>
      <w:r w:rsidR="00A507AF">
        <w:rPr>
          <w:noProof/>
        </w:rPr>
        <w:t xml:space="preserve"> the </w:t>
      </w:r>
      <w:r w:rsidR="009303DC">
        <w:rPr>
          <w:noProof/>
        </w:rPr>
        <w:t>period of dental development</w:t>
      </w:r>
      <w:r w:rsidR="00A507AF">
        <w:rPr>
          <w:noProof/>
        </w:rPr>
        <w:t xml:space="preserve"> re</w:t>
      </w:r>
      <w:r w:rsidR="008924D6">
        <w:rPr>
          <w:noProof/>
        </w:rPr>
        <w:t>la</w:t>
      </w:r>
      <w:r w:rsidR="00A507AF">
        <w:rPr>
          <w:noProof/>
        </w:rPr>
        <w:t>tive to</w:t>
      </w:r>
      <w:r>
        <w:rPr>
          <w:noProof/>
        </w:rPr>
        <w:t xml:space="preserve"> epiphyseal </w:t>
      </w:r>
      <w:r w:rsidR="00A507AF">
        <w:rPr>
          <w:noProof/>
        </w:rPr>
        <w:t>fusion</w:t>
      </w:r>
      <w:r>
        <w:rPr>
          <w:noProof/>
        </w:rPr>
        <w:t xml:space="preserve">.  </w:t>
      </w:r>
      <w:r w:rsidR="00865DBA">
        <w:rPr>
          <w:noProof/>
        </w:rPr>
        <w:t>There are also other differences in terms of mineralization sequence from Kuykendall (1996) and others.  These differences make</w:t>
      </w:r>
      <w:r w:rsidR="00AD341A">
        <w:rPr>
          <w:noProof/>
        </w:rPr>
        <w:t xml:space="preserve"> the use of dental score as a direct means of comparison with humans </w:t>
      </w:r>
      <w:r w:rsidR="00865DBA">
        <w:rPr>
          <w:noProof/>
        </w:rPr>
        <w:t>technically</w:t>
      </w:r>
      <w:r w:rsidR="00D35AE2">
        <w:rPr>
          <w:noProof/>
        </w:rPr>
        <w:t xml:space="preserve"> inappropriate.</w:t>
      </w:r>
    </w:p>
    <w:p w:rsidR="00C9288A" w:rsidRDefault="00FA7561">
      <w:pPr>
        <w:rPr>
          <w:noProof/>
        </w:rPr>
      </w:pPr>
      <w:r>
        <w:rPr>
          <w:noProof/>
        </w:rPr>
        <w:lastRenderedPageBreak/>
        <w:t xml:space="preserve">Two points </w:t>
      </w:r>
      <w:r w:rsidR="00471C91">
        <w:rPr>
          <w:noProof/>
        </w:rPr>
        <w:t xml:space="preserve">can be drawn </w:t>
      </w:r>
      <w:r>
        <w:rPr>
          <w:noProof/>
        </w:rPr>
        <w:t>from this</w:t>
      </w:r>
      <w:r w:rsidR="00471C91">
        <w:rPr>
          <w:noProof/>
        </w:rPr>
        <w:t>: 1)</w:t>
      </w:r>
      <w:r>
        <w:rPr>
          <w:noProof/>
        </w:rPr>
        <w:t xml:space="preserve"> Dental score relative to years </w:t>
      </w:r>
      <w:r w:rsidR="00361913">
        <w:rPr>
          <w:noProof/>
        </w:rPr>
        <w:t xml:space="preserve">has no </w:t>
      </w:r>
      <w:r>
        <w:rPr>
          <w:noProof/>
        </w:rPr>
        <w:t xml:space="preserve">reliable </w:t>
      </w:r>
      <w:r w:rsidR="00361913">
        <w:rPr>
          <w:noProof/>
        </w:rPr>
        <w:t>direct translation between chimpanzees and humans</w:t>
      </w:r>
      <w:r w:rsidR="00471C91">
        <w:rPr>
          <w:noProof/>
        </w:rPr>
        <w:t>, and 2)</w:t>
      </w:r>
      <w:r w:rsidR="00490166">
        <w:rPr>
          <w:noProof/>
        </w:rPr>
        <w:t xml:space="preserve"> </w:t>
      </w:r>
      <w:r w:rsidR="00471C91">
        <w:rPr>
          <w:noProof/>
        </w:rPr>
        <w:t>d</w:t>
      </w:r>
      <w:r>
        <w:rPr>
          <w:noProof/>
        </w:rPr>
        <w:t xml:space="preserve">ental score relative to </w:t>
      </w:r>
      <w:r w:rsidR="00361913">
        <w:rPr>
          <w:noProof/>
        </w:rPr>
        <w:t xml:space="preserve">percentage of </w:t>
      </w:r>
      <w:r w:rsidR="00E3676E">
        <w:rPr>
          <w:noProof/>
        </w:rPr>
        <w:t xml:space="preserve">total growth period </w:t>
      </w:r>
      <w:r w:rsidR="00A62A2D">
        <w:rPr>
          <w:noProof/>
        </w:rPr>
        <w:t>also</w:t>
      </w:r>
      <w:r>
        <w:rPr>
          <w:noProof/>
        </w:rPr>
        <w:t xml:space="preserve"> </w:t>
      </w:r>
      <w:r w:rsidR="00A62A2D">
        <w:rPr>
          <w:noProof/>
        </w:rPr>
        <w:t>mirrors growth rate</w:t>
      </w:r>
      <w:r w:rsidR="00361913">
        <w:rPr>
          <w:noProof/>
        </w:rPr>
        <w:t xml:space="preserve">.  </w:t>
      </w:r>
      <w:r w:rsidR="00A77B4B">
        <w:rPr>
          <w:noProof/>
        </w:rPr>
        <w:t xml:space="preserve">Comparing </w:t>
      </w:r>
      <w:r w:rsidR="00A62A2D">
        <w:rPr>
          <w:noProof/>
        </w:rPr>
        <w:t xml:space="preserve">growth in these species must therefore rely on maturational indicators in both dental and skeletal systems.  References to </w:t>
      </w:r>
      <w:r w:rsidR="00A77B4B">
        <w:rPr>
          <w:noProof/>
        </w:rPr>
        <w:t xml:space="preserve">chronological </w:t>
      </w:r>
      <w:r w:rsidR="00A62A2D">
        <w:rPr>
          <w:noProof/>
        </w:rPr>
        <w:t xml:space="preserve">time may only be made </w:t>
      </w:r>
      <w:r w:rsidR="00A77B4B">
        <w:rPr>
          <w:noProof/>
        </w:rPr>
        <w:t>by aligning maturational events.</w:t>
      </w:r>
    </w:p>
    <w:p w:rsidR="007F1461" w:rsidRPr="006631BB" w:rsidRDefault="007F1461" w:rsidP="00D263E8">
      <w:pPr>
        <w:pStyle w:val="Heading2"/>
      </w:pPr>
      <w:bookmarkStart w:id="213" w:name="_Toc373477783"/>
      <w:bookmarkStart w:id="214" w:name="_Toc373480781"/>
      <w:r w:rsidRPr="006631BB">
        <w:t>Organisation of results</w:t>
      </w:r>
      <w:bookmarkEnd w:id="213"/>
      <w:bookmarkEnd w:id="214"/>
    </w:p>
    <w:p w:rsidR="007F1461" w:rsidRDefault="007F1461" w:rsidP="007F1461">
      <w:pPr>
        <w:rPr>
          <w:noProof/>
        </w:rPr>
      </w:pPr>
      <w:r>
        <w:rPr>
          <w:noProof/>
        </w:rPr>
        <w:t>The main objective of this study was to measure the level of concordance in pattern and timing of skeletal systems in chimpanzees, bonobos and humans using dental mineralization, epiphyseal fusion, and growth in long-bone length.</w:t>
      </w:r>
      <w:r w:rsidRPr="00CB08F3">
        <w:rPr>
          <w:noProof/>
        </w:rPr>
        <w:t xml:space="preserve"> </w:t>
      </w:r>
      <w:r>
        <w:rPr>
          <w:noProof/>
        </w:rPr>
        <w:t xml:space="preserve">It is desireable to compare integrated data from </w:t>
      </w:r>
      <w:r>
        <w:rPr>
          <w:i/>
          <w:noProof/>
        </w:rPr>
        <w:t xml:space="preserve">Pan </w:t>
      </w:r>
      <w:r>
        <w:rPr>
          <w:noProof/>
        </w:rPr>
        <w:t xml:space="preserve">to </w:t>
      </w:r>
      <w:r>
        <w:rPr>
          <w:i/>
          <w:noProof/>
        </w:rPr>
        <w:t>Homo</w:t>
      </w:r>
      <w:r>
        <w:rPr>
          <w:noProof/>
        </w:rPr>
        <w:t xml:space="preserve"> in order to better understand similarities and differences in skeletal developmental parameters between the two genera.  As outlined in Chapter 2, some data already exist for chimpanzees and bonobos from each of these sub-systems, but integration is lacking from single-sample studies.  </w:t>
      </w:r>
      <w:r w:rsidR="00A00D03">
        <w:rPr>
          <w:noProof/>
        </w:rPr>
        <w:t>D</w:t>
      </w:r>
      <w:r>
        <w:rPr>
          <w:noProof/>
        </w:rPr>
        <w:t xml:space="preserve">ata collection methodology </w:t>
      </w:r>
      <w:r w:rsidR="00A00D03">
        <w:rPr>
          <w:noProof/>
        </w:rPr>
        <w:t>has now been</w:t>
      </w:r>
      <w:r>
        <w:rPr>
          <w:noProof/>
        </w:rPr>
        <w:t xml:space="preserve"> presented for each of these sub-systems.  </w:t>
      </w:r>
      <w:r w:rsidR="00A00D03">
        <w:rPr>
          <w:noProof/>
        </w:rPr>
        <w:t>T</w:t>
      </w:r>
      <w:r>
        <w:rPr>
          <w:noProof/>
        </w:rPr>
        <w:t xml:space="preserve">he next step </w:t>
      </w:r>
      <w:r w:rsidR="00A00D03">
        <w:rPr>
          <w:noProof/>
        </w:rPr>
        <w:t xml:space="preserve">in this process </w:t>
      </w:r>
      <w:r>
        <w:rPr>
          <w:noProof/>
        </w:rPr>
        <w:t xml:space="preserve">is to consider how to integrate these systems </w:t>
      </w:r>
      <w:r w:rsidR="00A00D03">
        <w:rPr>
          <w:noProof/>
        </w:rPr>
        <w:t xml:space="preserve">using the data collected </w:t>
      </w:r>
      <w:r>
        <w:rPr>
          <w:noProof/>
        </w:rPr>
        <w:t>and compare them.</w:t>
      </w:r>
    </w:p>
    <w:p w:rsidR="007F1461" w:rsidRDefault="007F1461" w:rsidP="007F1461">
      <w:pPr>
        <w:rPr>
          <w:noProof/>
        </w:rPr>
      </w:pPr>
      <w:r>
        <w:rPr>
          <w:noProof/>
        </w:rPr>
        <w:t xml:space="preserve">Within the context of growth theory, two major lines of inquiry have been highlighted that have theoretical significance, these being growth rate and sequences of developmental events.  </w:t>
      </w:r>
      <w:r w:rsidR="00A00D03">
        <w:rPr>
          <w:noProof/>
        </w:rPr>
        <w:t>T</w:t>
      </w:r>
      <w:r>
        <w:rPr>
          <w:noProof/>
        </w:rPr>
        <w:t xml:space="preserve">here is also </w:t>
      </w:r>
      <w:r w:rsidR="00A00D03">
        <w:rPr>
          <w:noProof/>
        </w:rPr>
        <w:t xml:space="preserve">theoretical </w:t>
      </w:r>
      <w:r>
        <w:rPr>
          <w:noProof/>
        </w:rPr>
        <w:t xml:space="preserve">discussion </w:t>
      </w:r>
      <w:r w:rsidR="00F26793">
        <w:rPr>
          <w:noProof/>
        </w:rPr>
        <w:t>regarding</w:t>
      </w:r>
      <w:r>
        <w:rPr>
          <w:noProof/>
        </w:rPr>
        <w:t xml:space="preserve"> allometric relationships and how sequences of events may relate to differences in morphology between species.  The types of analyses performed on the data from this study seek to expand upon what is already known </w:t>
      </w:r>
      <w:r w:rsidR="004750B8">
        <w:rPr>
          <w:noProof/>
        </w:rPr>
        <w:t>related to</w:t>
      </w:r>
      <w:r>
        <w:rPr>
          <w:noProof/>
        </w:rPr>
        <w:t xml:space="preserve"> these topics and further integrate systems.  </w:t>
      </w:r>
      <w:r w:rsidR="00B31AA2">
        <w:rPr>
          <w:noProof/>
        </w:rPr>
        <w:t>Section 3.7.1 will describe how these topics will be addressed within the context of growth standard for chimpanzees (</w:t>
      </w:r>
      <w:r w:rsidR="00E20688">
        <w:rPr>
          <w:noProof/>
        </w:rPr>
        <w:t>r</w:t>
      </w:r>
      <w:r w:rsidR="00E028A5">
        <w:rPr>
          <w:noProof/>
        </w:rPr>
        <w:t xml:space="preserve">esults presented in </w:t>
      </w:r>
      <w:r w:rsidR="00B31AA2">
        <w:rPr>
          <w:noProof/>
        </w:rPr>
        <w:t>Chapter 4).  Section 3.7.2 will address c</w:t>
      </w:r>
      <w:r>
        <w:rPr>
          <w:noProof/>
        </w:rPr>
        <w:t>omparability of these results to studies of humans</w:t>
      </w:r>
      <w:r w:rsidR="00B31AA2">
        <w:rPr>
          <w:noProof/>
        </w:rPr>
        <w:t xml:space="preserve"> (</w:t>
      </w:r>
      <w:r w:rsidR="00E20688">
        <w:rPr>
          <w:noProof/>
        </w:rPr>
        <w:t>r</w:t>
      </w:r>
      <w:r w:rsidR="00E028A5">
        <w:rPr>
          <w:noProof/>
        </w:rPr>
        <w:t xml:space="preserve">esults presented in </w:t>
      </w:r>
      <w:r>
        <w:rPr>
          <w:noProof/>
        </w:rPr>
        <w:t>Chapter 5</w:t>
      </w:r>
      <w:r w:rsidR="00B31AA2">
        <w:rPr>
          <w:noProof/>
        </w:rPr>
        <w:t>)</w:t>
      </w:r>
      <w:r>
        <w:rPr>
          <w:noProof/>
        </w:rPr>
        <w:t>.</w:t>
      </w:r>
      <w:r w:rsidRPr="008A52AF">
        <w:rPr>
          <w:noProof/>
        </w:rPr>
        <w:t xml:space="preserve"> </w:t>
      </w:r>
      <w:r>
        <w:rPr>
          <w:noProof/>
        </w:rPr>
        <w:t xml:space="preserve">Not all types of analysis will be possible for both species due to the more limited sample size for </w:t>
      </w:r>
      <w:r>
        <w:rPr>
          <w:i/>
          <w:noProof/>
        </w:rPr>
        <w:t>Pan paniscus</w:t>
      </w:r>
      <w:r>
        <w:rPr>
          <w:noProof/>
        </w:rPr>
        <w:t>.  Inclusion and exclusion of species in each analysis will be dealt with in each analysis.</w:t>
      </w:r>
    </w:p>
    <w:p w:rsidR="007F1461" w:rsidRPr="00B53177" w:rsidRDefault="009332B6" w:rsidP="00D263E8">
      <w:pPr>
        <w:pStyle w:val="Heading3"/>
      </w:pPr>
      <w:bookmarkStart w:id="215" w:name="_Toc373477784"/>
      <w:bookmarkStart w:id="216" w:name="_Toc373480782"/>
      <w:r>
        <w:t>Standards of growth for chimpanzees and bonobos: Chapter 4</w:t>
      </w:r>
      <w:bookmarkEnd w:id="215"/>
      <w:bookmarkEnd w:id="216"/>
    </w:p>
    <w:p w:rsidR="009332B6" w:rsidRPr="009332B6" w:rsidRDefault="009332B6" w:rsidP="009332B6">
      <w:pPr>
        <w:rPr>
          <w:b/>
          <w:i/>
          <w:noProof/>
        </w:rPr>
      </w:pPr>
      <w:r w:rsidRPr="009332B6">
        <w:rPr>
          <w:b/>
          <w:i/>
          <w:noProof/>
        </w:rPr>
        <w:t>3.7.1a: Growth rate</w:t>
      </w:r>
    </w:p>
    <w:p w:rsidR="007F1461" w:rsidRDefault="007F1461" w:rsidP="007F1461">
      <w:pPr>
        <w:rPr>
          <w:noProof/>
        </w:rPr>
      </w:pPr>
      <w:r>
        <w:rPr>
          <w:noProof/>
        </w:rPr>
        <w:t xml:space="preserve">Long-bone length is the only variable present in this study for evaluating growth rate.  Age at death was not available for the individuals in these collections so growth in length may only be evaluated against other developmental parameters, which in this study shall be Demirjian summary dental score.  Despite summary dental score being a sum of 8 categories of an ordinal variable for 8 teeth, this system provides the nearest approximation to a continuous variable of development.  </w:t>
      </w:r>
      <w:r w:rsidR="00A00D03">
        <w:rPr>
          <w:noProof/>
        </w:rPr>
        <w:t>It has been shown</w:t>
      </w:r>
      <w:r>
        <w:rPr>
          <w:noProof/>
        </w:rPr>
        <w:t xml:space="preserve"> that Demirjian summary dental score does not linearly relate to chronological age </w:t>
      </w:r>
      <w:r w:rsidR="00A00D03">
        <w:rPr>
          <w:noProof/>
        </w:rPr>
        <w:t xml:space="preserve">(section 3.6) </w:t>
      </w:r>
      <w:r>
        <w:rPr>
          <w:noProof/>
        </w:rPr>
        <w:t xml:space="preserve">and the </w:t>
      </w:r>
      <w:r>
        <w:rPr>
          <w:noProof/>
        </w:rPr>
        <w:lastRenderedPageBreak/>
        <w:t xml:space="preserve">increase in dental score with age approximates the curve determined in other studies for </w:t>
      </w:r>
      <w:r w:rsidR="0056241D">
        <w:rPr>
          <w:noProof/>
        </w:rPr>
        <w:t>overall somatic growth</w:t>
      </w:r>
      <w:r>
        <w:rPr>
          <w:noProof/>
        </w:rPr>
        <w:t xml:space="preserve"> with time.  Long-bone length relative to dental score will be analysed using linear regression.</w:t>
      </w:r>
    </w:p>
    <w:p w:rsidR="009332B6" w:rsidRPr="009332B6" w:rsidRDefault="009332B6" w:rsidP="009332B6">
      <w:pPr>
        <w:rPr>
          <w:b/>
          <w:i/>
          <w:noProof/>
        </w:rPr>
      </w:pPr>
      <w:r w:rsidRPr="009332B6">
        <w:rPr>
          <w:b/>
          <w:i/>
          <w:noProof/>
        </w:rPr>
        <w:t>3.7.1b Sequences of developmental events</w:t>
      </w:r>
    </w:p>
    <w:p w:rsidR="007F1461" w:rsidRDefault="007F1461" w:rsidP="007F1461">
      <w:pPr>
        <w:rPr>
          <w:noProof/>
        </w:rPr>
      </w:pPr>
      <w:r>
        <w:rPr>
          <w:noProof/>
        </w:rPr>
        <w:t xml:space="preserve">Epiphyseal fusion is the </w:t>
      </w:r>
      <w:r w:rsidR="0012527A">
        <w:rPr>
          <w:noProof/>
        </w:rPr>
        <w:t xml:space="preserve">primary </w:t>
      </w:r>
      <w:r>
        <w:rPr>
          <w:noProof/>
        </w:rPr>
        <w:t xml:space="preserve">variable in which sequence shall be analysed.  Analysis of dental developmental sequences could also be considered in this study.  However, dental </w:t>
      </w:r>
      <w:r w:rsidR="008F6FB9">
        <w:rPr>
          <w:noProof/>
        </w:rPr>
        <w:t>emergence and mineralization</w:t>
      </w:r>
      <w:r>
        <w:rPr>
          <w:noProof/>
        </w:rPr>
        <w:t xml:space="preserve"> sequences are already well-known (e.g. Kuykendall 1996</w:t>
      </w:r>
      <w:r w:rsidR="00BC083F">
        <w:rPr>
          <w:noProof/>
        </w:rPr>
        <w:t>, Smith</w:t>
      </w:r>
      <w:r w:rsidR="00DC3CFC">
        <w:rPr>
          <w:noProof/>
        </w:rPr>
        <w:t xml:space="preserve"> </w:t>
      </w:r>
      <w:r w:rsidR="00DC3CFC">
        <w:rPr>
          <w:i/>
          <w:noProof/>
        </w:rPr>
        <w:t>et al</w:t>
      </w:r>
      <w:r w:rsidR="00DC3CFC">
        <w:rPr>
          <w:noProof/>
        </w:rPr>
        <w:t>. 2007</w:t>
      </w:r>
      <w:r>
        <w:rPr>
          <w:noProof/>
        </w:rPr>
        <w:t xml:space="preserve">).  </w:t>
      </w:r>
      <w:r w:rsidR="000C2A31">
        <w:rPr>
          <w:noProof/>
        </w:rPr>
        <w:t>D</w:t>
      </w:r>
      <w:r>
        <w:rPr>
          <w:noProof/>
        </w:rPr>
        <w:t xml:space="preserve">ental development will be limited to the production of summary Demirjian scores.  Epiphyseal fusion events may be charted as a function of summary dental score.  This provides information about the relationship between </w:t>
      </w:r>
      <w:r w:rsidR="000C2A31">
        <w:rPr>
          <w:noProof/>
        </w:rPr>
        <w:t>state of dental mineralization</w:t>
      </w:r>
      <w:r>
        <w:rPr>
          <w:noProof/>
        </w:rPr>
        <w:t xml:space="preserve"> and skeletal fusion.  Epiphyseal fusion may also </w:t>
      </w:r>
      <w:r w:rsidR="00F71488">
        <w:rPr>
          <w:noProof/>
        </w:rPr>
        <w:t xml:space="preserve">be </w:t>
      </w:r>
      <w:r>
        <w:rPr>
          <w:noProof/>
        </w:rPr>
        <w:t>seriated independently as a sequence of events.  This will be evaluated by consideri</w:t>
      </w:r>
      <w:r w:rsidR="009D6879">
        <w:rPr>
          <w:noProof/>
        </w:rPr>
        <w:t>ng mean epiphyseal fusion score</w:t>
      </w:r>
      <w:r>
        <w:rPr>
          <w:noProof/>
        </w:rPr>
        <w:t xml:space="preserve"> and modular sequence </w:t>
      </w:r>
      <w:r w:rsidR="00CD22BF">
        <w:rPr>
          <w:noProof/>
        </w:rPr>
        <w:t>derived from analysis of</w:t>
      </w:r>
      <w:r>
        <w:rPr>
          <w:noProof/>
        </w:rPr>
        <w:t xml:space="preserve"> contingency tables.</w:t>
      </w:r>
    </w:p>
    <w:p w:rsidR="007F1461" w:rsidRPr="00B53177" w:rsidRDefault="009332B6" w:rsidP="009332B6">
      <w:r>
        <w:rPr>
          <w:b/>
          <w:i/>
          <w:noProof/>
        </w:rPr>
        <w:t>3.7.1c: Allometry</w:t>
      </w:r>
    </w:p>
    <w:p w:rsidR="00F71488" w:rsidRDefault="007F1461" w:rsidP="00F71488">
      <w:pPr>
        <w:rPr>
          <w:noProof/>
        </w:rPr>
      </w:pPr>
      <w:r>
        <w:rPr>
          <w:noProof/>
        </w:rPr>
        <w:t xml:space="preserve">The relationships of growth in length between different limb elements has in the past been analysed for </w:t>
      </w:r>
      <w:r>
        <w:rPr>
          <w:i/>
          <w:noProof/>
        </w:rPr>
        <w:t>Pan troglodytes troglodytes</w:t>
      </w:r>
      <w:r>
        <w:rPr>
          <w:noProof/>
        </w:rPr>
        <w:t xml:space="preserve"> and </w:t>
      </w:r>
      <w:r>
        <w:rPr>
          <w:i/>
          <w:noProof/>
        </w:rPr>
        <w:t>Pan paniscus</w:t>
      </w:r>
      <w:r>
        <w:rPr>
          <w:noProof/>
        </w:rPr>
        <w:t xml:space="preserve"> by Shea (1981) who found that the relative lengths of limb bones remain unchanged during growth.  Shea (1981) also found that this consistency of limb-length is also found in humans.  It is possible to confirm these patterns in the data set of the present study and extend these trends to further sub-species of </w:t>
      </w:r>
      <w:r>
        <w:rPr>
          <w:i/>
          <w:noProof/>
        </w:rPr>
        <w:t>Pan troglodytes</w:t>
      </w:r>
      <w:r>
        <w:rPr>
          <w:noProof/>
        </w:rPr>
        <w:t xml:space="preserve">.  This will be done by employing linear regression analysis on </w:t>
      </w:r>
      <w:r w:rsidRPr="006631BB">
        <w:rPr>
          <w:noProof/>
          <w:color w:val="000000" w:themeColor="text1"/>
        </w:rPr>
        <w:t>Log</w:t>
      </w:r>
      <w:r w:rsidRPr="006631BB">
        <w:rPr>
          <w:noProof/>
          <w:color w:val="000000" w:themeColor="text1"/>
          <w:vertAlign w:val="subscript"/>
        </w:rPr>
        <w:t>10</w:t>
      </w:r>
      <w:r>
        <w:rPr>
          <w:noProof/>
        </w:rPr>
        <w:t xml:space="preserve"> transformed limb lengths.</w:t>
      </w:r>
    </w:p>
    <w:p w:rsidR="00F71488" w:rsidRPr="00B53177" w:rsidRDefault="009332B6" w:rsidP="009332B6">
      <w:r>
        <w:rPr>
          <w:b/>
          <w:i/>
          <w:noProof/>
        </w:rPr>
        <w:t>3.7.1d: Estimating chronological age for epiphyseal fusion events</w:t>
      </w:r>
    </w:p>
    <w:p w:rsidR="0048513D" w:rsidRDefault="00F71488" w:rsidP="00837D30">
      <w:pPr>
        <w:rPr>
          <w:noProof/>
          <w:color w:val="000000" w:themeColor="text1"/>
        </w:rPr>
      </w:pPr>
      <w:r w:rsidRPr="00F71488">
        <w:rPr>
          <w:noProof/>
          <w:color w:val="000000" w:themeColor="text1"/>
        </w:rPr>
        <w:t>The estimation of chronological age for fusion events is possible using the regression equation for 8 teeth from Kuykendall (1996).  The utility of pursuing a chronological reference is that it confirms the relationship between known-age studies and the present one.  This allows for confident assessments of the relationship between maturation and chronological time.</w:t>
      </w:r>
    </w:p>
    <w:p w:rsidR="0048513D" w:rsidRDefault="0048513D">
      <w:pPr>
        <w:spacing w:before="0" w:after="200" w:line="276" w:lineRule="auto"/>
        <w:jc w:val="left"/>
        <w:rPr>
          <w:noProof/>
          <w:color w:val="000000" w:themeColor="text1"/>
        </w:rPr>
      </w:pPr>
      <w:r>
        <w:rPr>
          <w:noProof/>
          <w:color w:val="000000" w:themeColor="text1"/>
        </w:rPr>
        <w:br w:type="page"/>
      </w:r>
    </w:p>
    <w:p w:rsidR="009332B6" w:rsidRDefault="009332B6" w:rsidP="00D263E8">
      <w:pPr>
        <w:pStyle w:val="Heading3"/>
      </w:pPr>
      <w:bookmarkStart w:id="217" w:name="_Toc373477785"/>
      <w:bookmarkStart w:id="218" w:name="_Toc373480783"/>
      <w:r>
        <w:lastRenderedPageBreak/>
        <w:t xml:space="preserve">Comparisons of growth standards </w:t>
      </w:r>
      <w:r w:rsidR="003C29F6">
        <w:t>of</w:t>
      </w:r>
      <w:r>
        <w:t xml:space="preserve"> Pan </w:t>
      </w:r>
      <w:r w:rsidR="003C29F6">
        <w:t>and</w:t>
      </w:r>
      <w:r>
        <w:t xml:space="preserve"> Homo: Chapter 5</w:t>
      </w:r>
      <w:bookmarkEnd w:id="217"/>
      <w:bookmarkEnd w:id="218"/>
    </w:p>
    <w:p w:rsidR="009332B6" w:rsidRPr="009332B6" w:rsidRDefault="009332B6" w:rsidP="00837D30">
      <w:pPr>
        <w:rPr>
          <w:b/>
          <w:i/>
        </w:rPr>
      </w:pPr>
      <w:r w:rsidRPr="009332B6">
        <w:rPr>
          <w:b/>
          <w:i/>
          <w:noProof/>
          <w:color w:val="000000" w:themeColor="text1"/>
        </w:rPr>
        <w:t>3.7.2a: C</w:t>
      </w:r>
      <w:r w:rsidRPr="009332B6">
        <w:rPr>
          <w:b/>
          <w:i/>
        </w:rPr>
        <w:t>omparison of epiphyseal fusion seriations of chimpanzees and humans</w:t>
      </w:r>
    </w:p>
    <w:p w:rsidR="00837D30" w:rsidRDefault="006D6520" w:rsidP="00837D30">
      <w:pPr>
        <w:rPr>
          <w:noProof/>
          <w:color w:val="000000" w:themeColor="text1"/>
        </w:rPr>
      </w:pPr>
      <w:r w:rsidRPr="008279BA">
        <w:rPr>
          <w:noProof/>
          <w:color w:val="000000" w:themeColor="text1"/>
        </w:rPr>
        <w:t xml:space="preserve">With fusion sequence for chimpanzees and bonobos analysed by the use of modular sequence and mean epiphyseal fusion, comparisons with available human data </w:t>
      </w:r>
      <w:r w:rsidR="004F5E43">
        <w:rPr>
          <w:noProof/>
          <w:color w:val="000000" w:themeColor="text1"/>
        </w:rPr>
        <w:t>is possible</w:t>
      </w:r>
      <w:r w:rsidRPr="008279BA">
        <w:rPr>
          <w:noProof/>
          <w:color w:val="000000" w:themeColor="text1"/>
        </w:rPr>
        <w:t>.  Schaefer and Black (2007) provide a modular sequence for humans and comparison with this study will be made.</w:t>
      </w:r>
    </w:p>
    <w:p w:rsidR="00837D30" w:rsidRPr="00B53177" w:rsidRDefault="009332B6" w:rsidP="009332B6">
      <w:r w:rsidRPr="009332B6">
        <w:rPr>
          <w:b/>
          <w:i/>
          <w:noProof/>
          <w:color w:val="000000" w:themeColor="text1"/>
        </w:rPr>
        <w:t xml:space="preserve">3.7.2b: </w:t>
      </w:r>
      <w:r w:rsidRPr="009332B6">
        <w:rPr>
          <w:b/>
          <w:i/>
        </w:rPr>
        <w:t>Comparison of dental sequences and epiphyseal fusion sequences between chimpanzees and humans</w:t>
      </w:r>
    </w:p>
    <w:p w:rsidR="00837D30" w:rsidRDefault="006B0555" w:rsidP="00837D30">
      <w:pPr>
        <w:rPr>
          <w:noProof/>
          <w:color w:val="000000" w:themeColor="text1"/>
        </w:rPr>
      </w:pPr>
      <w:r>
        <w:rPr>
          <w:noProof/>
          <w:color w:val="000000" w:themeColor="text1"/>
        </w:rPr>
        <w:t>C</w:t>
      </w:r>
      <w:r w:rsidR="008279BA" w:rsidRPr="00E8786F">
        <w:rPr>
          <w:noProof/>
          <w:color w:val="000000" w:themeColor="text1"/>
        </w:rPr>
        <w:t xml:space="preserve">omparison of the sequence of epiphyseal fusion events and dental developmental events </w:t>
      </w:r>
      <w:r w:rsidR="00D100BE">
        <w:rPr>
          <w:noProof/>
          <w:color w:val="000000" w:themeColor="text1"/>
        </w:rPr>
        <w:t>i</w:t>
      </w:r>
      <w:r w:rsidR="008279BA" w:rsidRPr="00E8786F">
        <w:rPr>
          <w:noProof/>
          <w:color w:val="000000" w:themeColor="text1"/>
        </w:rPr>
        <w:t xml:space="preserve">s limited by the fact that the dentition was analysed </w:t>
      </w:r>
      <w:r w:rsidR="008676C6">
        <w:rPr>
          <w:noProof/>
          <w:color w:val="000000" w:themeColor="text1"/>
        </w:rPr>
        <w:t xml:space="preserve">only </w:t>
      </w:r>
      <w:r w:rsidR="008279BA" w:rsidRPr="00E8786F">
        <w:rPr>
          <w:noProof/>
          <w:color w:val="000000" w:themeColor="text1"/>
        </w:rPr>
        <w:t>using summary Demirjian</w:t>
      </w:r>
      <w:r w:rsidR="001379A0">
        <w:rPr>
          <w:noProof/>
          <w:color w:val="000000" w:themeColor="text1"/>
        </w:rPr>
        <w:t xml:space="preserve"> dental score.  As such</w:t>
      </w:r>
      <w:r w:rsidR="008279BA" w:rsidRPr="00E8786F">
        <w:rPr>
          <w:noProof/>
          <w:color w:val="000000" w:themeColor="text1"/>
        </w:rPr>
        <w:t xml:space="preserve"> discrete events such as molar emergence cannot be directly used as markers for grouping sequences of events.  However, using standards from Kuykendall (1996) it is possible to estimate the timing of complet</w:t>
      </w:r>
      <w:r w:rsidR="007B1C67" w:rsidRPr="00E8786F">
        <w:rPr>
          <w:noProof/>
          <w:color w:val="000000" w:themeColor="text1"/>
        </w:rPr>
        <w:t>e mineralization in certain teeth.  This provides a means to group epiphyseal fusion events and count the number of events that occur in each grouping.  This provides a basic measure as to how sequences of fusion and dental events compare</w:t>
      </w:r>
      <w:r w:rsidR="001379A0">
        <w:rPr>
          <w:noProof/>
          <w:color w:val="000000" w:themeColor="text1"/>
        </w:rPr>
        <w:t xml:space="preserve"> in both humans and chimpanzees</w:t>
      </w:r>
      <w:r w:rsidR="005B1405">
        <w:rPr>
          <w:noProof/>
          <w:color w:val="000000" w:themeColor="text1"/>
        </w:rPr>
        <w:t xml:space="preserve">.  This </w:t>
      </w:r>
      <w:r w:rsidR="005A2194">
        <w:rPr>
          <w:noProof/>
          <w:color w:val="000000" w:themeColor="text1"/>
        </w:rPr>
        <w:t xml:space="preserve">analysis </w:t>
      </w:r>
      <w:r w:rsidR="005B1405">
        <w:rPr>
          <w:noProof/>
          <w:color w:val="000000" w:themeColor="text1"/>
        </w:rPr>
        <w:t>will not be possible for bonobos given sample size limitations</w:t>
      </w:r>
      <w:r w:rsidR="007B1C67" w:rsidRPr="00E8786F">
        <w:rPr>
          <w:noProof/>
          <w:color w:val="000000" w:themeColor="text1"/>
        </w:rPr>
        <w:t>.</w:t>
      </w:r>
    </w:p>
    <w:p w:rsidR="007F1461" w:rsidRPr="00B53177" w:rsidRDefault="009332B6" w:rsidP="009332B6">
      <w:r w:rsidRPr="009332B6">
        <w:rPr>
          <w:b/>
          <w:i/>
          <w:noProof/>
          <w:color w:val="000000" w:themeColor="text1"/>
        </w:rPr>
        <w:t xml:space="preserve">3.7.2c: </w:t>
      </w:r>
      <w:r w:rsidRPr="009332B6">
        <w:rPr>
          <w:b/>
          <w:i/>
        </w:rPr>
        <w:t>Relating sequences of fusion events to changes in allometry</w:t>
      </w:r>
    </w:p>
    <w:p w:rsidR="007F1461" w:rsidRPr="00872963" w:rsidRDefault="007F1461" w:rsidP="00872963">
      <w:pPr>
        <w:rPr>
          <w:noProof/>
          <w:color w:val="000000" w:themeColor="text1"/>
        </w:rPr>
      </w:pPr>
      <w:r w:rsidRPr="00F71488">
        <w:rPr>
          <w:noProof/>
          <w:color w:val="000000" w:themeColor="text1"/>
        </w:rPr>
        <w:t>The relationship between fusion events are a proportion of growth in length is informative with respect to understanding how differences in dimensions are achieved between species.  As such, this is a comparative analysis that will include humans and is found in Chapter 5.  As outlined in Chapter 2, it is not known if changes in allometry between species affects the timing of epiphyseal fusion events as a proportion growth of length.  Fusion events considered as a proportion of length will be compared between chimpanzees and humans.</w:t>
      </w:r>
    </w:p>
    <w:p w:rsidR="00C9288A" w:rsidRDefault="00C9288A">
      <w:pPr>
        <w:spacing w:before="0" w:after="200" w:line="276" w:lineRule="auto"/>
        <w:jc w:val="left"/>
        <w:rPr>
          <w:noProof/>
        </w:rPr>
      </w:pPr>
      <w:r>
        <w:rPr>
          <w:noProof/>
        </w:rPr>
        <w:br w:type="page"/>
      </w:r>
    </w:p>
    <w:p w:rsidR="002E17E6" w:rsidRPr="00EF2B3D" w:rsidRDefault="002E17E6" w:rsidP="003F2CED">
      <w:pPr>
        <w:pStyle w:val="Heading1"/>
        <w:rPr>
          <w:noProof/>
        </w:rPr>
      </w:pPr>
      <w:bookmarkStart w:id="219" w:name="_Toc373477786"/>
      <w:bookmarkStart w:id="220" w:name="_Toc373480784"/>
      <w:r w:rsidRPr="006631BB">
        <w:rPr>
          <w:noProof/>
        </w:rPr>
        <w:lastRenderedPageBreak/>
        <w:t>Results</w:t>
      </w:r>
      <w:r w:rsidR="00E83840">
        <w:rPr>
          <w:noProof/>
        </w:rPr>
        <w:t xml:space="preserve"> – </w:t>
      </w:r>
      <w:r w:rsidR="003C29F6">
        <w:t>Standards of growth for chimpanzees and bonobos</w:t>
      </w:r>
      <w:bookmarkEnd w:id="219"/>
      <w:bookmarkEnd w:id="220"/>
    </w:p>
    <w:p w:rsidR="00A879CB" w:rsidRPr="006631BB" w:rsidRDefault="00D71E7D" w:rsidP="00D263E8">
      <w:pPr>
        <w:pStyle w:val="Heading2"/>
      </w:pPr>
      <w:bookmarkStart w:id="221" w:name="_Toc373477787"/>
      <w:bookmarkStart w:id="222" w:name="_Toc373480785"/>
      <w:r w:rsidRPr="00D71E7D">
        <w:t>Growth rate of long-bones as a function of dental score</w:t>
      </w:r>
      <w:bookmarkEnd w:id="221"/>
      <w:bookmarkEnd w:id="222"/>
    </w:p>
    <w:p w:rsidR="00782031" w:rsidRPr="00535F62" w:rsidRDefault="009310C0" w:rsidP="00D263E8">
      <w:pPr>
        <w:pStyle w:val="Heading3"/>
      </w:pPr>
      <w:bookmarkStart w:id="223" w:name="_Toc372916501"/>
      <w:bookmarkStart w:id="224" w:name="_Toc372916755"/>
      <w:bookmarkStart w:id="225" w:name="_Toc372916976"/>
      <w:bookmarkStart w:id="226" w:name="_Toc372917192"/>
      <w:bookmarkStart w:id="227" w:name="_Toc372917406"/>
      <w:bookmarkStart w:id="228" w:name="_Toc372917616"/>
      <w:bookmarkStart w:id="229" w:name="_Toc372917825"/>
      <w:bookmarkStart w:id="230" w:name="_Toc372918034"/>
      <w:bookmarkStart w:id="231" w:name="_Toc372918243"/>
      <w:bookmarkStart w:id="232" w:name="_Toc372918452"/>
      <w:bookmarkStart w:id="233" w:name="_Toc372918655"/>
      <w:bookmarkStart w:id="234" w:name="_Toc372918860"/>
      <w:bookmarkStart w:id="235" w:name="_Toc372919065"/>
      <w:bookmarkStart w:id="236" w:name="_Toc372919266"/>
      <w:bookmarkStart w:id="237" w:name="_Toc372919560"/>
      <w:bookmarkStart w:id="238" w:name="_Toc372919757"/>
      <w:bookmarkStart w:id="239" w:name="_Toc372919954"/>
      <w:bookmarkStart w:id="240" w:name="_Toc372920151"/>
      <w:bookmarkStart w:id="241" w:name="_Toc372920349"/>
      <w:bookmarkStart w:id="242" w:name="_Toc372920547"/>
      <w:bookmarkStart w:id="243" w:name="_Toc372920743"/>
      <w:bookmarkStart w:id="244" w:name="_Toc372920939"/>
      <w:bookmarkStart w:id="245" w:name="_Toc372921135"/>
      <w:bookmarkStart w:id="246" w:name="_Toc372921331"/>
      <w:bookmarkStart w:id="247" w:name="_Toc372921533"/>
      <w:bookmarkStart w:id="248" w:name="_Toc372921729"/>
      <w:bookmarkStart w:id="249" w:name="_Toc372921925"/>
      <w:bookmarkStart w:id="250" w:name="_Toc372928205"/>
      <w:bookmarkStart w:id="251" w:name="_Toc372928509"/>
      <w:bookmarkStart w:id="252" w:name="_Toc372928705"/>
      <w:bookmarkStart w:id="253" w:name="_Toc372981708"/>
      <w:bookmarkStart w:id="254" w:name="_Toc373071935"/>
      <w:bookmarkStart w:id="255" w:name="_Toc373147252"/>
      <w:bookmarkStart w:id="256" w:name="_Toc373477788"/>
      <w:bookmarkStart w:id="257" w:name="_Toc373480786"/>
      <w:bookmarkStart w:id="258" w:name="_Toc372916502"/>
      <w:bookmarkStart w:id="259" w:name="_Toc372916756"/>
      <w:bookmarkStart w:id="260" w:name="_Toc372916977"/>
      <w:bookmarkStart w:id="261" w:name="_Toc372917193"/>
      <w:bookmarkStart w:id="262" w:name="_Toc372917407"/>
      <w:bookmarkStart w:id="263" w:name="_Toc372917617"/>
      <w:bookmarkStart w:id="264" w:name="_Toc372917826"/>
      <w:bookmarkStart w:id="265" w:name="_Toc372918035"/>
      <w:bookmarkStart w:id="266" w:name="_Toc372918244"/>
      <w:bookmarkStart w:id="267" w:name="_Toc372918453"/>
      <w:bookmarkStart w:id="268" w:name="_Toc372918656"/>
      <w:bookmarkStart w:id="269" w:name="_Toc372918861"/>
      <w:bookmarkStart w:id="270" w:name="_Toc372919066"/>
      <w:bookmarkStart w:id="271" w:name="_Toc372919267"/>
      <w:bookmarkStart w:id="272" w:name="_Toc372919561"/>
      <w:bookmarkStart w:id="273" w:name="_Toc372919758"/>
      <w:bookmarkStart w:id="274" w:name="_Toc372919955"/>
      <w:bookmarkStart w:id="275" w:name="_Toc372920152"/>
      <w:bookmarkStart w:id="276" w:name="_Toc372920350"/>
      <w:bookmarkStart w:id="277" w:name="_Toc372920548"/>
      <w:bookmarkStart w:id="278" w:name="_Toc372920744"/>
      <w:bookmarkStart w:id="279" w:name="_Toc372920940"/>
      <w:bookmarkStart w:id="280" w:name="_Toc372921136"/>
      <w:bookmarkStart w:id="281" w:name="_Toc372921332"/>
      <w:bookmarkStart w:id="282" w:name="_Toc372921534"/>
      <w:bookmarkStart w:id="283" w:name="_Toc372921730"/>
      <w:bookmarkStart w:id="284" w:name="_Toc372921926"/>
      <w:bookmarkStart w:id="285" w:name="_Toc372928206"/>
      <w:bookmarkStart w:id="286" w:name="_Toc372928510"/>
      <w:bookmarkStart w:id="287" w:name="_Toc372928706"/>
      <w:bookmarkStart w:id="288" w:name="_Toc372981709"/>
      <w:bookmarkStart w:id="289" w:name="_Toc373071936"/>
      <w:bookmarkStart w:id="290" w:name="_Toc373147253"/>
      <w:bookmarkStart w:id="291" w:name="_Toc373477789"/>
      <w:bookmarkStart w:id="292" w:name="_Toc373480787"/>
      <w:bookmarkStart w:id="293" w:name="_Toc372916503"/>
      <w:bookmarkStart w:id="294" w:name="_Toc372916757"/>
      <w:bookmarkStart w:id="295" w:name="_Toc372916978"/>
      <w:bookmarkStart w:id="296" w:name="_Toc372917194"/>
      <w:bookmarkStart w:id="297" w:name="_Toc372917408"/>
      <w:bookmarkStart w:id="298" w:name="_Toc372917618"/>
      <w:bookmarkStart w:id="299" w:name="_Toc372917827"/>
      <w:bookmarkStart w:id="300" w:name="_Toc372918036"/>
      <w:bookmarkStart w:id="301" w:name="_Toc372918245"/>
      <w:bookmarkStart w:id="302" w:name="_Toc372918454"/>
      <w:bookmarkStart w:id="303" w:name="_Toc372918657"/>
      <w:bookmarkStart w:id="304" w:name="_Toc372918862"/>
      <w:bookmarkStart w:id="305" w:name="_Toc372919067"/>
      <w:bookmarkStart w:id="306" w:name="_Toc372919268"/>
      <w:bookmarkStart w:id="307" w:name="_Toc372919562"/>
      <w:bookmarkStart w:id="308" w:name="_Toc372919759"/>
      <w:bookmarkStart w:id="309" w:name="_Toc372919956"/>
      <w:bookmarkStart w:id="310" w:name="_Toc372920153"/>
      <w:bookmarkStart w:id="311" w:name="_Toc372920351"/>
      <w:bookmarkStart w:id="312" w:name="_Toc372920549"/>
      <w:bookmarkStart w:id="313" w:name="_Toc372920745"/>
      <w:bookmarkStart w:id="314" w:name="_Toc372920941"/>
      <w:bookmarkStart w:id="315" w:name="_Toc372921137"/>
      <w:bookmarkStart w:id="316" w:name="_Toc372921333"/>
      <w:bookmarkStart w:id="317" w:name="_Toc372921535"/>
      <w:bookmarkStart w:id="318" w:name="_Toc372921731"/>
      <w:bookmarkStart w:id="319" w:name="_Toc372921927"/>
      <w:bookmarkStart w:id="320" w:name="_Toc372928207"/>
      <w:bookmarkStart w:id="321" w:name="_Toc372928511"/>
      <w:bookmarkStart w:id="322" w:name="_Toc372928707"/>
      <w:bookmarkStart w:id="323" w:name="_Toc372981710"/>
      <w:bookmarkStart w:id="324" w:name="_Toc373071937"/>
      <w:bookmarkStart w:id="325" w:name="_Toc373147254"/>
      <w:bookmarkStart w:id="326" w:name="_Toc373477790"/>
      <w:bookmarkStart w:id="327" w:name="_Toc373480788"/>
      <w:bookmarkStart w:id="328" w:name="_Toc372916504"/>
      <w:bookmarkStart w:id="329" w:name="_Toc372916758"/>
      <w:bookmarkStart w:id="330" w:name="_Toc372916979"/>
      <w:bookmarkStart w:id="331" w:name="_Toc372917195"/>
      <w:bookmarkStart w:id="332" w:name="_Toc372917409"/>
      <w:bookmarkStart w:id="333" w:name="_Toc372917619"/>
      <w:bookmarkStart w:id="334" w:name="_Toc372917828"/>
      <w:bookmarkStart w:id="335" w:name="_Toc372918037"/>
      <w:bookmarkStart w:id="336" w:name="_Toc372918246"/>
      <w:bookmarkStart w:id="337" w:name="_Toc372918455"/>
      <w:bookmarkStart w:id="338" w:name="_Toc372918658"/>
      <w:bookmarkStart w:id="339" w:name="_Toc372918863"/>
      <w:bookmarkStart w:id="340" w:name="_Toc372919068"/>
      <w:bookmarkStart w:id="341" w:name="_Toc372919269"/>
      <w:bookmarkStart w:id="342" w:name="_Toc372919563"/>
      <w:bookmarkStart w:id="343" w:name="_Toc372919760"/>
      <w:bookmarkStart w:id="344" w:name="_Toc372919957"/>
      <w:bookmarkStart w:id="345" w:name="_Toc372920154"/>
      <w:bookmarkStart w:id="346" w:name="_Toc372920352"/>
      <w:bookmarkStart w:id="347" w:name="_Toc372920550"/>
      <w:bookmarkStart w:id="348" w:name="_Toc372920746"/>
      <w:bookmarkStart w:id="349" w:name="_Toc372920942"/>
      <w:bookmarkStart w:id="350" w:name="_Toc372921138"/>
      <w:bookmarkStart w:id="351" w:name="_Toc372921334"/>
      <w:bookmarkStart w:id="352" w:name="_Toc372921536"/>
      <w:bookmarkStart w:id="353" w:name="_Toc372921732"/>
      <w:bookmarkStart w:id="354" w:name="_Toc372921928"/>
      <w:bookmarkStart w:id="355" w:name="_Toc372928208"/>
      <w:bookmarkStart w:id="356" w:name="_Toc372928512"/>
      <w:bookmarkStart w:id="357" w:name="_Toc372928708"/>
      <w:bookmarkStart w:id="358" w:name="_Toc372981711"/>
      <w:bookmarkStart w:id="359" w:name="_Toc373071938"/>
      <w:bookmarkStart w:id="360" w:name="_Toc373147255"/>
      <w:bookmarkStart w:id="361" w:name="_Toc373477791"/>
      <w:bookmarkStart w:id="362" w:name="_Toc373480789"/>
      <w:bookmarkStart w:id="363" w:name="_Toc372916505"/>
      <w:bookmarkStart w:id="364" w:name="_Toc372916759"/>
      <w:bookmarkStart w:id="365" w:name="_Toc372916980"/>
      <w:bookmarkStart w:id="366" w:name="_Toc372917196"/>
      <w:bookmarkStart w:id="367" w:name="_Toc372917410"/>
      <w:bookmarkStart w:id="368" w:name="_Toc372917620"/>
      <w:bookmarkStart w:id="369" w:name="_Toc372917829"/>
      <w:bookmarkStart w:id="370" w:name="_Toc372918038"/>
      <w:bookmarkStart w:id="371" w:name="_Toc372918247"/>
      <w:bookmarkStart w:id="372" w:name="_Toc372918456"/>
      <w:bookmarkStart w:id="373" w:name="_Toc372918659"/>
      <w:bookmarkStart w:id="374" w:name="_Toc372918864"/>
      <w:bookmarkStart w:id="375" w:name="_Toc372919069"/>
      <w:bookmarkStart w:id="376" w:name="_Toc372919270"/>
      <w:bookmarkStart w:id="377" w:name="_Toc372919564"/>
      <w:bookmarkStart w:id="378" w:name="_Toc372919761"/>
      <w:bookmarkStart w:id="379" w:name="_Toc372919958"/>
      <w:bookmarkStart w:id="380" w:name="_Toc372920155"/>
      <w:bookmarkStart w:id="381" w:name="_Toc372920353"/>
      <w:bookmarkStart w:id="382" w:name="_Toc372920551"/>
      <w:bookmarkStart w:id="383" w:name="_Toc372920747"/>
      <w:bookmarkStart w:id="384" w:name="_Toc372920943"/>
      <w:bookmarkStart w:id="385" w:name="_Toc372921139"/>
      <w:bookmarkStart w:id="386" w:name="_Toc372921335"/>
      <w:bookmarkStart w:id="387" w:name="_Toc372921537"/>
      <w:bookmarkStart w:id="388" w:name="_Toc372921733"/>
      <w:bookmarkStart w:id="389" w:name="_Toc372921929"/>
      <w:bookmarkStart w:id="390" w:name="_Toc372928209"/>
      <w:bookmarkStart w:id="391" w:name="_Toc372928513"/>
      <w:bookmarkStart w:id="392" w:name="_Toc372928709"/>
      <w:bookmarkStart w:id="393" w:name="_Toc372981712"/>
      <w:bookmarkStart w:id="394" w:name="_Toc373071939"/>
      <w:bookmarkStart w:id="395" w:name="_Toc373147256"/>
      <w:bookmarkStart w:id="396" w:name="_Toc373477792"/>
      <w:bookmarkStart w:id="397" w:name="_Toc373480790"/>
      <w:bookmarkStart w:id="398" w:name="_Toc372916506"/>
      <w:bookmarkStart w:id="399" w:name="_Toc372916760"/>
      <w:bookmarkStart w:id="400" w:name="_Toc372916981"/>
      <w:bookmarkStart w:id="401" w:name="_Toc372917197"/>
      <w:bookmarkStart w:id="402" w:name="_Toc372917411"/>
      <w:bookmarkStart w:id="403" w:name="_Toc372917621"/>
      <w:bookmarkStart w:id="404" w:name="_Toc372917830"/>
      <w:bookmarkStart w:id="405" w:name="_Toc372918039"/>
      <w:bookmarkStart w:id="406" w:name="_Toc372918248"/>
      <w:bookmarkStart w:id="407" w:name="_Toc372918457"/>
      <w:bookmarkStart w:id="408" w:name="_Toc372918660"/>
      <w:bookmarkStart w:id="409" w:name="_Toc372918865"/>
      <w:bookmarkStart w:id="410" w:name="_Toc372919070"/>
      <w:bookmarkStart w:id="411" w:name="_Toc372919271"/>
      <w:bookmarkStart w:id="412" w:name="_Toc372919565"/>
      <w:bookmarkStart w:id="413" w:name="_Toc372919762"/>
      <w:bookmarkStart w:id="414" w:name="_Toc372919959"/>
      <w:bookmarkStart w:id="415" w:name="_Toc372920156"/>
      <w:bookmarkStart w:id="416" w:name="_Toc372920354"/>
      <w:bookmarkStart w:id="417" w:name="_Toc372920552"/>
      <w:bookmarkStart w:id="418" w:name="_Toc372920748"/>
      <w:bookmarkStart w:id="419" w:name="_Toc372920944"/>
      <w:bookmarkStart w:id="420" w:name="_Toc372921140"/>
      <w:bookmarkStart w:id="421" w:name="_Toc372921336"/>
      <w:bookmarkStart w:id="422" w:name="_Toc372921538"/>
      <w:bookmarkStart w:id="423" w:name="_Toc372921734"/>
      <w:bookmarkStart w:id="424" w:name="_Toc372921930"/>
      <w:bookmarkStart w:id="425" w:name="_Toc372928210"/>
      <w:bookmarkStart w:id="426" w:name="_Toc372928514"/>
      <w:bookmarkStart w:id="427" w:name="_Toc372928710"/>
      <w:bookmarkStart w:id="428" w:name="_Toc372981713"/>
      <w:bookmarkStart w:id="429" w:name="_Toc373071940"/>
      <w:bookmarkStart w:id="430" w:name="_Toc373147257"/>
      <w:bookmarkStart w:id="431" w:name="_Toc373477793"/>
      <w:bookmarkStart w:id="432" w:name="_Toc373480791"/>
      <w:bookmarkStart w:id="433" w:name="_Toc372916507"/>
      <w:bookmarkStart w:id="434" w:name="_Toc372916761"/>
      <w:bookmarkStart w:id="435" w:name="_Toc372916982"/>
      <w:bookmarkStart w:id="436" w:name="_Toc372917198"/>
      <w:bookmarkStart w:id="437" w:name="_Toc372917412"/>
      <w:bookmarkStart w:id="438" w:name="_Toc372917622"/>
      <w:bookmarkStart w:id="439" w:name="_Toc372917831"/>
      <w:bookmarkStart w:id="440" w:name="_Toc372918040"/>
      <w:bookmarkStart w:id="441" w:name="_Toc372918249"/>
      <w:bookmarkStart w:id="442" w:name="_Toc372918458"/>
      <w:bookmarkStart w:id="443" w:name="_Toc372918661"/>
      <w:bookmarkStart w:id="444" w:name="_Toc372918866"/>
      <w:bookmarkStart w:id="445" w:name="_Toc372919071"/>
      <w:bookmarkStart w:id="446" w:name="_Toc372919272"/>
      <w:bookmarkStart w:id="447" w:name="_Toc372919566"/>
      <w:bookmarkStart w:id="448" w:name="_Toc372919763"/>
      <w:bookmarkStart w:id="449" w:name="_Toc372919960"/>
      <w:bookmarkStart w:id="450" w:name="_Toc372920157"/>
      <w:bookmarkStart w:id="451" w:name="_Toc372920355"/>
      <w:bookmarkStart w:id="452" w:name="_Toc372920553"/>
      <w:bookmarkStart w:id="453" w:name="_Toc372920749"/>
      <w:bookmarkStart w:id="454" w:name="_Toc372920945"/>
      <w:bookmarkStart w:id="455" w:name="_Toc372921141"/>
      <w:bookmarkStart w:id="456" w:name="_Toc372921337"/>
      <w:bookmarkStart w:id="457" w:name="_Toc372921539"/>
      <w:bookmarkStart w:id="458" w:name="_Toc372921735"/>
      <w:bookmarkStart w:id="459" w:name="_Toc372921931"/>
      <w:bookmarkStart w:id="460" w:name="_Toc372928211"/>
      <w:bookmarkStart w:id="461" w:name="_Toc372928515"/>
      <w:bookmarkStart w:id="462" w:name="_Toc372928711"/>
      <w:bookmarkStart w:id="463" w:name="_Toc372981714"/>
      <w:bookmarkStart w:id="464" w:name="_Toc373071941"/>
      <w:bookmarkStart w:id="465" w:name="_Toc373147258"/>
      <w:bookmarkStart w:id="466" w:name="_Toc373477794"/>
      <w:bookmarkStart w:id="467" w:name="_Toc373480792"/>
      <w:bookmarkStart w:id="468" w:name="_Toc373477795"/>
      <w:bookmarkStart w:id="469" w:name="_Toc373480793"/>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t xml:space="preserve">Analysis of </w:t>
      </w:r>
      <w:r w:rsidR="00782031">
        <w:t xml:space="preserve">growth rate </w:t>
      </w:r>
      <w:r>
        <w:t xml:space="preserve">as a function of </w:t>
      </w:r>
      <w:r w:rsidR="00782031">
        <w:t xml:space="preserve">dental score using </w:t>
      </w:r>
      <w:r w:rsidR="00782031" w:rsidRPr="00535F62">
        <w:t>regression</w:t>
      </w:r>
      <w:r w:rsidR="00782031">
        <w:t xml:space="preserve"> analysis</w:t>
      </w:r>
      <w:bookmarkEnd w:id="468"/>
      <w:bookmarkEnd w:id="469"/>
    </w:p>
    <w:p w:rsidR="00782031" w:rsidRDefault="00DD5C38" w:rsidP="00DD5C38">
      <w:pPr>
        <w:rPr>
          <w:noProof/>
        </w:rPr>
      </w:pPr>
      <w:r w:rsidRPr="006631BB">
        <w:rPr>
          <w:noProof/>
          <w:lang w:val="en-GB" w:eastAsia="en-GB"/>
        </w:rPr>
        <w:drawing>
          <wp:anchor distT="0" distB="0" distL="114300" distR="114300" simplePos="0" relativeHeight="251671552" behindDoc="0" locked="1" layoutInCell="1" allowOverlap="0" wp14:anchorId="66708570" wp14:editId="05BBF76D">
            <wp:simplePos x="0" y="0"/>
            <wp:positionH relativeFrom="column">
              <wp:posOffset>644525</wp:posOffset>
            </wp:positionH>
            <wp:positionV relativeFrom="paragraph">
              <wp:posOffset>3007360</wp:posOffset>
            </wp:positionV>
            <wp:extent cx="4705350" cy="3409950"/>
            <wp:effectExtent l="0" t="0" r="19050" b="19050"/>
            <wp:wrapTopAndBottom/>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782031">
        <w:rPr>
          <w:noProof/>
        </w:rPr>
        <w:t xml:space="preserve">This section will consider long-bone growth </w:t>
      </w:r>
      <w:r w:rsidR="007E4F34">
        <w:rPr>
          <w:noProof/>
        </w:rPr>
        <w:t>as a function of</w:t>
      </w:r>
      <w:r w:rsidR="00782031">
        <w:rPr>
          <w:noProof/>
        </w:rPr>
        <w:t xml:space="preserve"> dental score.  </w:t>
      </w:r>
      <w:r w:rsidR="00867D3F">
        <w:rPr>
          <w:noProof/>
        </w:rPr>
        <w:t>As outlined in Chapter 2, g</w:t>
      </w:r>
      <w:r w:rsidR="00782031">
        <w:rPr>
          <w:noProof/>
        </w:rPr>
        <w:t xml:space="preserve">rowth in length </w:t>
      </w:r>
      <w:r w:rsidR="001B1D5A">
        <w:rPr>
          <w:noProof/>
        </w:rPr>
        <w:t xml:space="preserve">as a function of </w:t>
      </w:r>
      <w:r w:rsidR="00782031">
        <w:rPr>
          <w:noProof/>
        </w:rPr>
        <w:t xml:space="preserve">chronological years </w:t>
      </w:r>
      <w:r w:rsidR="00867D3F">
        <w:rPr>
          <w:noProof/>
        </w:rPr>
        <w:t xml:space="preserve">has been found to </w:t>
      </w:r>
      <w:r w:rsidR="00AB4B82">
        <w:rPr>
          <w:noProof/>
        </w:rPr>
        <w:t xml:space="preserve">a </w:t>
      </w:r>
      <w:r w:rsidR="00867D3F">
        <w:rPr>
          <w:noProof/>
        </w:rPr>
        <w:t>be</w:t>
      </w:r>
      <w:r w:rsidR="00782031">
        <w:rPr>
          <w:noProof/>
        </w:rPr>
        <w:t xml:space="preserve"> no</w:t>
      </w:r>
      <w:r w:rsidR="00867D3F">
        <w:rPr>
          <w:noProof/>
        </w:rPr>
        <w:t>n-</w:t>
      </w:r>
      <w:r w:rsidR="00782031">
        <w:rPr>
          <w:noProof/>
        </w:rPr>
        <w:t xml:space="preserve">linear </w:t>
      </w:r>
      <w:r w:rsidR="00AB4B82">
        <w:rPr>
          <w:noProof/>
        </w:rPr>
        <w:t xml:space="preserve">relationship </w:t>
      </w:r>
      <w:r w:rsidR="00782031">
        <w:rPr>
          <w:noProof/>
        </w:rPr>
        <w:t>for chimpanzees and bonobos</w:t>
      </w:r>
      <w:r w:rsidR="00741E1F">
        <w:rPr>
          <w:noProof/>
        </w:rPr>
        <w:t xml:space="preserve"> (Leigh and Shea 1996)</w:t>
      </w:r>
      <w:r w:rsidR="00867D3F">
        <w:rPr>
          <w:noProof/>
        </w:rPr>
        <w:t xml:space="preserve">.  However, </w:t>
      </w:r>
      <w:r w:rsidR="00AA0430">
        <w:rPr>
          <w:noProof/>
        </w:rPr>
        <w:t xml:space="preserve">the nature of the relationship between growth in length for long-bones and dental score </w:t>
      </w:r>
      <w:r w:rsidR="00867D3F">
        <w:rPr>
          <w:noProof/>
        </w:rPr>
        <w:t xml:space="preserve">is </w:t>
      </w:r>
      <w:r w:rsidR="00782031">
        <w:rPr>
          <w:noProof/>
        </w:rPr>
        <w:t>not clear.  This analysis begin</w:t>
      </w:r>
      <w:r w:rsidR="00AB4B82">
        <w:rPr>
          <w:noProof/>
        </w:rPr>
        <w:t xml:space="preserve">s </w:t>
      </w:r>
      <w:r w:rsidR="005510FA">
        <w:rPr>
          <w:noProof/>
        </w:rPr>
        <w:t xml:space="preserve">by </w:t>
      </w:r>
      <w:r w:rsidR="00942031">
        <w:rPr>
          <w:noProof/>
        </w:rPr>
        <w:t xml:space="preserve">evaluating </w:t>
      </w:r>
      <w:r w:rsidR="006F0D06">
        <w:rPr>
          <w:noProof/>
        </w:rPr>
        <w:t xml:space="preserve">chimpanzee </w:t>
      </w:r>
      <w:r w:rsidR="002C6A88">
        <w:rPr>
          <w:noProof/>
        </w:rPr>
        <w:t xml:space="preserve">humeral length </w:t>
      </w:r>
      <w:r w:rsidR="00942031">
        <w:rPr>
          <w:noProof/>
        </w:rPr>
        <w:t xml:space="preserve">as a function of </w:t>
      </w:r>
      <w:r w:rsidR="002C6A88">
        <w:rPr>
          <w:noProof/>
        </w:rPr>
        <w:t>dental score</w:t>
      </w:r>
      <w:r w:rsidR="009449DC">
        <w:rPr>
          <w:noProof/>
        </w:rPr>
        <w:t xml:space="preserve"> and then expanding </w:t>
      </w:r>
      <w:r w:rsidR="002C6A88">
        <w:rPr>
          <w:noProof/>
        </w:rPr>
        <w:t>analysis to encompass all other long-bones</w:t>
      </w:r>
      <w:r w:rsidR="00782031" w:rsidRPr="006631BB">
        <w:rPr>
          <w:noProof/>
        </w:rPr>
        <w:t>.  Figure</w:t>
      </w:r>
      <w:r w:rsidR="00782031">
        <w:rPr>
          <w:noProof/>
        </w:rPr>
        <w:t xml:space="preserve"> 4.</w:t>
      </w:r>
      <w:r w:rsidR="000B0CAB">
        <w:rPr>
          <w:noProof/>
        </w:rPr>
        <w:t>1</w:t>
      </w:r>
      <w:r w:rsidR="00782031">
        <w:rPr>
          <w:noProof/>
        </w:rPr>
        <w:t xml:space="preserve"> presents a scatterpot of </w:t>
      </w:r>
      <w:r w:rsidR="00782031" w:rsidRPr="006631BB">
        <w:rPr>
          <w:noProof/>
        </w:rPr>
        <w:t xml:space="preserve">humeral lengths for </w:t>
      </w:r>
      <w:r w:rsidR="00782031" w:rsidRPr="006631BB">
        <w:rPr>
          <w:i/>
          <w:noProof/>
        </w:rPr>
        <w:t xml:space="preserve">Pan troglodytes </w:t>
      </w:r>
      <w:r w:rsidR="00782031" w:rsidRPr="006631BB">
        <w:rPr>
          <w:noProof/>
        </w:rPr>
        <w:t xml:space="preserve">females </w:t>
      </w:r>
      <w:r w:rsidR="00AB4B82">
        <w:rPr>
          <w:noProof/>
        </w:rPr>
        <w:t xml:space="preserve">plotted </w:t>
      </w:r>
      <w:r w:rsidR="00782031" w:rsidRPr="006631BB">
        <w:rPr>
          <w:noProof/>
        </w:rPr>
        <w:t>against dental score.  There appear to be more individuals clustered around the h</w:t>
      </w:r>
      <w:r w:rsidR="00782031">
        <w:rPr>
          <w:noProof/>
        </w:rPr>
        <w:t>igher dental score values of 62-64</w:t>
      </w:r>
      <w:r w:rsidR="00782031" w:rsidRPr="006631BB">
        <w:rPr>
          <w:noProof/>
        </w:rPr>
        <w:t xml:space="preserve">.  This </w:t>
      </w:r>
      <w:r w:rsidR="00782031">
        <w:rPr>
          <w:noProof/>
        </w:rPr>
        <w:t xml:space="preserve">was a consequence of </w:t>
      </w:r>
      <w:r w:rsidR="00782031" w:rsidRPr="006631BB">
        <w:rPr>
          <w:noProof/>
        </w:rPr>
        <w:t xml:space="preserve">more individuals in this range having </w:t>
      </w:r>
      <w:r w:rsidR="00AB4B82">
        <w:rPr>
          <w:noProof/>
        </w:rPr>
        <w:t>all epiphyses present for this bone</w:t>
      </w:r>
      <w:r w:rsidR="00782031" w:rsidRPr="006631BB">
        <w:rPr>
          <w:noProof/>
        </w:rPr>
        <w:t xml:space="preserve">.  Fusion for </w:t>
      </w:r>
      <w:r w:rsidR="00782031">
        <w:rPr>
          <w:noProof/>
        </w:rPr>
        <w:t xml:space="preserve">the proximal epiphysis </w:t>
      </w:r>
      <w:r w:rsidR="00782031" w:rsidRPr="006631BB">
        <w:rPr>
          <w:noProof/>
        </w:rPr>
        <w:t xml:space="preserve">begins at these dental stages.  </w:t>
      </w:r>
      <w:r w:rsidR="00782031">
        <w:rPr>
          <w:noProof/>
        </w:rPr>
        <w:t>The relationship appears linear.  These data were analysed using</w:t>
      </w:r>
      <w:r w:rsidR="00782031" w:rsidRPr="006631BB">
        <w:rPr>
          <w:noProof/>
        </w:rPr>
        <w:t xml:space="preserve"> </w:t>
      </w:r>
      <w:r w:rsidR="00782031">
        <w:rPr>
          <w:noProof/>
        </w:rPr>
        <w:t xml:space="preserve">linear </w:t>
      </w:r>
      <w:r w:rsidR="00782031" w:rsidRPr="006631BB">
        <w:rPr>
          <w:noProof/>
        </w:rPr>
        <w:t>regression analysis</w:t>
      </w:r>
      <w:r w:rsidR="00AB4B82">
        <w:rPr>
          <w:noProof/>
        </w:rPr>
        <w:t xml:space="preserve"> in SPSS Statistics 21</w:t>
      </w:r>
      <w:r w:rsidR="00782031" w:rsidRPr="006631BB">
        <w:rPr>
          <w:noProof/>
        </w:rPr>
        <w:t xml:space="preserve">.  </w:t>
      </w:r>
      <w:r w:rsidR="00782031">
        <w:rPr>
          <w:noProof/>
        </w:rPr>
        <w:t xml:space="preserve">Regression results are presented in </w:t>
      </w:r>
      <w:r w:rsidR="000B0CAB">
        <w:rPr>
          <w:noProof/>
        </w:rPr>
        <w:t>T</w:t>
      </w:r>
      <w:r w:rsidR="00782031">
        <w:rPr>
          <w:noProof/>
        </w:rPr>
        <w:t>able 4.</w:t>
      </w:r>
      <w:r w:rsidR="000B0CAB">
        <w:rPr>
          <w:noProof/>
        </w:rPr>
        <w:t>1</w:t>
      </w:r>
      <w:r w:rsidR="00782031">
        <w:rPr>
          <w:noProof/>
        </w:rPr>
        <w:t xml:space="preserve">.  </w:t>
      </w:r>
      <w:r w:rsidR="007C475F">
        <w:rPr>
          <w:noProof/>
        </w:rPr>
        <w:t xml:space="preserve">Detailed </w:t>
      </w:r>
      <w:r w:rsidR="00782031">
        <w:rPr>
          <w:noProof/>
        </w:rPr>
        <w:t>results are a</w:t>
      </w:r>
      <w:r w:rsidR="004219CA">
        <w:rPr>
          <w:noProof/>
        </w:rPr>
        <w:t xml:space="preserve">vailable in </w:t>
      </w:r>
      <w:r w:rsidR="002E39D5">
        <w:rPr>
          <w:noProof/>
        </w:rPr>
        <w:t xml:space="preserve">section </w:t>
      </w:r>
      <w:r w:rsidR="00D21827">
        <w:rPr>
          <w:noProof/>
        </w:rPr>
        <w:t>8.3</w:t>
      </w:r>
      <w:r w:rsidR="003D4A8F">
        <w:rPr>
          <w:noProof/>
        </w:rPr>
        <w:t xml:space="preserve"> of</w:t>
      </w:r>
      <w:r w:rsidR="00782031">
        <w:rPr>
          <w:noProof/>
        </w:rPr>
        <w:t xml:space="preserve"> the appendix.</w:t>
      </w:r>
    </w:p>
    <w:p w:rsidR="00A35CA0" w:rsidRDefault="00DD5C38" w:rsidP="00CA5FBB">
      <w:pPr>
        <w:autoSpaceDE w:val="0"/>
        <w:autoSpaceDN w:val="0"/>
        <w:adjustRightInd w:val="0"/>
        <w:spacing w:before="0" w:line="320" w:lineRule="atLeast"/>
        <w:ind w:right="62"/>
        <w:rPr>
          <w:bCs/>
          <w:color w:val="000000"/>
        </w:rPr>
      </w:pPr>
      <w:bookmarkStart w:id="470" w:name="_Toc373147461"/>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proofErr w:type="gramStart"/>
      <w:r w:rsidR="00795735">
        <w:rPr>
          <w:b/>
          <w:noProof/>
        </w:rPr>
        <w:t>1</w:t>
      </w:r>
      <w:r w:rsidR="008943E4" w:rsidRPr="00997A01">
        <w:rPr>
          <w:b/>
        </w:rPr>
        <w:fldChar w:fldCharType="end"/>
      </w:r>
      <w:r w:rsidRPr="006631BB">
        <w:rPr>
          <w:noProof/>
          <w:color w:val="000000" w:themeColor="text1"/>
        </w:rPr>
        <w:t xml:space="preserve"> Humeral length relative to dental score showing </w:t>
      </w:r>
      <w:r w:rsidRPr="006631BB">
        <w:rPr>
          <w:i/>
          <w:noProof/>
          <w:color w:val="000000" w:themeColor="text1"/>
        </w:rPr>
        <w:t>Pan troglodytes</w:t>
      </w:r>
      <w:r w:rsidRPr="006631BB">
        <w:rPr>
          <w:noProof/>
          <w:color w:val="000000" w:themeColor="text1"/>
        </w:rPr>
        <w:t xml:space="preserve"> females</w:t>
      </w:r>
      <w:r>
        <w:rPr>
          <w:noProof/>
          <w:color w:val="000000" w:themeColor="text1"/>
        </w:rPr>
        <w:t>.</w:t>
      </w:r>
      <w:bookmarkEnd w:id="470"/>
      <w:proofErr w:type="gramEnd"/>
    </w:p>
    <w:p w:rsidR="00DD5C38" w:rsidRDefault="00DD5C38">
      <w:pPr>
        <w:spacing w:before="0" w:after="200" w:line="276" w:lineRule="auto"/>
        <w:jc w:val="left"/>
        <w:rPr>
          <w:b/>
        </w:rPr>
      </w:pPr>
      <w:r>
        <w:rPr>
          <w:b/>
        </w:rPr>
        <w:br w:type="page"/>
      </w:r>
    </w:p>
    <w:p w:rsidR="00DD5C38" w:rsidRDefault="00DD5C38" w:rsidP="00DD5C38">
      <w:pPr>
        <w:rPr>
          <w:bCs/>
          <w:color w:val="000000"/>
        </w:rPr>
      </w:pPr>
      <w:bookmarkStart w:id="471" w:name="_Toc373180145"/>
      <w:proofErr w:type="gramStart"/>
      <w:r w:rsidRPr="00997A01">
        <w:rPr>
          <w:b/>
        </w:rPr>
        <w:lastRenderedPageBreak/>
        <w:t xml:space="preserve">Table </w:t>
      </w:r>
      <w:r w:rsidR="008943E4">
        <w:rPr>
          <w:b/>
        </w:rPr>
        <w:fldChar w:fldCharType="begin"/>
      </w:r>
      <w:r>
        <w:rPr>
          <w:b/>
        </w:rPr>
        <w:instrText xml:space="preserve"> STYLEREF 1 \s </w:instrText>
      </w:r>
      <w:r w:rsidR="008943E4">
        <w:rPr>
          <w:b/>
        </w:rPr>
        <w:fldChar w:fldCharType="separate"/>
      </w:r>
      <w:r w:rsidR="00795735">
        <w:rPr>
          <w:b/>
          <w:noProof/>
        </w:rPr>
        <w:t>4</w:t>
      </w:r>
      <w:r w:rsidR="008943E4">
        <w:rPr>
          <w:b/>
        </w:rPr>
        <w:fldChar w:fldCharType="end"/>
      </w:r>
      <w:r>
        <w:rPr>
          <w:b/>
        </w:rPr>
        <w:t>.</w:t>
      </w:r>
      <w:proofErr w:type="gramEnd"/>
      <w:r w:rsidR="008943E4">
        <w:rPr>
          <w:b/>
        </w:rPr>
        <w:fldChar w:fldCharType="begin"/>
      </w:r>
      <w:r>
        <w:rPr>
          <w:b/>
        </w:rPr>
        <w:instrText xml:space="preserve"> SEQ Table \* ARABIC \s 1 </w:instrText>
      </w:r>
      <w:r w:rsidR="008943E4">
        <w:rPr>
          <w:b/>
        </w:rPr>
        <w:fldChar w:fldCharType="separate"/>
      </w:r>
      <w:r w:rsidR="00795735">
        <w:rPr>
          <w:b/>
          <w:noProof/>
        </w:rPr>
        <w:t>1</w:t>
      </w:r>
      <w:r w:rsidR="008943E4">
        <w:rPr>
          <w:b/>
        </w:rPr>
        <w:fldChar w:fldCharType="end"/>
      </w:r>
      <w:r>
        <w:rPr>
          <w:noProof/>
          <w:color w:val="000000" w:themeColor="text1"/>
        </w:rPr>
        <w:t xml:space="preserve"> </w:t>
      </w:r>
      <w:r>
        <w:rPr>
          <w:bCs/>
          <w:color w:val="000000"/>
        </w:rPr>
        <w:t xml:space="preserve">Regression r-squared values for the humerus plotted against dental score for </w:t>
      </w:r>
      <w:r>
        <w:rPr>
          <w:bCs/>
          <w:i/>
          <w:color w:val="000000"/>
        </w:rPr>
        <w:t xml:space="preserve">Pan </w:t>
      </w:r>
      <w:proofErr w:type="gramStart"/>
      <w:r>
        <w:rPr>
          <w:bCs/>
          <w:i/>
          <w:color w:val="000000"/>
        </w:rPr>
        <w:t>troglodytes</w:t>
      </w:r>
      <w:proofErr w:type="gramEnd"/>
      <w:r>
        <w:rPr>
          <w:bCs/>
          <w:i/>
          <w:color w:val="000000"/>
        </w:rPr>
        <w:t xml:space="preserve"> </w:t>
      </w:r>
      <w:r>
        <w:rPr>
          <w:bCs/>
          <w:color w:val="000000"/>
        </w:rPr>
        <w:t>females</w:t>
      </w:r>
      <w:bookmarkEnd w:id="471"/>
      <w:r w:rsidR="00186521">
        <w:rPr>
          <w:bCs/>
          <w:color w:val="000000"/>
        </w:rPr>
        <w:t>.</w:t>
      </w:r>
    </w:p>
    <w:tbl>
      <w:tblPr>
        <w:tblW w:w="9151" w:type="dxa"/>
        <w:jc w:val="right"/>
        <w:tblInd w:w="250" w:type="dxa"/>
        <w:tblLook w:val="04A0" w:firstRow="1" w:lastRow="0" w:firstColumn="1" w:lastColumn="0" w:noHBand="0" w:noVBand="1"/>
      </w:tblPr>
      <w:tblGrid>
        <w:gridCol w:w="766"/>
        <w:gridCol w:w="711"/>
        <w:gridCol w:w="1037"/>
        <w:gridCol w:w="1896"/>
        <w:gridCol w:w="876"/>
        <w:gridCol w:w="966"/>
        <w:gridCol w:w="567"/>
        <w:gridCol w:w="567"/>
        <w:gridCol w:w="915"/>
        <w:gridCol w:w="974"/>
      </w:tblGrid>
      <w:tr w:rsidR="00186521" w:rsidRPr="00186521" w:rsidTr="00186521">
        <w:trPr>
          <w:trHeight w:val="315"/>
          <w:jc w:val="right"/>
        </w:trPr>
        <w:tc>
          <w:tcPr>
            <w:tcW w:w="766" w:type="dxa"/>
            <w:tcBorders>
              <w:top w:val="nil"/>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p>
        </w:tc>
        <w:tc>
          <w:tcPr>
            <w:tcW w:w="711" w:type="dxa"/>
            <w:tcBorders>
              <w:top w:val="nil"/>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p>
        </w:tc>
        <w:tc>
          <w:tcPr>
            <w:tcW w:w="1037" w:type="dxa"/>
            <w:tcBorders>
              <w:top w:val="nil"/>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p>
        </w:tc>
        <w:tc>
          <w:tcPr>
            <w:tcW w:w="1896" w:type="dxa"/>
            <w:tcBorders>
              <w:top w:val="nil"/>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p>
        </w:tc>
        <w:tc>
          <w:tcPr>
            <w:tcW w:w="3891" w:type="dxa"/>
            <w:gridSpan w:val="5"/>
            <w:tcBorders>
              <w:top w:val="single" w:sz="4" w:space="0" w:color="auto"/>
              <w:left w:val="nil"/>
              <w:bottom w:val="single" w:sz="4" w:space="0" w:color="auto"/>
              <w:right w:val="nil"/>
            </w:tcBorders>
            <w:shd w:val="clear" w:color="000000" w:fill="FFFFFF"/>
            <w:vAlign w:val="center"/>
            <w:hideMark/>
          </w:tcPr>
          <w:p w:rsidR="00186521" w:rsidRPr="00186521" w:rsidRDefault="00186521" w:rsidP="00186521">
            <w:pPr>
              <w:spacing w:before="0" w:line="240" w:lineRule="auto"/>
              <w:jc w:val="center"/>
              <w:rPr>
                <w:rFonts w:eastAsia="Times New Roman"/>
                <w:b/>
                <w:bCs/>
                <w:color w:val="000000"/>
                <w:lang w:val="en-GB" w:eastAsia="en-GB"/>
              </w:rPr>
            </w:pPr>
            <w:r w:rsidRPr="00186521">
              <w:rPr>
                <w:rFonts w:eastAsia="Times New Roman"/>
                <w:b/>
                <w:bCs/>
                <w:color w:val="000000"/>
                <w:lang w:eastAsia="en-GB"/>
              </w:rPr>
              <w:t>Change Statistics</w:t>
            </w:r>
          </w:p>
        </w:tc>
        <w:tc>
          <w:tcPr>
            <w:tcW w:w="850" w:type="dxa"/>
            <w:tcBorders>
              <w:top w:val="nil"/>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p>
        </w:tc>
      </w:tr>
      <w:tr w:rsidR="00186521" w:rsidRPr="00186521" w:rsidTr="00186521">
        <w:trPr>
          <w:trHeight w:val="315"/>
          <w:jc w:val="right"/>
        </w:trPr>
        <w:tc>
          <w:tcPr>
            <w:tcW w:w="766"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i/>
                <w:color w:val="000000"/>
                <w:lang w:val="en-GB" w:eastAsia="en-GB"/>
              </w:rPr>
            </w:pPr>
            <w:r w:rsidRPr="00186521">
              <w:rPr>
                <w:rFonts w:eastAsia="Times New Roman"/>
                <w:b/>
                <w:i/>
                <w:color w:val="000000"/>
                <w:lang w:val="en-GB" w:eastAsia="en-GB"/>
              </w:rPr>
              <w:t>R</w:t>
            </w:r>
          </w:p>
        </w:tc>
        <w:tc>
          <w:tcPr>
            <w:tcW w:w="711"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r w:rsidRPr="00186521">
              <w:rPr>
                <w:rFonts w:eastAsia="Times New Roman"/>
                <w:b/>
                <w:i/>
                <w:color w:val="000000"/>
                <w:lang w:val="en-GB" w:eastAsia="en-GB"/>
              </w:rPr>
              <w:t>R</w:t>
            </w:r>
            <w:r w:rsidRPr="00186521">
              <w:rPr>
                <w:rFonts w:eastAsia="Times New Roman"/>
                <w:b/>
                <w:color w:val="000000"/>
                <w:vertAlign w:val="superscript"/>
                <w:lang w:val="en-GB" w:eastAsia="en-GB"/>
              </w:rPr>
              <w:t>2</w:t>
            </w:r>
          </w:p>
        </w:tc>
        <w:tc>
          <w:tcPr>
            <w:tcW w:w="1037"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r w:rsidRPr="00186521">
              <w:rPr>
                <w:rFonts w:eastAsia="Times New Roman"/>
                <w:b/>
                <w:color w:val="000000"/>
                <w:lang w:val="en-GB" w:eastAsia="en-GB"/>
              </w:rPr>
              <w:t xml:space="preserve">adjusted </w:t>
            </w:r>
            <w:r w:rsidRPr="00186521">
              <w:rPr>
                <w:rFonts w:eastAsia="Times New Roman"/>
                <w:b/>
                <w:i/>
                <w:color w:val="000000"/>
                <w:lang w:val="en-GB" w:eastAsia="en-GB"/>
              </w:rPr>
              <w:t>R</w:t>
            </w:r>
            <w:r w:rsidRPr="00186521">
              <w:rPr>
                <w:rFonts w:eastAsia="Times New Roman"/>
                <w:b/>
                <w:color w:val="000000"/>
                <w:vertAlign w:val="superscript"/>
                <w:lang w:val="en-GB" w:eastAsia="en-GB"/>
              </w:rPr>
              <w:t>2</w:t>
            </w:r>
          </w:p>
        </w:tc>
        <w:tc>
          <w:tcPr>
            <w:tcW w:w="1896"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r w:rsidRPr="00186521">
              <w:rPr>
                <w:rFonts w:eastAsia="Times New Roman"/>
                <w:b/>
                <w:color w:val="000000"/>
                <w:lang w:val="en-GB" w:eastAsia="en-GB"/>
              </w:rPr>
              <w:t>std. error of the estimate</w:t>
            </w:r>
          </w:p>
        </w:tc>
        <w:tc>
          <w:tcPr>
            <w:tcW w:w="876"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r w:rsidRPr="00186521">
              <w:rPr>
                <w:rFonts w:eastAsia="Times New Roman"/>
                <w:b/>
                <w:i/>
                <w:color w:val="000000"/>
                <w:lang w:val="en-GB" w:eastAsia="en-GB"/>
              </w:rPr>
              <w:t>R</w:t>
            </w:r>
            <w:r w:rsidRPr="00186521">
              <w:rPr>
                <w:rFonts w:eastAsia="Times New Roman"/>
                <w:b/>
                <w:color w:val="000000"/>
                <w:vertAlign w:val="superscript"/>
                <w:lang w:val="en-GB" w:eastAsia="en-GB"/>
              </w:rPr>
              <w:t>2</w:t>
            </w:r>
            <w:r w:rsidRPr="00186521">
              <w:rPr>
                <w:rFonts w:eastAsia="Times New Roman"/>
                <w:b/>
                <w:color w:val="000000"/>
                <w:lang w:val="en-GB" w:eastAsia="en-GB"/>
              </w:rPr>
              <w:t xml:space="preserve"> change</w:t>
            </w:r>
          </w:p>
        </w:tc>
        <w:tc>
          <w:tcPr>
            <w:tcW w:w="966"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r w:rsidRPr="00186521">
              <w:rPr>
                <w:rFonts w:eastAsia="Times New Roman"/>
                <w:b/>
                <w:i/>
                <w:color w:val="000000"/>
                <w:lang w:val="en-GB" w:eastAsia="en-GB"/>
              </w:rPr>
              <w:t>F</w:t>
            </w:r>
            <w:r w:rsidRPr="00186521">
              <w:rPr>
                <w:rFonts w:eastAsia="Times New Roman"/>
                <w:b/>
                <w:color w:val="000000"/>
                <w:lang w:val="en-GB" w:eastAsia="en-GB"/>
              </w:rPr>
              <w:t xml:space="preserve"> change</w:t>
            </w:r>
          </w:p>
        </w:tc>
        <w:tc>
          <w:tcPr>
            <w:tcW w:w="567"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r w:rsidRPr="00186521">
              <w:rPr>
                <w:rFonts w:eastAsia="Times New Roman"/>
                <w:b/>
                <w:color w:val="000000"/>
                <w:lang w:val="en-GB" w:eastAsia="en-GB"/>
              </w:rPr>
              <w:t>df1</w:t>
            </w:r>
          </w:p>
        </w:tc>
        <w:tc>
          <w:tcPr>
            <w:tcW w:w="567"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r w:rsidRPr="00186521">
              <w:rPr>
                <w:rFonts w:eastAsia="Times New Roman"/>
                <w:b/>
                <w:color w:val="000000"/>
                <w:lang w:val="en-GB" w:eastAsia="en-GB"/>
              </w:rPr>
              <w:t>df2</w:t>
            </w:r>
          </w:p>
        </w:tc>
        <w:tc>
          <w:tcPr>
            <w:tcW w:w="915"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proofErr w:type="gramStart"/>
            <w:r w:rsidRPr="00186521">
              <w:rPr>
                <w:rFonts w:eastAsia="Times New Roman"/>
                <w:b/>
                <w:color w:val="000000"/>
                <w:lang w:val="en-GB" w:eastAsia="en-GB"/>
              </w:rPr>
              <w:t>sign</w:t>
            </w:r>
            <w:proofErr w:type="gramEnd"/>
            <w:r w:rsidRPr="00186521">
              <w:rPr>
                <w:rFonts w:eastAsia="Times New Roman"/>
                <w:b/>
                <w:color w:val="000000"/>
                <w:lang w:val="en-GB" w:eastAsia="en-GB"/>
              </w:rPr>
              <w:t xml:space="preserve">. </w:t>
            </w:r>
            <w:r w:rsidRPr="00186521">
              <w:rPr>
                <w:rFonts w:eastAsia="Times New Roman"/>
                <w:b/>
                <w:i/>
                <w:color w:val="000000"/>
                <w:lang w:val="en-GB" w:eastAsia="en-GB"/>
              </w:rPr>
              <w:t>F</w:t>
            </w:r>
            <w:r w:rsidRPr="00186521">
              <w:rPr>
                <w:rFonts w:eastAsia="Times New Roman"/>
                <w:b/>
                <w:color w:val="000000"/>
                <w:lang w:val="en-GB" w:eastAsia="en-GB"/>
              </w:rPr>
              <w:t xml:space="preserve"> change</w:t>
            </w:r>
          </w:p>
        </w:tc>
        <w:tc>
          <w:tcPr>
            <w:tcW w:w="850"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b/>
                <w:color w:val="000000"/>
                <w:lang w:val="en-GB" w:eastAsia="en-GB"/>
              </w:rPr>
            </w:pPr>
            <w:r w:rsidRPr="00186521">
              <w:rPr>
                <w:rFonts w:eastAsia="Times New Roman"/>
                <w:b/>
                <w:color w:val="000000"/>
                <w:lang w:val="en-GB" w:eastAsia="en-GB"/>
              </w:rPr>
              <w:t>Durbin-Watson</w:t>
            </w:r>
          </w:p>
        </w:tc>
      </w:tr>
      <w:tr w:rsidR="00186521" w:rsidRPr="00186521" w:rsidTr="00186521">
        <w:trPr>
          <w:trHeight w:val="375"/>
          <w:jc w:val="right"/>
        </w:trPr>
        <w:tc>
          <w:tcPr>
            <w:tcW w:w="766"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.930</w:t>
            </w:r>
            <w:r w:rsidRPr="00186521">
              <w:rPr>
                <w:rFonts w:eastAsia="Times New Roman"/>
                <w:color w:val="000000"/>
                <w:vertAlign w:val="superscript"/>
                <w:lang w:eastAsia="en-GB"/>
              </w:rPr>
              <w:t>1.</w:t>
            </w:r>
          </w:p>
        </w:tc>
        <w:tc>
          <w:tcPr>
            <w:tcW w:w="711"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0.866</w:t>
            </w:r>
          </w:p>
        </w:tc>
        <w:tc>
          <w:tcPr>
            <w:tcW w:w="1037"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0.864</w:t>
            </w:r>
          </w:p>
        </w:tc>
        <w:tc>
          <w:tcPr>
            <w:tcW w:w="1896"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5.5815</w:t>
            </w:r>
          </w:p>
        </w:tc>
        <w:tc>
          <w:tcPr>
            <w:tcW w:w="876"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0.866</w:t>
            </w:r>
          </w:p>
        </w:tc>
        <w:tc>
          <w:tcPr>
            <w:tcW w:w="966"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509.324</w:t>
            </w:r>
          </w:p>
        </w:tc>
        <w:tc>
          <w:tcPr>
            <w:tcW w:w="567"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1</w:t>
            </w:r>
          </w:p>
        </w:tc>
        <w:tc>
          <w:tcPr>
            <w:tcW w:w="567"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79</w:t>
            </w:r>
          </w:p>
        </w:tc>
        <w:tc>
          <w:tcPr>
            <w:tcW w:w="915"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0</w:t>
            </w:r>
          </w:p>
        </w:tc>
        <w:tc>
          <w:tcPr>
            <w:tcW w:w="850" w:type="dxa"/>
            <w:tcBorders>
              <w:top w:val="single" w:sz="4" w:space="0" w:color="auto"/>
              <w:left w:val="nil"/>
              <w:bottom w:val="single" w:sz="4" w:space="0" w:color="auto"/>
              <w:right w:val="nil"/>
            </w:tcBorders>
            <w:shd w:val="clear" w:color="auto" w:fill="auto"/>
            <w:noWrap/>
            <w:vAlign w:val="center"/>
            <w:hideMark/>
          </w:tcPr>
          <w:p w:rsidR="00186521" w:rsidRPr="00186521" w:rsidRDefault="00186521" w:rsidP="00186521">
            <w:pPr>
              <w:spacing w:before="0" w:line="240" w:lineRule="auto"/>
              <w:jc w:val="center"/>
              <w:rPr>
                <w:rFonts w:eastAsia="Times New Roman"/>
                <w:color w:val="000000"/>
                <w:lang w:val="en-GB" w:eastAsia="en-GB"/>
              </w:rPr>
            </w:pPr>
            <w:r w:rsidRPr="00186521">
              <w:rPr>
                <w:rFonts w:eastAsia="Times New Roman"/>
                <w:color w:val="000000"/>
                <w:lang w:eastAsia="en-GB"/>
              </w:rPr>
              <w:t>1.576</w:t>
            </w:r>
          </w:p>
        </w:tc>
      </w:tr>
    </w:tbl>
    <w:p w:rsidR="00A35CA0" w:rsidRDefault="00782031" w:rsidP="00CA5FBB">
      <w:pPr>
        <w:spacing w:before="120" w:line="240" w:lineRule="auto"/>
        <w:ind w:left="57" w:hanging="210"/>
        <w:rPr>
          <w:rFonts w:eastAsia="Times New Roman"/>
          <w:color w:val="000000"/>
          <w:sz w:val="20"/>
          <w:szCs w:val="20"/>
          <w:lang w:eastAsia="en-GB"/>
        </w:rPr>
      </w:pPr>
      <w:r w:rsidRPr="00300CFC">
        <w:rPr>
          <w:rFonts w:eastAsia="Times New Roman"/>
          <w:color w:val="000000"/>
          <w:sz w:val="20"/>
          <w:szCs w:val="20"/>
          <w:lang w:eastAsia="en-GB"/>
        </w:rPr>
        <w:t>1.</w:t>
      </w:r>
      <w:r>
        <w:rPr>
          <w:rFonts w:eastAsia="Times New Roman"/>
          <w:color w:val="000000"/>
          <w:sz w:val="20"/>
          <w:szCs w:val="20"/>
          <w:lang w:eastAsia="en-GB"/>
        </w:rPr>
        <w:t xml:space="preserve"> </w:t>
      </w:r>
      <w:r w:rsidR="008943E4" w:rsidRPr="00CA5FBB">
        <w:rPr>
          <w:rFonts w:eastAsia="Times New Roman"/>
          <w:color w:val="000000"/>
          <w:sz w:val="20"/>
          <w:szCs w:val="20"/>
          <w:lang w:eastAsia="en-GB"/>
        </w:rPr>
        <w:t xml:space="preserve">Predictors: (Constant), </w:t>
      </w:r>
      <w:r w:rsidR="008943E4" w:rsidRPr="00CA5FBB">
        <w:rPr>
          <w:rFonts w:eastAsia="Times New Roman"/>
          <w:i/>
          <w:color w:val="000000"/>
          <w:sz w:val="20"/>
          <w:szCs w:val="20"/>
          <w:lang w:eastAsia="en-GB"/>
        </w:rPr>
        <w:t xml:space="preserve">Pan </w:t>
      </w:r>
      <w:proofErr w:type="gramStart"/>
      <w:r w:rsidR="008943E4" w:rsidRPr="00CA5FBB">
        <w:rPr>
          <w:rFonts w:eastAsia="Times New Roman"/>
          <w:i/>
          <w:color w:val="000000"/>
          <w:sz w:val="20"/>
          <w:szCs w:val="20"/>
          <w:lang w:eastAsia="en-GB"/>
        </w:rPr>
        <w:t>troglodytes</w:t>
      </w:r>
      <w:proofErr w:type="gramEnd"/>
      <w:r w:rsidR="008943E4" w:rsidRPr="00CA5FBB">
        <w:rPr>
          <w:rFonts w:eastAsia="Times New Roman"/>
          <w:color w:val="000000"/>
          <w:sz w:val="20"/>
          <w:szCs w:val="20"/>
          <w:lang w:eastAsia="en-GB"/>
        </w:rPr>
        <w:t xml:space="preserve"> females humerus</w:t>
      </w:r>
    </w:p>
    <w:p w:rsidR="00A35CA0" w:rsidRDefault="00782031" w:rsidP="00CA5FBB">
      <w:pPr>
        <w:rPr>
          <w:noProof/>
          <w:color w:val="000000" w:themeColor="text1"/>
        </w:rPr>
      </w:pPr>
      <w:r w:rsidRPr="006631BB">
        <w:rPr>
          <w:noProof/>
        </w:rPr>
        <w:t xml:space="preserve">With </w:t>
      </w:r>
      <w:r w:rsidR="00702407">
        <w:rPr>
          <w:noProof/>
        </w:rPr>
        <w:t xml:space="preserve">an </w:t>
      </w:r>
      <w:r w:rsidR="00097971" w:rsidRPr="00186521">
        <w:rPr>
          <w:rFonts w:eastAsia="Times New Roman"/>
          <w:i/>
          <w:color w:val="000000"/>
          <w:lang w:val="en-GB" w:eastAsia="en-GB"/>
        </w:rPr>
        <w:t>R</w:t>
      </w:r>
      <w:r w:rsidR="00097971" w:rsidRPr="00186521">
        <w:rPr>
          <w:rFonts w:eastAsia="Times New Roman"/>
          <w:color w:val="000000"/>
          <w:vertAlign w:val="superscript"/>
          <w:lang w:val="en-GB" w:eastAsia="en-GB"/>
        </w:rPr>
        <w:t>2</w:t>
      </w:r>
      <w:r w:rsidR="008943E4" w:rsidRPr="00CA5FBB">
        <w:rPr>
          <w:noProof/>
          <w:color w:val="000000" w:themeColor="text1"/>
        </w:rPr>
        <w:t xml:space="preserve"> value</w:t>
      </w:r>
      <w:r w:rsidRPr="006631BB">
        <w:rPr>
          <w:noProof/>
        </w:rPr>
        <w:t xml:space="preserve"> of 0.866 and with </w:t>
      </w:r>
      <w:r>
        <w:rPr>
          <w:noProof/>
        </w:rPr>
        <w:t xml:space="preserve">residual analysis </w:t>
      </w:r>
      <w:r w:rsidRPr="006631BB">
        <w:rPr>
          <w:noProof/>
        </w:rPr>
        <w:t xml:space="preserve">showing </w:t>
      </w:r>
      <w:r>
        <w:rPr>
          <w:noProof/>
        </w:rPr>
        <w:t xml:space="preserve">only </w:t>
      </w:r>
      <w:r w:rsidRPr="006631BB">
        <w:rPr>
          <w:noProof/>
        </w:rPr>
        <w:t xml:space="preserve">very slight deviations, it may be </w:t>
      </w:r>
      <w:r>
        <w:rPr>
          <w:noProof/>
        </w:rPr>
        <w:t xml:space="preserve">accepted that chimpanzee humeral growth is linear </w:t>
      </w:r>
      <w:r w:rsidR="00EA6996">
        <w:rPr>
          <w:noProof/>
        </w:rPr>
        <w:t xml:space="preserve">as a function of </w:t>
      </w:r>
      <w:r>
        <w:rPr>
          <w:noProof/>
        </w:rPr>
        <w:t>dental score</w:t>
      </w:r>
      <w:r w:rsidRPr="006631BB">
        <w:rPr>
          <w:noProof/>
        </w:rPr>
        <w:t>.</w:t>
      </w:r>
      <w:r>
        <w:rPr>
          <w:noProof/>
        </w:rPr>
        <w:t xml:space="preserve">  DS64 individuals appear not to cause </w:t>
      </w:r>
      <w:r w:rsidR="00702407">
        <w:rPr>
          <w:noProof/>
        </w:rPr>
        <w:t>notable</w:t>
      </w:r>
      <w:r>
        <w:rPr>
          <w:noProof/>
        </w:rPr>
        <w:t xml:space="preserve"> deviations, although the effect of the wider ranges at this score are visible in scatterplots for residuals.  Results for </w:t>
      </w:r>
      <w:r w:rsidR="00097971" w:rsidRPr="00186521">
        <w:rPr>
          <w:rFonts w:eastAsia="Times New Roman"/>
          <w:i/>
          <w:color w:val="000000"/>
          <w:lang w:val="en-GB" w:eastAsia="en-GB"/>
        </w:rPr>
        <w:t>R</w:t>
      </w:r>
      <w:r w:rsidR="00097971" w:rsidRPr="00186521">
        <w:rPr>
          <w:rFonts w:eastAsia="Times New Roman"/>
          <w:color w:val="000000"/>
          <w:vertAlign w:val="superscript"/>
          <w:lang w:val="en-GB" w:eastAsia="en-GB"/>
        </w:rPr>
        <w:t>2</w:t>
      </w:r>
      <w:r w:rsidR="00097971">
        <w:rPr>
          <w:rFonts w:eastAsia="Times New Roman"/>
          <w:color w:val="000000"/>
          <w:vertAlign w:val="superscript"/>
          <w:lang w:val="en-GB" w:eastAsia="en-GB"/>
        </w:rPr>
        <w:t xml:space="preserve"> </w:t>
      </w:r>
      <w:r>
        <w:rPr>
          <w:noProof/>
        </w:rPr>
        <w:t xml:space="preserve">values for all long-bones in male and female </w:t>
      </w:r>
      <w:r>
        <w:rPr>
          <w:i/>
          <w:noProof/>
        </w:rPr>
        <w:t>Pan troglodytes</w:t>
      </w:r>
      <w:r w:rsidR="000B0CAB">
        <w:rPr>
          <w:noProof/>
        </w:rPr>
        <w:t xml:space="preserve"> are presented in </w:t>
      </w:r>
      <w:r w:rsidR="003F35E6">
        <w:rPr>
          <w:noProof/>
        </w:rPr>
        <w:t>T</w:t>
      </w:r>
      <w:r w:rsidR="000B0CAB">
        <w:rPr>
          <w:noProof/>
        </w:rPr>
        <w:t>able 4.2</w:t>
      </w:r>
      <w:r w:rsidRPr="006631BB">
        <w:rPr>
          <w:noProof/>
        </w:rPr>
        <w:t xml:space="preserve">.  </w:t>
      </w:r>
      <w:r>
        <w:rPr>
          <w:noProof/>
        </w:rPr>
        <w:t xml:space="preserve">Growth in length </w:t>
      </w:r>
      <w:r w:rsidR="00E0365B">
        <w:rPr>
          <w:noProof/>
        </w:rPr>
        <w:t xml:space="preserve">as a function of </w:t>
      </w:r>
      <w:r>
        <w:rPr>
          <w:noProof/>
        </w:rPr>
        <w:t xml:space="preserve">dental score for these bones also behaves linearly with </w:t>
      </w:r>
      <w:r w:rsidR="00097971" w:rsidRPr="00186521">
        <w:rPr>
          <w:rFonts w:eastAsia="Times New Roman"/>
          <w:i/>
          <w:color w:val="000000"/>
          <w:lang w:val="en-GB" w:eastAsia="en-GB"/>
        </w:rPr>
        <w:t>R</w:t>
      </w:r>
      <w:r w:rsidR="00097971" w:rsidRPr="00186521">
        <w:rPr>
          <w:rFonts w:eastAsia="Times New Roman"/>
          <w:color w:val="000000"/>
          <w:vertAlign w:val="superscript"/>
          <w:lang w:val="en-GB" w:eastAsia="en-GB"/>
        </w:rPr>
        <w:t>2</w:t>
      </w:r>
      <w:r>
        <w:rPr>
          <w:noProof/>
        </w:rPr>
        <w:t xml:space="preserve"> values between 0.753 and 0.915.  It is thus assumed that chimpanzee long-bone growth </w:t>
      </w:r>
      <w:r w:rsidR="009E5082">
        <w:rPr>
          <w:noProof/>
        </w:rPr>
        <w:t>as a function of</w:t>
      </w:r>
      <w:r w:rsidR="00AC70B6">
        <w:rPr>
          <w:noProof/>
        </w:rPr>
        <w:t xml:space="preserve"> </w:t>
      </w:r>
      <w:r>
        <w:rPr>
          <w:noProof/>
        </w:rPr>
        <w:t xml:space="preserve">dental score may be plotted as a linear </w:t>
      </w:r>
      <w:r w:rsidR="0095181F">
        <w:rPr>
          <w:noProof/>
        </w:rPr>
        <w:t xml:space="preserve">relationship </w:t>
      </w:r>
      <w:r>
        <w:rPr>
          <w:noProof/>
        </w:rPr>
        <w:t>for all long-bones.  Full results for each bone</w:t>
      </w:r>
      <w:r w:rsidR="00121A25">
        <w:rPr>
          <w:noProof/>
        </w:rPr>
        <w:t xml:space="preserve"> are </w:t>
      </w:r>
      <w:r>
        <w:rPr>
          <w:noProof/>
        </w:rPr>
        <w:t>found in the</w:t>
      </w:r>
      <w:r w:rsidRPr="00121A25">
        <w:rPr>
          <w:noProof/>
          <w:color w:val="000000" w:themeColor="text1"/>
        </w:rPr>
        <w:t xml:space="preserve"> appendix section</w:t>
      </w:r>
      <w:r w:rsidR="00A8759A">
        <w:rPr>
          <w:noProof/>
          <w:color w:val="000000" w:themeColor="text1"/>
        </w:rPr>
        <w:t xml:space="preserve"> 8.3</w:t>
      </w:r>
      <w:r w:rsidRPr="00121A25">
        <w:rPr>
          <w:noProof/>
          <w:color w:val="000000" w:themeColor="text1"/>
        </w:rPr>
        <w:t xml:space="preserve">.  </w:t>
      </w:r>
      <w:r w:rsidRPr="006631BB">
        <w:rPr>
          <w:noProof/>
        </w:rPr>
        <w:t>Figure</w:t>
      </w:r>
      <w:r>
        <w:rPr>
          <w:noProof/>
        </w:rPr>
        <w:t xml:space="preserve">s 4.2 </w:t>
      </w:r>
      <w:r w:rsidR="000B0CAB">
        <w:rPr>
          <w:noProof/>
        </w:rPr>
        <w:t>and 4.3</w:t>
      </w:r>
      <w:r>
        <w:rPr>
          <w:noProof/>
        </w:rPr>
        <w:t xml:space="preserve"> provide combined </w:t>
      </w:r>
      <w:r w:rsidRPr="006631BB">
        <w:rPr>
          <w:noProof/>
        </w:rPr>
        <w:t xml:space="preserve">regression </w:t>
      </w:r>
      <w:r>
        <w:rPr>
          <w:noProof/>
        </w:rPr>
        <w:t xml:space="preserve">plots for all long-bones in male and female </w:t>
      </w:r>
      <w:r w:rsidRPr="006631BB">
        <w:rPr>
          <w:i/>
          <w:noProof/>
        </w:rPr>
        <w:t>Pan troglodytes</w:t>
      </w:r>
      <w:r>
        <w:rPr>
          <w:noProof/>
        </w:rPr>
        <w:t>.</w:t>
      </w:r>
      <w:r w:rsidR="00B23180">
        <w:rPr>
          <w:noProof/>
        </w:rPr>
        <w:t xml:space="preserve">  Table 4.3 presents linear regression equations for the lines plotted in Figures 4.2 and 4.3.</w:t>
      </w:r>
    </w:p>
    <w:p w:rsidR="00782031" w:rsidRDefault="00782031" w:rsidP="00556B5B">
      <w:pPr>
        <w:tabs>
          <w:tab w:val="left" w:pos="360"/>
        </w:tabs>
        <w:spacing w:before="120" w:after="200" w:line="240" w:lineRule="auto"/>
        <w:rPr>
          <w:noProof/>
          <w:color w:val="000000" w:themeColor="text1"/>
        </w:rPr>
      </w:pPr>
      <w:bookmarkStart w:id="472" w:name="_Toc373180146"/>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2</w:t>
      </w:r>
      <w:r w:rsidR="008943E4">
        <w:rPr>
          <w:b/>
        </w:rPr>
        <w:fldChar w:fldCharType="end"/>
      </w:r>
      <w:r>
        <w:rPr>
          <w:b/>
        </w:rPr>
        <w:t xml:space="preserve"> </w:t>
      </w:r>
      <w:r>
        <w:rPr>
          <w:noProof/>
          <w:color w:val="000000" w:themeColor="text1"/>
        </w:rPr>
        <w:t xml:space="preserve">Regression data for all 6 long bones in </w:t>
      </w:r>
      <w:r>
        <w:rPr>
          <w:i/>
          <w:noProof/>
          <w:color w:val="000000" w:themeColor="text1"/>
        </w:rPr>
        <w:t xml:space="preserve">Pan troglodytes </w:t>
      </w:r>
      <w:r>
        <w:rPr>
          <w:noProof/>
          <w:color w:val="000000" w:themeColor="text1"/>
        </w:rPr>
        <w:t>females and males.</w:t>
      </w:r>
      <w:bookmarkEnd w:id="472"/>
      <w:proofErr w:type="gramEnd"/>
    </w:p>
    <w:tbl>
      <w:tblPr>
        <w:tblW w:w="7355" w:type="dxa"/>
        <w:jc w:val="center"/>
        <w:tblBorders>
          <w:top w:val="single" w:sz="4" w:space="0" w:color="auto"/>
          <w:bottom w:val="single" w:sz="4" w:space="0" w:color="auto"/>
        </w:tblBorders>
        <w:tblLook w:val="04A0" w:firstRow="1" w:lastRow="0" w:firstColumn="1" w:lastColumn="0" w:noHBand="0" w:noVBand="1"/>
      </w:tblPr>
      <w:tblGrid>
        <w:gridCol w:w="2144"/>
        <w:gridCol w:w="974"/>
        <w:gridCol w:w="711"/>
        <w:gridCol w:w="889"/>
        <w:gridCol w:w="1192"/>
        <w:gridCol w:w="1492"/>
      </w:tblGrid>
      <w:tr w:rsidR="005F6DEF" w:rsidRPr="00472B3D" w:rsidTr="0028247C">
        <w:trPr>
          <w:trHeight w:hRule="exact" w:val="284"/>
          <w:jc w:val="center"/>
        </w:trPr>
        <w:tc>
          <w:tcPr>
            <w:tcW w:w="2144" w:type="dxa"/>
            <w:vMerge w:val="restart"/>
            <w:tcBorders>
              <w:top w:val="single" w:sz="4" w:space="0" w:color="auto"/>
              <w:bottom w:val="single" w:sz="4" w:space="0" w:color="auto"/>
            </w:tcBorders>
            <w:shd w:val="clear" w:color="auto" w:fill="auto"/>
            <w:vAlign w:val="center"/>
            <w:hideMark/>
          </w:tcPr>
          <w:p w:rsidR="00A35CA0" w:rsidRPr="00CA5FBB" w:rsidRDefault="007E4CF1" w:rsidP="00CA5FBB">
            <w:pPr>
              <w:spacing w:before="0" w:line="240" w:lineRule="auto"/>
              <w:jc w:val="center"/>
              <w:rPr>
                <w:rFonts w:eastAsia="Times New Roman"/>
                <w:b/>
                <w:color w:val="000000"/>
                <w:lang w:val="en-GB" w:eastAsia="en-GB"/>
              </w:rPr>
            </w:pPr>
            <w:r w:rsidRPr="007E4CF1">
              <w:rPr>
                <w:rFonts w:eastAsia="Times New Roman"/>
                <w:b/>
                <w:color w:val="000000"/>
                <w:lang w:val="en-GB" w:eastAsia="en-GB"/>
              </w:rPr>
              <w:t>s</w:t>
            </w:r>
            <w:r w:rsidR="008943E4" w:rsidRPr="00CA5FBB">
              <w:rPr>
                <w:rFonts w:eastAsia="Times New Roman"/>
                <w:b/>
                <w:color w:val="000000"/>
                <w:lang w:val="en-GB" w:eastAsia="en-GB"/>
              </w:rPr>
              <w:t>pecies/sex</w:t>
            </w:r>
          </w:p>
        </w:tc>
        <w:tc>
          <w:tcPr>
            <w:tcW w:w="974" w:type="dxa"/>
            <w:vMerge w:val="restart"/>
            <w:tcBorders>
              <w:top w:val="single" w:sz="4" w:space="0" w:color="auto"/>
              <w:bottom w:val="single" w:sz="4" w:space="0" w:color="auto"/>
            </w:tcBorders>
            <w:shd w:val="clear" w:color="auto" w:fill="auto"/>
            <w:vAlign w:val="center"/>
            <w:hideMark/>
          </w:tcPr>
          <w:p w:rsidR="00A35CA0" w:rsidRPr="00CA5FBB" w:rsidRDefault="007E4CF1" w:rsidP="00CA5FBB">
            <w:pPr>
              <w:spacing w:before="0" w:line="240" w:lineRule="auto"/>
              <w:jc w:val="center"/>
              <w:rPr>
                <w:rFonts w:eastAsia="Times New Roman"/>
                <w:b/>
                <w:color w:val="000000"/>
                <w:lang w:val="en-GB" w:eastAsia="en-GB"/>
              </w:rPr>
            </w:pPr>
            <w:r w:rsidRPr="007E4CF1">
              <w:rPr>
                <w:rFonts w:eastAsia="Times New Roman"/>
                <w:b/>
                <w:color w:val="000000"/>
                <w:lang w:val="en-GB" w:eastAsia="en-GB"/>
              </w:rPr>
              <w:t>b</w:t>
            </w:r>
            <w:r w:rsidR="008943E4" w:rsidRPr="00CA5FBB">
              <w:rPr>
                <w:rFonts w:eastAsia="Times New Roman"/>
                <w:b/>
                <w:color w:val="000000"/>
                <w:lang w:val="en-GB" w:eastAsia="en-GB"/>
              </w:rPr>
              <w:t>one</w:t>
            </w:r>
          </w:p>
        </w:tc>
        <w:tc>
          <w:tcPr>
            <w:tcW w:w="664" w:type="dxa"/>
            <w:vMerge w:val="restart"/>
            <w:tcBorders>
              <w:top w:val="single" w:sz="4" w:space="0" w:color="auto"/>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i/>
                <w:color w:val="000000"/>
                <w:lang w:val="en-GB" w:eastAsia="en-GB"/>
              </w:rPr>
            </w:pPr>
            <w:r w:rsidRPr="00CA5FBB">
              <w:rPr>
                <w:rFonts w:eastAsia="Times New Roman"/>
                <w:b/>
                <w:i/>
                <w:color w:val="000000"/>
                <w:lang w:val="en-GB" w:eastAsia="en-GB"/>
              </w:rPr>
              <w:t>R</w:t>
            </w:r>
          </w:p>
        </w:tc>
        <w:tc>
          <w:tcPr>
            <w:tcW w:w="889" w:type="dxa"/>
            <w:vMerge w:val="restart"/>
            <w:tcBorders>
              <w:top w:val="single" w:sz="4" w:space="0" w:color="auto"/>
              <w:bottom w:val="single" w:sz="4" w:space="0" w:color="auto"/>
            </w:tcBorders>
            <w:shd w:val="clear" w:color="auto" w:fill="auto"/>
            <w:vAlign w:val="center"/>
            <w:hideMark/>
          </w:tcPr>
          <w:p w:rsidR="00A35CA0" w:rsidRPr="00CA5FBB" w:rsidRDefault="007E4CF1" w:rsidP="00CA5FBB">
            <w:pPr>
              <w:spacing w:before="0" w:line="240" w:lineRule="auto"/>
              <w:jc w:val="center"/>
              <w:rPr>
                <w:rFonts w:eastAsia="Times New Roman"/>
                <w:b/>
                <w:color w:val="000000"/>
                <w:lang w:val="en-GB" w:eastAsia="en-GB"/>
              </w:rPr>
            </w:pPr>
            <w:r w:rsidRPr="00186521">
              <w:rPr>
                <w:rFonts w:eastAsia="Times New Roman"/>
                <w:b/>
                <w:i/>
                <w:color w:val="000000"/>
                <w:lang w:val="en-GB" w:eastAsia="en-GB"/>
              </w:rPr>
              <w:t>R</w:t>
            </w:r>
            <w:r w:rsidRPr="00186521">
              <w:rPr>
                <w:rFonts w:eastAsia="Times New Roman"/>
                <w:b/>
                <w:color w:val="000000"/>
                <w:vertAlign w:val="superscript"/>
                <w:lang w:val="en-GB" w:eastAsia="en-GB"/>
              </w:rPr>
              <w:t>2</w:t>
            </w:r>
          </w:p>
        </w:tc>
        <w:tc>
          <w:tcPr>
            <w:tcW w:w="1192" w:type="dxa"/>
            <w:vMerge w:val="restart"/>
            <w:tcBorders>
              <w:top w:val="single" w:sz="4" w:space="0" w:color="auto"/>
              <w:bottom w:val="single" w:sz="4" w:space="0" w:color="auto"/>
            </w:tcBorders>
            <w:shd w:val="clear" w:color="auto" w:fill="auto"/>
            <w:vAlign w:val="center"/>
            <w:hideMark/>
          </w:tcPr>
          <w:p w:rsidR="00A35CA0" w:rsidRPr="00CA5FBB" w:rsidRDefault="007E4CF1" w:rsidP="00CA5FBB">
            <w:pPr>
              <w:spacing w:before="0" w:line="240" w:lineRule="auto"/>
              <w:jc w:val="center"/>
              <w:rPr>
                <w:rFonts w:eastAsia="Times New Roman"/>
                <w:b/>
                <w:color w:val="000000"/>
                <w:lang w:val="en-GB" w:eastAsia="en-GB"/>
              </w:rPr>
            </w:pPr>
            <w:r w:rsidRPr="007E4CF1">
              <w:rPr>
                <w:rFonts w:eastAsia="Times New Roman"/>
                <w:b/>
                <w:color w:val="000000"/>
                <w:lang w:val="en-GB" w:eastAsia="en-GB"/>
              </w:rPr>
              <w:t xml:space="preserve">adjusted </w:t>
            </w:r>
            <w:r w:rsidRPr="00186521">
              <w:rPr>
                <w:rFonts w:eastAsia="Times New Roman"/>
                <w:b/>
                <w:i/>
                <w:color w:val="000000"/>
                <w:lang w:val="en-GB" w:eastAsia="en-GB"/>
              </w:rPr>
              <w:t>R</w:t>
            </w:r>
            <w:r w:rsidRPr="00186521">
              <w:rPr>
                <w:rFonts w:eastAsia="Times New Roman"/>
                <w:b/>
                <w:color w:val="000000"/>
                <w:vertAlign w:val="superscript"/>
                <w:lang w:val="en-GB" w:eastAsia="en-GB"/>
              </w:rPr>
              <w:t>2</w:t>
            </w:r>
          </w:p>
        </w:tc>
        <w:tc>
          <w:tcPr>
            <w:tcW w:w="1492" w:type="dxa"/>
            <w:vMerge w:val="restart"/>
            <w:tcBorders>
              <w:top w:val="single" w:sz="4" w:space="0" w:color="auto"/>
              <w:bottom w:val="single" w:sz="4" w:space="0" w:color="auto"/>
            </w:tcBorders>
            <w:shd w:val="clear" w:color="auto" w:fill="auto"/>
            <w:vAlign w:val="center"/>
            <w:hideMark/>
          </w:tcPr>
          <w:p w:rsidR="00A35CA0" w:rsidRPr="00CA5FBB" w:rsidRDefault="007E4CF1" w:rsidP="00CA5FBB">
            <w:pPr>
              <w:spacing w:before="0" w:line="240" w:lineRule="auto"/>
              <w:jc w:val="center"/>
              <w:rPr>
                <w:rFonts w:eastAsia="Times New Roman"/>
                <w:b/>
                <w:color w:val="000000"/>
                <w:lang w:val="en-GB" w:eastAsia="en-GB"/>
              </w:rPr>
            </w:pPr>
            <w:r w:rsidRPr="007E4CF1">
              <w:rPr>
                <w:rFonts w:eastAsia="Times New Roman"/>
                <w:b/>
                <w:color w:val="000000"/>
                <w:lang w:val="en-GB" w:eastAsia="en-GB"/>
              </w:rPr>
              <w:t>s</w:t>
            </w:r>
            <w:r w:rsidR="008943E4" w:rsidRPr="00CA5FBB">
              <w:rPr>
                <w:rFonts w:eastAsia="Times New Roman"/>
                <w:b/>
                <w:color w:val="000000"/>
                <w:lang w:val="en-GB" w:eastAsia="en-GB"/>
              </w:rPr>
              <w:t>td. error of the estimate</w:t>
            </w:r>
          </w:p>
        </w:tc>
      </w:tr>
      <w:tr w:rsidR="005F6DEF" w:rsidRPr="00472B3D" w:rsidTr="0028247C">
        <w:trPr>
          <w:trHeight w:hRule="exact" w:val="284"/>
          <w:jc w:val="center"/>
        </w:trPr>
        <w:tc>
          <w:tcPr>
            <w:tcW w:w="2144"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974"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664"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889"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1192"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1492"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r>
      <w:tr w:rsidR="005F6DEF" w:rsidRPr="00472B3D" w:rsidTr="0028247C">
        <w:trPr>
          <w:trHeight w:hRule="exact" w:val="284"/>
          <w:jc w:val="center"/>
        </w:trPr>
        <w:tc>
          <w:tcPr>
            <w:tcW w:w="2144" w:type="dxa"/>
            <w:vMerge w:val="restart"/>
            <w:tcBorders>
              <w:top w:val="single" w:sz="4" w:space="0" w:color="auto"/>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i/>
                <w:color w:val="000000"/>
                <w:lang w:val="en-GB" w:eastAsia="en-GB"/>
              </w:rPr>
              <w:t>Pan troglodytes</w:t>
            </w:r>
            <w:r w:rsidRPr="00472B3D">
              <w:rPr>
                <w:rFonts w:eastAsia="Times New Roman"/>
                <w:color w:val="000000"/>
                <w:lang w:val="en-GB" w:eastAsia="en-GB"/>
              </w:rPr>
              <w:t xml:space="preserve"> females</w:t>
            </w:r>
          </w:p>
        </w:tc>
        <w:tc>
          <w:tcPr>
            <w:tcW w:w="974" w:type="dxa"/>
            <w:tcBorders>
              <w:top w:val="single" w:sz="4" w:space="0" w:color="auto"/>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humerus</w:t>
            </w:r>
          </w:p>
        </w:tc>
        <w:tc>
          <w:tcPr>
            <w:tcW w:w="664" w:type="dxa"/>
            <w:tcBorders>
              <w:top w:val="single" w:sz="4" w:space="0" w:color="auto"/>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.930</w:t>
            </w:r>
          </w:p>
        </w:tc>
        <w:tc>
          <w:tcPr>
            <w:tcW w:w="889" w:type="dxa"/>
            <w:tcBorders>
              <w:top w:val="single" w:sz="4" w:space="0" w:color="auto"/>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.866</w:t>
            </w:r>
          </w:p>
        </w:tc>
        <w:tc>
          <w:tcPr>
            <w:tcW w:w="1192" w:type="dxa"/>
            <w:tcBorders>
              <w:top w:val="single" w:sz="4" w:space="0" w:color="auto"/>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.864</w:t>
            </w:r>
          </w:p>
        </w:tc>
        <w:tc>
          <w:tcPr>
            <w:tcW w:w="1492" w:type="dxa"/>
            <w:tcBorders>
              <w:top w:val="single" w:sz="4" w:space="0" w:color="auto"/>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19.2704</w:t>
            </w:r>
          </w:p>
        </w:tc>
      </w:tr>
      <w:tr w:rsidR="005F6DEF" w:rsidRPr="00472B3D" w:rsidTr="0028247C">
        <w:trPr>
          <w:trHeight w:hRule="exact" w:val="284"/>
          <w:jc w:val="center"/>
        </w:trPr>
        <w:tc>
          <w:tcPr>
            <w:tcW w:w="214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tcBorders>
              <w:top w:val="nil"/>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radius</w:t>
            </w:r>
          </w:p>
        </w:tc>
        <w:tc>
          <w:tcPr>
            <w:tcW w:w="664"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.917</w:t>
            </w:r>
          </w:p>
        </w:tc>
        <w:tc>
          <w:tcPr>
            <w:tcW w:w="889"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.840</w:t>
            </w:r>
          </w:p>
        </w:tc>
        <w:tc>
          <w:tcPr>
            <w:tcW w:w="1192"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.838</w:t>
            </w:r>
          </w:p>
        </w:tc>
        <w:tc>
          <w:tcPr>
            <w:tcW w:w="1492" w:type="dxa"/>
            <w:tcBorders>
              <w:top w:val="nil"/>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16.7815</w:t>
            </w:r>
          </w:p>
        </w:tc>
      </w:tr>
      <w:tr w:rsidR="005F6DEF" w:rsidRPr="00472B3D" w:rsidTr="0028247C">
        <w:trPr>
          <w:trHeight w:hRule="exact" w:val="284"/>
          <w:jc w:val="center"/>
        </w:trPr>
        <w:tc>
          <w:tcPr>
            <w:tcW w:w="214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tcBorders>
              <w:top w:val="nil"/>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ulna</w:t>
            </w:r>
          </w:p>
        </w:tc>
        <w:tc>
          <w:tcPr>
            <w:tcW w:w="664"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.898</w:t>
            </w:r>
          </w:p>
        </w:tc>
        <w:tc>
          <w:tcPr>
            <w:tcW w:w="889"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.807</w:t>
            </w:r>
          </w:p>
        </w:tc>
        <w:tc>
          <w:tcPr>
            <w:tcW w:w="1192"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.803</w:t>
            </w:r>
          </w:p>
        </w:tc>
        <w:tc>
          <w:tcPr>
            <w:tcW w:w="1492" w:type="dxa"/>
            <w:tcBorders>
              <w:top w:val="nil"/>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16.3876</w:t>
            </w:r>
          </w:p>
        </w:tc>
      </w:tr>
      <w:tr w:rsidR="005F6DEF" w:rsidRPr="00472B3D" w:rsidTr="0028247C">
        <w:trPr>
          <w:trHeight w:hRule="exact" w:val="284"/>
          <w:jc w:val="center"/>
        </w:trPr>
        <w:tc>
          <w:tcPr>
            <w:tcW w:w="214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tcBorders>
              <w:top w:val="nil"/>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femur</w:t>
            </w:r>
          </w:p>
        </w:tc>
        <w:tc>
          <w:tcPr>
            <w:tcW w:w="664"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.926</w:t>
            </w:r>
          </w:p>
        </w:tc>
        <w:tc>
          <w:tcPr>
            <w:tcW w:w="889"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.857</w:t>
            </w:r>
          </w:p>
        </w:tc>
        <w:tc>
          <w:tcPr>
            <w:tcW w:w="1192"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.855</w:t>
            </w:r>
          </w:p>
        </w:tc>
        <w:tc>
          <w:tcPr>
            <w:tcW w:w="1492" w:type="dxa"/>
            <w:tcBorders>
              <w:top w:val="nil"/>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19.2221</w:t>
            </w:r>
          </w:p>
        </w:tc>
      </w:tr>
      <w:tr w:rsidR="005F6DEF" w:rsidRPr="00472B3D" w:rsidTr="0028247C">
        <w:trPr>
          <w:trHeight w:hRule="exact" w:val="284"/>
          <w:jc w:val="center"/>
        </w:trPr>
        <w:tc>
          <w:tcPr>
            <w:tcW w:w="2144"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tcBorders>
              <w:top w:val="nil"/>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tibia</w:t>
            </w:r>
          </w:p>
        </w:tc>
        <w:tc>
          <w:tcPr>
            <w:tcW w:w="664"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.926</w:t>
            </w:r>
          </w:p>
        </w:tc>
        <w:tc>
          <w:tcPr>
            <w:tcW w:w="889"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.857</w:t>
            </w:r>
          </w:p>
        </w:tc>
        <w:tc>
          <w:tcPr>
            <w:tcW w:w="1192" w:type="dxa"/>
            <w:tcBorders>
              <w:top w:val="nil"/>
              <w:bottom w:val="nil"/>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.855</w:t>
            </w:r>
          </w:p>
        </w:tc>
        <w:tc>
          <w:tcPr>
            <w:tcW w:w="1492" w:type="dxa"/>
            <w:tcBorders>
              <w:top w:val="nil"/>
              <w:bottom w:val="nil"/>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16.7748</w:t>
            </w:r>
          </w:p>
        </w:tc>
      </w:tr>
      <w:tr w:rsidR="005F6DEF" w:rsidRPr="00472B3D" w:rsidTr="0028247C">
        <w:trPr>
          <w:trHeight w:hRule="exact" w:val="284"/>
          <w:jc w:val="center"/>
        </w:trPr>
        <w:tc>
          <w:tcPr>
            <w:tcW w:w="2144"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tcBorders>
              <w:top w:val="nil"/>
              <w:bottom w:val="single" w:sz="4" w:space="0" w:color="auto"/>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fibula</w:t>
            </w:r>
          </w:p>
        </w:tc>
        <w:tc>
          <w:tcPr>
            <w:tcW w:w="664" w:type="dxa"/>
            <w:tcBorders>
              <w:top w:val="nil"/>
              <w:bottom w:val="single" w:sz="4" w:space="0" w:color="auto"/>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.868</w:t>
            </w:r>
          </w:p>
        </w:tc>
        <w:tc>
          <w:tcPr>
            <w:tcW w:w="889" w:type="dxa"/>
            <w:tcBorders>
              <w:top w:val="nil"/>
              <w:bottom w:val="single" w:sz="4" w:space="0" w:color="auto"/>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.753</w:t>
            </w:r>
          </w:p>
        </w:tc>
        <w:tc>
          <w:tcPr>
            <w:tcW w:w="1192" w:type="dxa"/>
            <w:tcBorders>
              <w:top w:val="nil"/>
              <w:bottom w:val="single" w:sz="4" w:space="0" w:color="auto"/>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.749</w:t>
            </w:r>
          </w:p>
        </w:tc>
        <w:tc>
          <w:tcPr>
            <w:tcW w:w="1492" w:type="dxa"/>
            <w:tcBorders>
              <w:top w:val="nil"/>
              <w:bottom w:val="single" w:sz="4" w:space="0" w:color="auto"/>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15.0836</w:t>
            </w:r>
          </w:p>
        </w:tc>
      </w:tr>
      <w:tr w:rsidR="005F6DEF" w:rsidRPr="00472B3D" w:rsidTr="0028247C">
        <w:trPr>
          <w:trHeight w:hRule="exact" w:val="284"/>
          <w:jc w:val="center"/>
        </w:trPr>
        <w:tc>
          <w:tcPr>
            <w:tcW w:w="2144" w:type="dxa"/>
            <w:vMerge w:val="restart"/>
            <w:tcBorders>
              <w:top w:val="single" w:sz="4" w:space="0" w:color="auto"/>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i/>
                <w:color w:val="000000"/>
                <w:lang w:val="en-GB" w:eastAsia="en-GB"/>
              </w:rPr>
              <w:t>Pan troglodytes</w:t>
            </w:r>
            <w:r w:rsidRPr="00472B3D">
              <w:rPr>
                <w:rFonts w:eastAsia="Times New Roman"/>
                <w:color w:val="000000"/>
                <w:lang w:val="en-GB" w:eastAsia="en-GB"/>
              </w:rPr>
              <w:t xml:space="preserve"> males</w:t>
            </w:r>
          </w:p>
        </w:tc>
        <w:tc>
          <w:tcPr>
            <w:tcW w:w="974" w:type="dxa"/>
            <w:tcBorders>
              <w:top w:val="single" w:sz="4" w:space="0" w:color="auto"/>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humerus</w:t>
            </w:r>
          </w:p>
        </w:tc>
        <w:tc>
          <w:tcPr>
            <w:tcW w:w="664" w:type="dxa"/>
            <w:tcBorders>
              <w:top w:val="single" w:sz="4" w:space="0" w:color="auto"/>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.875</w:t>
            </w:r>
          </w:p>
        </w:tc>
        <w:tc>
          <w:tcPr>
            <w:tcW w:w="889" w:type="dxa"/>
            <w:tcBorders>
              <w:top w:val="single" w:sz="4" w:space="0" w:color="auto"/>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.766</w:t>
            </w:r>
          </w:p>
        </w:tc>
        <w:tc>
          <w:tcPr>
            <w:tcW w:w="1192" w:type="dxa"/>
            <w:tcBorders>
              <w:top w:val="single" w:sz="4" w:space="0" w:color="auto"/>
            </w:tcBorders>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.761</w:t>
            </w:r>
          </w:p>
        </w:tc>
        <w:tc>
          <w:tcPr>
            <w:tcW w:w="1492" w:type="dxa"/>
            <w:tcBorders>
              <w:top w:val="single" w:sz="4" w:space="0" w:color="auto"/>
            </w:tcBorders>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22.8207</w:t>
            </w:r>
          </w:p>
        </w:tc>
      </w:tr>
      <w:tr w:rsidR="005F6DEF" w:rsidRPr="00472B3D" w:rsidTr="0028247C">
        <w:trPr>
          <w:trHeight w:hRule="exact" w:val="284"/>
          <w:jc w:val="center"/>
        </w:trPr>
        <w:tc>
          <w:tcPr>
            <w:tcW w:w="214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shd w:val="clear" w:color="auto" w:fill="auto"/>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radius</w:t>
            </w:r>
          </w:p>
        </w:tc>
        <w:tc>
          <w:tcPr>
            <w:tcW w:w="664"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.933</w:t>
            </w:r>
          </w:p>
        </w:tc>
        <w:tc>
          <w:tcPr>
            <w:tcW w:w="889"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.870</w:t>
            </w:r>
          </w:p>
        </w:tc>
        <w:tc>
          <w:tcPr>
            <w:tcW w:w="1192"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.867</w:t>
            </w:r>
          </w:p>
        </w:tc>
        <w:tc>
          <w:tcPr>
            <w:tcW w:w="1492" w:type="dxa"/>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16.0328</w:t>
            </w:r>
          </w:p>
        </w:tc>
      </w:tr>
      <w:tr w:rsidR="005F6DEF" w:rsidRPr="00472B3D" w:rsidTr="0028247C">
        <w:trPr>
          <w:trHeight w:hRule="exact" w:val="284"/>
          <w:jc w:val="center"/>
        </w:trPr>
        <w:tc>
          <w:tcPr>
            <w:tcW w:w="214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ulna</w:t>
            </w:r>
          </w:p>
        </w:tc>
        <w:tc>
          <w:tcPr>
            <w:tcW w:w="664"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.956</w:t>
            </w:r>
          </w:p>
        </w:tc>
        <w:tc>
          <w:tcPr>
            <w:tcW w:w="889"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.915</w:t>
            </w:r>
          </w:p>
        </w:tc>
        <w:tc>
          <w:tcPr>
            <w:tcW w:w="1192"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.911</w:t>
            </w:r>
          </w:p>
        </w:tc>
        <w:tc>
          <w:tcPr>
            <w:tcW w:w="1492" w:type="dxa"/>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15.6222</w:t>
            </w:r>
          </w:p>
        </w:tc>
      </w:tr>
      <w:tr w:rsidR="005F6DEF" w:rsidRPr="00472B3D" w:rsidTr="0028247C">
        <w:trPr>
          <w:trHeight w:hRule="exact" w:val="284"/>
          <w:jc w:val="center"/>
        </w:trPr>
        <w:tc>
          <w:tcPr>
            <w:tcW w:w="214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femur</w:t>
            </w:r>
          </w:p>
        </w:tc>
        <w:tc>
          <w:tcPr>
            <w:tcW w:w="664"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.951</w:t>
            </w:r>
          </w:p>
        </w:tc>
        <w:tc>
          <w:tcPr>
            <w:tcW w:w="889"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.904</w:t>
            </w:r>
          </w:p>
        </w:tc>
        <w:tc>
          <w:tcPr>
            <w:tcW w:w="1192"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.903</w:t>
            </w:r>
          </w:p>
        </w:tc>
        <w:tc>
          <w:tcPr>
            <w:tcW w:w="1492" w:type="dxa"/>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15.4383</w:t>
            </w:r>
          </w:p>
        </w:tc>
      </w:tr>
      <w:tr w:rsidR="005F6DEF" w:rsidRPr="00472B3D" w:rsidTr="0028247C">
        <w:trPr>
          <w:trHeight w:hRule="exact" w:val="284"/>
          <w:jc w:val="center"/>
        </w:trPr>
        <w:tc>
          <w:tcPr>
            <w:tcW w:w="214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tibia</w:t>
            </w:r>
          </w:p>
        </w:tc>
        <w:tc>
          <w:tcPr>
            <w:tcW w:w="664"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.941</w:t>
            </w:r>
          </w:p>
        </w:tc>
        <w:tc>
          <w:tcPr>
            <w:tcW w:w="889"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.886</w:t>
            </w:r>
          </w:p>
        </w:tc>
        <w:tc>
          <w:tcPr>
            <w:tcW w:w="1192"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.884</w:t>
            </w:r>
          </w:p>
        </w:tc>
        <w:tc>
          <w:tcPr>
            <w:tcW w:w="1492" w:type="dxa"/>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14.3676</w:t>
            </w:r>
          </w:p>
        </w:tc>
      </w:tr>
      <w:tr w:rsidR="005F6DEF" w:rsidRPr="00472B3D" w:rsidTr="0028247C">
        <w:trPr>
          <w:trHeight w:hRule="exact" w:val="284"/>
          <w:jc w:val="center"/>
        </w:trPr>
        <w:tc>
          <w:tcPr>
            <w:tcW w:w="214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974" w:type="dxa"/>
            <w:shd w:val="clear" w:color="auto" w:fill="auto"/>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fibula</w:t>
            </w:r>
          </w:p>
        </w:tc>
        <w:tc>
          <w:tcPr>
            <w:tcW w:w="664"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.952</w:t>
            </w:r>
          </w:p>
        </w:tc>
        <w:tc>
          <w:tcPr>
            <w:tcW w:w="889"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.906</w:t>
            </w:r>
          </w:p>
        </w:tc>
        <w:tc>
          <w:tcPr>
            <w:tcW w:w="1192" w:type="dxa"/>
            <w:shd w:val="clear" w:color="auto" w:fill="auto"/>
            <w:noWrap/>
            <w:vAlign w:val="center"/>
            <w:hideMark/>
          </w:tcPr>
          <w:p w:rsidR="00A35CA0" w:rsidRDefault="008322A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5F6DEF" w:rsidRPr="00472B3D">
              <w:rPr>
                <w:rFonts w:eastAsia="Times New Roman"/>
                <w:color w:val="000000"/>
                <w:lang w:val="en-GB" w:eastAsia="en-GB"/>
              </w:rPr>
              <w:t>.904</w:t>
            </w:r>
          </w:p>
        </w:tc>
        <w:tc>
          <w:tcPr>
            <w:tcW w:w="1492" w:type="dxa"/>
            <w:shd w:val="clear" w:color="auto" w:fill="auto"/>
            <w:noWrap/>
            <w:vAlign w:val="center"/>
            <w:hideMark/>
          </w:tcPr>
          <w:p w:rsidR="00A35CA0" w:rsidRDefault="005F6DEF" w:rsidP="00CA5FBB">
            <w:pPr>
              <w:spacing w:before="0" w:line="240" w:lineRule="auto"/>
              <w:jc w:val="center"/>
              <w:rPr>
                <w:rFonts w:eastAsia="Times New Roman"/>
                <w:color w:val="000000"/>
                <w:sz w:val="24"/>
                <w:szCs w:val="24"/>
                <w:lang w:val="en-GB" w:eastAsia="en-GB"/>
              </w:rPr>
            </w:pPr>
            <w:r w:rsidRPr="00472B3D">
              <w:rPr>
                <w:rFonts w:eastAsia="Times New Roman"/>
                <w:color w:val="000000"/>
                <w:lang w:val="en-GB" w:eastAsia="en-GB"/>
              </w:rPr>
              <w:t>11.1698</w:t>
            </w:r>
          </w:p>
        </w:tc>
      </w:tr>
    </w:tbl>
    <w:p w:rsidR="00E24E89" w:rsidRDefault="00E24E89">
      <w:pPr>
        <w:tabs>
          <w:tab w:val="left" w:pos="360"/>
        </w:tabs>
        <w:spacing w:line="240" w:lineRule="auto"/>
        <w:jc w:val="center"/>
        <w:rPr>
          <w:noProof/>
          <w:lang w:val="en-GB" w:eastAsia="en-GB"/>
        </w:rPr>
      </w:pPr>
    </w:p>
    <w:p w:rsidR="00A35CA0" w:rsidRDefault="00F6723B" w:rsidP="00CA5FBB">
      <w:pPr>
        <w:tabs>
          <w:tab w:val="left" w:pos="360"/>
        </w:tabs>
        <w:spacing w:line="240" w:lineRule="auto"/>
        <w:jc w:val="center"/>
        <w:rPr>
          <w:noProof/>
          <w:color w:val="000000" w:themeColor="text1"/>
        </w:rPr>
      </w:pPr>
      <w:r w:rsidRPr="006631BB">
        <w:rPr>
          <w:noProof/>
          <w:lang w:val="en-GB" w:eastAsia="en-GB"/>
        </w:rPr>
        <w:lastRenderedPageBreak/>
        <w:drawing>
          <wp:inline distT="0" distB="0" distL="0" distR="0" wp14:anchorId="170FCCFE" wp14:editId="5437EF2F">
            <wp:extent cx="5695950" cy="3457575"/>
            <wp:effectExtent l="0" t="0" r="1905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82031" w:rsidRDefault="00782031" w:rsidP="00782031">
      <w:pPr>
        <w:tabs>
          <w:tab w:val="left" w:pos="360"/>
        </w:tabs>
        <w:spacing w:line="240" w:lineRule="auto"/>
        <w:rPr>
          <w:noProof/>
          <w:color w:val="000000" w:themeColor="text1"/>
        </w:rPr>
      </w:pPr>
      <w:bookmarkStart w:id="473" w:name="_Toc373147462"/>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2</w:t>
      </w:r>
      <w:r w:rsidR="008943E4" w:rsidRPr="00997A01">
        <w:rPr>
          <w:b/>
        </w:rPr>
        <w:fldChar w:fldCharType="end"/>
      </w:r>
      <w:r w:rsidRPr="006631BB">
        <w:rPr>
          <w:noProof/>
          <w:color w:val="000000" w:themeColor="text1"/>
        </w:rPr>
        <w:t xml:space="preserve"> Multiple linear regressions for </w:t>
      </w:r>
      <w:r w:rsidR="003B3BB0">
        <w:rPr>
          <w:noProof/>
          <w:color w:val="000000" w:themeColor="text1"/>
        </w:rPr>
        <w:t xml:space="preserve">long-bone </w:t>
      </w:r>
      <w:r w:rsidRPr="006631BB">
        <w:rPr>
          <w:noProof/>
          <w:color w:val="000000" w:themeColor="text1"/>
        </w:rPr>
        <w:t xml:space="preserve">length in </w:t>
      </w:r>
      <w:r w:rsidRPr="006631BB">
        <w:rPr>
          <w:i/>
          <w:noProof/>
          <w:color w:val="000000" w:themeColor="text1"/>
        </w:rPr>
        <w:t xml:space="preserve">Pan troglodytes </w:t>
      </w:r>
      <w:r w:rsidRPr="006631BB">
        <w:rPr>
          <w:noProof/>
          <w:color w:val="000000" w:themeColor="text1"/>
        </w:rPr>
        <w:t>females.</w:t>
      </w:r>
      <w:bookmarkEnd w:id="473"/>
    </w:p>
    <w:p w:rsidR="00A35CA0" w:rsidRDefault="00D14DC4" w:rsidP="00CA5FBB">
      <w:pPr>
        <w:tabs>
          <w:tab w:val="left" w:pos="360"/>
        </w:tabs>
        <w:spacing w:line="240" w:lineRule="auto"/>
        <w:jc w:val="center"/>
        <w:rPr>
          <w:noProof/>
          <w:color w:val="000000" w:themeColor="text1"/>
        </w:rPr>
      </w:pPr>
      <w:r>
        <w:rPr>
          <w:noProof/>
          <w:lang w:val="en-GB" w:eastAsia="en-GB"/>
        </w:rPr>
        <w:drawing>
          <wp:inline distT="0" distB="0" distL="0" distR="0" wp14:anchorId="00DFBFC9" wp14:editId="22CD301A">
            <wp:extent cx="5791835" cy="3366195"/>
            <wp:effectExtent l="0" t="0" r="0" b="571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35CA0" w:rsidRDefault="00782031" w:rsidP="00CA5FBB">
      <w:pPr>
        <w:rPr>
          <w:noProof/>
        </w:rPr>
      </w:pPr>
      <w:bookmarkStart w:id="474" w:name="_Toc373147463"/>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3</w:t>
      </w:r>
      <w:r w:rsidR="008943E4" w:rsidRPr="00997A01">
        <w:rPr>
          <w:b/>
        </w:rPr>
        <w:fldChar w:fldCharType="end"/>
      </w:r>
      <w:r w:rsidRPr="006631BB">
        <w:rPr>
          <w:noProof/>
          <w:color w:val="000000" w:themeColor="text1"/>
        </w:rPr>
        <w:t xml:space="preserve"> Multiple linear regressions for </w:t>
      </w:r>
      <w:r w:rsidR="003B3BB0">
        <w:rPr>
          <w:noProof/>
          <w:color w:val="000000" w:themeColor="text1"/>
        </w:rPr>
        <w:t>long-bone</w:t>
      </w:r>
      <w:r w:rsidRPr="006631BB">
        <w:rPr>
          <w:noProof/>
          <w:color w:val="000000" w:themeColor="text1"/>
        </w:rPr>
        <w:t xml:space="preserve"> length in </w:t>
      </w:r>
      <w:r w:rsidRPr="006631BB">
        <w:rPr>
          <w:i/>
          <w:noProof/>
          <w:color w:val="000000" w:themeColor="text1"/>
        </w:rPr>
        <w:t xml:space="preserve">Pan troglodytes </w:t>
      </w:r>
      <w:r w:rsidRPr="006631BB">
        <w:rPr>
          <w:noProof/>
          <w:color w:val="000000" w:themeColor="text1"/>
        </w:rPr>
        <w:t>males.</w:t>
      </w:r>
      <w:bookmarkEnd w:id="474"/>
    </w:p>
    <w:p w:rsidR="00101840" w:rsidRDefault="00101840">
      <w:pPr>
        <w:spacing w:before="0" w:after="200" w:line="276" w:lineRule="auto"/>
        <w:jc w:val="left"/>
        <w:rPr>
          <w:b/>
        </w:rPr>
      </w:pPr>
      <w:bookmarkStart w:id="475" w:name="_Toc373180147"/>
      <w:r>
        <w:rPr>
          <w:b/>
        </w:rPr>
        <w:br w:type="page"/>
      </w:r>
    </w:p>
    <w:p w:rsidR="00C602A8" w:rsidRDefault="00B23180" w:rsidP="00C602A8">
      <w:pPr>
        <w:rPr>
          <w:noProof/>
        </w:rPr>
      </w:pPr>
      <w:proofErr w:type="gramStart"/>
      <w:r w:rsidRPr="00014602">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w:t>
      </w:r>
      <w:r w:rsidR="008943E4">
        <w:rPr>
          <w:b/>
        </w:rPr>
        <w:fldChar w:fldCharType="end"/>
      </w:r>
      <w:r>
        <w:rPr>
          <w:b/>
        </w:rPr>
        <w:t xml:space="preserve"> </w:t>
      </w:r>
      <w:r w:rsidRPr="004C025C">
        <w:t xml:space="preserve">Linear regression equations for </w:t>
      </w:r>
      <w:r w:rsidRPr="004C025C">
        <w:rPr>
          <w:i/>
        </w:rPr>
        <w:t xml:space="preserve">Pan </w:t>
      </w:r>
      <w:proofErr w:type="gramStart"/>
      <w:r w:rsidRPr="004C025C">
        <w:rPr>
          <w:i/>
        </w:rPr>
        <w:t>troglodytes</w:t>
      </w:r>
      <w:proofErr w:type="gramEnd"/>
      <w:r w:rsidRPr="004C025C">
        <w:rPr>
          <w:i/>
        </w:rPr>
        <w:t xml:space="preserve"> </w:t>
      </w:r>
      <w:r w:rsidRPr="004C025C">
        <w:t xml:space="preserve">males and females as plotted in </w:t>
      </w:r>
      <w:r w:rsidR="004C025C" w:rsidRPr="004C025C">
        <w:t>Figure 4.2 and 4.3</w:t>
      </w:r>
      <w:bookmarkEnd w:id="475"/>
    </w:p>
    <w:tbl>
      <w:tblPr>
        <w:tblW w:w="6961" w:type="dxa"/>
        <w:jc w:val="center"/>
        <w:tblInd w:w="93" w:type="dxa"/>
        <w:tblBorders>
          <w:top w:val="single" w:sz="4" w:space="0" w:color="auto"/>
          <w:bottom w:val="single" w:sz="4" w:space="0" w:color="auto"/>
        </w:tblBorders>
        <w:tblLook w:val="04A0" w:firstRow="1" w:lastRow="0" w:firstColumn="1" w:lastColumn="0" w:noHBand="0" w:noVBand="1"/>
      </w:tblPr>
      <w:tblGrid>
        <w:gridCol w:w="1291"/>
        <w:gridCol w:w="2552"/>
        <w:gridCol w:w="3118"/>
      </w:tblGrid>
      <w:tr w:rsidR="00F43F54" w:rsidRPr="00F43F54" w:rsidTr="00E13749">
        <w:trPr>
          <w:trHeight w:val="315"/>
          <w:jc w:val="center"/>
        </w:trPr>
        <w:tc>
          <w:tcPr>
            <w:tcW w:w="1291"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p>
        </w:tc>
        <w:tc>
          <w:tcPr>
            <w:tcW w:w="5670" w:type="dxa"/>
            <w:gridSpan w:val="2"/>
            <w:tcBorders>
              <w:bottom w:val="single" w:sz="4" w:space="0" w:color="auto"/>
            </w:tcBorders>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 xml:space="preserve">regression equation for </w:t>
            </w:r>
            <w:r w:rsidRPr="00F43F54">
              <w:rPr>
                <w:rFonts w:eastAsia="Times New Roman"/>
                <w:i/>
                <w:color w:val="000000"/>
                <w:lang w:val="en-GB" w:eastAsia="en-GB"/>
              </w:rPr>
              <w:t>Pan troglodytes</w:t>
            </w:r>
          </w:p>
        </w:tc>
      </w:tr>
      <w:tr w:rsidR="00F43F54" w:rsidRPr="00F43F54" w:rsidTr="00E13749">
        <w:trPr>
          <w:trHeight w:val="315"/>
          <w:jc w:val="center"/>
        </w:trPr>
        <w:tc>
          <w:tcPr>
            <w:tcW w:w="1291" w:type="dxa"/>
            <w:tcBorders>
              <w:bottom w:val="single" w:sz="4" w:space="0" w:color="auto"/>
            </w:tcBorders>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long-bone</w:t>
            </w:r>
          </w:p>
        </w:tc>
        <w:tc>
          <w:tcPr>
            <w:tcW w:w="2552" w:type="dxa"/>
            <w:tcBorders>
              <w:top w:val="single" w:sz="4" w:space="0" w:color="auto"/>
              <w:bottom w:val="single" w:sz="4" w:space="0" w:color="auto"/>
            </w:tcBorders>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females</w:t>
            </w:r>
          </w:p>
        </w:tc>
        <w:tc>
          <w:tcPr>
            <w:tcW w:w="3118" w:type="dxa"/>
            <w:tcBorders>
              <w:top w:val="single" w:sz="4" w:space="0" w:color="auto"/>
              <w:bottom w:val="single" w:sz="4" w:space="0" w:color="auto"/>
            </w:tcBorders>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males</w:t>
            </w:r>
          </w:p>
        </w:tc>
      </w:tr>
      <w:tr w:rsidR="00F43F54" w:rsidRPr="00F43F54" w:rsidTr="00E13749">
        <w:trPr>
          <w:trHeight w:val="315"/>
          <w:jc w:val="center"/>
        </w:trPr>
        <w:tc>
          <w:tcPr>
            <w:tcW w:w="1291" w:type="dxa"/>
            <w:tcBorders>
              <w:top w:val="single" w:sz="4" w:space="0" w:color="auto"/>
              <w:bottom w:val="nil"/>
            </w:tcBorders>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humerus</w:t>
            </w:r>
          </w:p>
        </w:tc>
        <w:tc>
          <w:tcPr>
            <w:tcW w:w="2552" w:type="dxa"/>
            <w:tcBorders>
              <w:top w:val="single" w:sz="4" w:space="0" w:color="auto"/>
              <w:bottom w:val="nil"/>
            </w:tcBorders>
            <w:shd w:val="clear" w:color="auto" w:fill="auto"/>
            <w:noWrap/>
            <w:vAlign w:val="center"/>
            <w:hideMark/>
          </w:tcPr>
          <w:p w:rsidR="00F43F54" w:rsidRPr="00F43F54" w:rsidRDefault="00E13749" w:rsidP="00F43F54">
            <w:pPr>
              <w:spacing w:before="0" w:line="240" w:lineRule="auto"/>
              <w:jc w:val="center"/>
              <w:rPr>
                <w:rFonts w:eastAsia="Times New Roman"/>
                <w:color w:val="000000"/>
                <w:lang w:val="en-GB" w:eastAsia="en-GB"/>
              </w:rPr>
            </w:pPr>
            <w:r>
              <w:rPr>
                <w:rFonts w:eastAsia="Times New Roman"/>
                <w:i/>
                <w:color w:val="000000"/>
                <w:lang w:val="en-GB" w:eastAsia="en-GB"/>
              </w:rPr>
              <w:t>y</w:t>
            </w:r>
            <w:r w:rsidR="00F43F54" w:rsidRPr="00F43F54">
              <w:rPr>
                <w:rFonts w:eastAsia="Times New Roman"/>
                <w:color w:val="000000"/>
                <w:lang w:val="en-GB" w:eastAsia="en-GB"/>
              </w:rPr>
              <w:t xml:space="preserve"> = 3.212</w:t>
            </w:r>
            <w:r w:rsidRPr="009C2841">
              <w:rPr>
                <w:rFonts w:eastAsia="Times New Roman"/>
                <w:i/>
                <w:color w:val="000000"/>
                <w:lang w:val="en-GB" w:eastAsia="en-GB"/>
              </w:rPr>
              <w:t xml:space="preserve"> x</w:t>
            </w:r>
            <w:r w:rsidR="00F43F54" w:rsidRPr="00F43F54">
              <w:rPr>
                <w:rFonts w:eastAsia="Times New Roman"/>
                <w:color w:val="000000"/>
                <w:lang w:val="en-GB" w:eastAsia="en-GB"/>
              </w:rPr>
              <w:t xml:space="preserve"> + 87.869</w:t>
            </w:r>
          </w:p>
        </w:tc>
        <w:tc>
          <w:tcPr>
            <w:tcW w:w="3118" w:type="dxa"/>
            <w:tcBorders>
              <w:top w:val="single" w:sz="4" w:space="0" w:color="auto"/>
              <w:bottom w:val="nil"/>
            </w:tcBorders>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3.1357</w:t>
            </w:r>
            <w:r w:rsidRPr="00F43F54">
              <w:rPr>
                <w:rFonts w:eastAsia="Times New Roman"/>
                <w:i/>
                <w:color w:val="000000"/>
                <w:lang w:val="en-GB" w:eastAsia="en-GB"/>
              </w:rPr>
              <w:t>x</w:t>
            </w:r>
            <w:r w:rsidRPr="00F43F54">
              <w:rPr>
                <w:rFonts w:eastAsia="Times New Roman"/>
                <w:color w:val="000000"/>
                <w:lang w:val="en-GB" w:eastAsia="en-GB"/>
              </w:rPr>
              <w:t xml:space="preserve"> + 89.085</w:t>
            </w:r>
          </w:p>
        </w:tc>
      </w:tr>
      <w:tr w:rsidR="00F43F54" w:rsidRPr="00F43F54" w:rsidTr="00E13749">
        <w:trPr>
          <w:trHeight w:val="315"/>
          <w:jc w:val="center"/>
        </w:trPr>
        <w:tc>
          <w:tcPr>
            <w:tcW w:w="1291" w:type="dxa"/>
            <w:tcBorders>
              <w:top w:val="nil"/>
            </w:tcBorders>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radius</w:t>
            </w:r>
          </w:p>
        </w:tc>
        <w:tc>
          <w:tcPr>
            <w:tcW w:w="2552" w:type="dxa"/>
            <w:tcBorders>
              <w:top w:val="nil"/>
            </w:tcBorders>
            <w:shd w:val="clear" w:color="auto" w:fill="auto"/>
            <w:noWrap/>
            <w:vAlign w:val="center"/>
            <w:hideMark/>
          </w:tcPr>
          <w:p w:rsidR="00F43F54" w:rsidRPr="00F43F54" w:rsidRDefault="00E13749" w:rsidP="00F43F54">
            <w:pPr>
              <w:spacing w:before="0" w:line="240" w:lineRule="auto"/>
              <w:jc w:val="center"/>
              <w:rPr>
                <w:rFonts w:eastAsia="Times New Roman"/>
                <w:color w:val="000000"/>
                <w:lang w:val="en-GB" w:eastAsia="en-GB"/>
              </w:rPr>
            </w:pPr>
            <w:r>
              <w:rPr>
                <w:rFonts w:eastAsia="Times New Roman"/>
                <w:i/>
                <w:color w:val="000000"/>
                <w:lang w:val="en-GB" w:eastAsia="en-GB"/>
              </w:rPr>
              <w:t>y</w:t>
            </w:r>
            <w:r w:rsidR="00F43F54" w:rsidRPr="00F43F54">
              <w:rPr>
                <w:rFonts w:eastAsia="Times New Roman"/>
                <w:color w:val="000000"/>
                <w:lang w:val="en-GB" w:eastAsia="en-GB"/>
              </w:rPr>
              <w:t xml:space="preserve"> = 2.8816</w:t>
            </w:r>
            <w:r w:rsidR="00F43F54" w:rsidRPr="00F43F54">
              <w:rPr>
                <w:rFonts w:eastAsia="Times New Roman"/>
                <w:i/>
                <w:color w:val="000000"/>
                <w:lang w:val="en-GB" w:eastAsia="en-GB"/>
              </w:rPr>
              <w:t>x</w:t>
            </w:r>
            <w:r w:rsidR="00F43F54" w:rsidRPr="00F43F54">
              <w:rPr>
                <w:rFonts w:eastAsia="Times New Roman"/>
                <w:color w:val="000000"/>
                <w:lang w:val="en-GB" w:eastAsia="en-GB"/>
              </w:rPr>
              <w:t xml:space="preserve"> + 82.935</w:t>
            </w:r>
          </w:p>
        </w:tc>
        <w:tc>
          <w:tcPr>
            <w:tcW w:w="3118" w:type="dxa"/>
            <w:tcBorders>
              <w:top w:val="nil"/>
            </w:tcBorders>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2.9265</w:t>
            </w:r>
            <w:r w:rsidRPr="00F43F54">
              <w:rPr>
                <w:rFonts w:eastAsia="Times New Roman"/>
                <w:i/>
                <w:color w:val="000000"/>
                <w:lang w:val="en-GB" w:eastAsia="en-GB"/>
              </w:rPr>
              <w:t>x</w:t>
            </w:r>
            <w:r w:rsidRPr="00F43F54">
              <w:rPr>
                <w:rFonts w:eastAsia="Times New Roman"/>
                <w:color w:val="000000"/>
                <w:lang w:val="en-GB" w:eastAsia="en-GB"/>
              </w:rPr>
              <w:t xml:space="preserve"> + 79.682</w:t>
            </w:r>
          </w:p>
        </w:tc>
      </w:tr>
      <w:tr w:rsidR="00F43F54" w:rsidRPr="00F43F54" w:rsidTr="00E13749">
        <w:trPr>
          <w:trHeight w:val="315"/>
          <w:jc w:val="center"/>
        </w:trPr>
        <w:tc>
          <w:tcPr>
            <w:tcW w:w="1291"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ulna</w:t>
            </w:r>
          </w:p>
        </w:tc>
        <w:tc>
          <w:tcPr>
            <w:tcW w:w="2552"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3.1409</w:t>
            </w:r>
            <w:r w:rsidRPr="00F43F54">
              <w:rPr>
                <w:rFonts w:eastAsia="Times New Roman"/>
                <w:i/>
                <w:color w:val="000000"/>
                <w:lang w:val="en-GB" w:eastAsia="en-GB"/>
              </w:rPr>
              <w:t>x</w:t>
            </w:r>
            <w:r w:rsidRPr="00F43F54">
              <w:rPr>
                <w:rFonts w:eastAsia="Times New Roman"/>
                <w:color w:val="000000"/>
                <w:lang w:val="en-GB" w:eastAsia="en-GB"/>
              </w:rPr>
              <w:t xml:space="preserve"> + 88.547</w:t>
            </w:r>
          </w:p>
        </w:tc>
        <w:tc>
          <w:tcPr>
            <w:tcW w:w="3118"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3.1135</w:t>
            </w:r>
            <w:r w:rsidRPr="00F43F54">
              <w:rPr>
                <w:rFonts w:eastAsia="Times New Roman"/>
                <w:i/>
                <w:color w:val="000000"/>
                <w:lang w:val="en-GB" w:eastAsia="en-GB"/>
              </w:rPr>
              <w:t>x</w:t>
            </w:r>
            <w:r w:rsidRPr="00F43F54">
              <w:rPr>
                <w:rFonts w:eastAsia="Times New Roman"/>
                <w:color w:val="000000"/>
                <w:lang w:val="en-GB" w:eastAsia="en-GB"/>
              </w:rPr>
              <w:t xml:space="preserve"> + 84.563</w:t>
            </w:r>
          </w:p>
        </w:tc>
      </w:tr>
      <w:tr w:rsidR="00F43F54" w:rsidRPr="00F43F54" w:rsidTr="00E13749">
        <w:trPr>
          <w:trHeight w:val="315"/>
          <w:jc w:val="center"/>
        </w:trPr>
        <w:tc>
          <w:tcPr>
            <w:tcW w:w="1291"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femur</w:t>
            </w:r>
          </w:p>
        </w:tc>
        <w:tc>
          <w:tcPr>
            <w:tcW w:w="2552"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2.7238</w:t>
            </w:r>
            <w:r w:rsidRPr="00F43F54">
              <w:rPr>
                <w:rFonts w:eastAsia="Times New Roman"/>
                <w:i/>
                <w:color w:val="000000"/>
                <w:lang w:val="en-GB" w:eastAsia="en-GB"/>
              </w:rPr>
              <w:t>x</w:t>
            </w:r>
            <w:r w:rsidRPr="00F43F54">
              <w:rPr>
                <w:rFonts w:eastAsia="Times New Roman"/>
                <w:color w:val="000000"/>
                <w:lang w:val="en-GB" w:eastAsia="en-GB"/>
              </w:rPr>
              <w:t xml:space="preserve"> + 70.272</w:t>
            </w:r>
          </w:p>
        </w:tc>
        <w:tc>
          <w:tcPr>
            <w:tcW w:w="3118"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3.2006</w:t>
            </w:r>
            <w:r w:rsidRPr="00F43F54">
              <w:rPr>
                <w:rFonts w:eastAsia="Times New Roman"/>
                <w:i/>
                <w:color w:val="000000"/>
                <w:lang w:val="en-GB" w:eastAsia="en-GB"/>
              </w:rPr>
              <w:t>x</w:t>
            </w:r>
            <w:r w:rsidRPr="00F43F54">
              <w:rPr>
                <w:rFonts w:eastAsia="Times New Roman"/>
                <w:color w:val="000000"/>
                <w:lang w:val="en-GB" w:eastAsia="en-GB"/>
              </w:rPr>
              <w:t xml:space="preserve"> + 84.269</w:t>
            </w:r>
          </w:p>
        </w:tc>
      </w:tr>
      <w:tr w:rsidR="00F43F54" w:rsidRPr="00F43F54" w:rsidTr="00E13749">
        <w:trPr>
          <w:trHeight w:val="315"/>
          <w:jc w:val="center"/>
        </w:trPr>
        <w:tc>
          <w:tcPr>
            <w:tcW w:w="1291"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tibia</w:t>
            </w:r>
          </w:p>
        </w:tc>
        <w:tc>
          <w:tcPr>
            <w:tcW w:w="2552"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2.2443</w:t>
            </w:r>
            <w:r w:rsidRPr="00F43F54">
              <w:rPr>
                <w:rFonts w:eastAsia="Times New Roman"/>
                <w:i/>
                <w:color w:val="000000"/>
                <w:lang w:val="en-GB" w:eastAsia="en-GB"/>
              </w:rPr>
              <w:t>x</w:t>
            </w:r>
            <w:r w:rsidRPr="00F43F54">
              <w:rPr>
                <w:rFonts w:eastAsia="Times New Roman"/>
                <w:color w:val="000000"/>
                <w:lang w:val="en-GB" w:eastAsia="en-GB"/>
              </w:rPr>
              <w:t xml:space="preserve"> + 77.612</w:t>
            </w:r>
          </w:p>
        </w:tc>
        <w:tc>
          <w:tcPr>
            <w:tcW w:w="3118"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2.7811</w:t>
            </w:r>
            <w:r w:rsidRPr="00F43F54">
              <w:rPr>
                <w:rFonts w:eastAsia="Times New Roman"/>
                <w:i/>
                <w:color w:val="000000"/>
                <w:lang w:val="en-GB" w:eastAsia="en-GB"/>
              </w:rPr>
              <w:t>x</w:t>
            </w:r>
            <w:r w:rsidRPr="00F43F54">
              <w:rPr>
                <w:rFonts w:eastAsia="Times New Roman"/>
                <w:color w:val="000000"/>
                <w:lang w:val="en-GB" w:eastAsia="en-GB"/>
              </w:rPr>
              <w:t xml:space="preserve"> + 65.882</w:t>
            </w:r>
          </w:p>
        </w:tc>
      </w:tr>
      <w:tr w:rsidR="00F43F54" w:rsidRPr="00F43F54" w:rsidTr="00E13749">
        <w:trPr>
          <w:trHeight w:val="315"/>
          <w:jc w:val="center"/>
        </w:trPr>
        <w:tc>
          <w:tcPr>
            <w:tcW w:w="1291"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color w:val="000000"/>
                <w:lang w:val="en-GB" w:eastAsia="en-GB"/>
              </w:rPr>
              <w:t>fibula</w:t>
            </w:r>
          </w:p>
        </w:tc>
        <w:tc>
          <w:tcPr>
            <w:tcW w:w="2552"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3.1357</w:t>
            </w:r>
            <w:r w:rsidRPr="00F43F54">
              <w:rPr>
                <w:rFonts w:eastAsia="Times New Roman"/>
                <w:i/>
                <w:color w:val="000000"/>
                <w:lang w:val="en-GB" w:eastAsia="en-GB"/>
              </w:rPr>
              <w:t>x</w:t>
            </w:r>
            <w:r w:rsidRPr="00F43F54">
              <w:rPr>
                <w:rFonts w:eastAsia="Times New Roman"/>
                <w:color w:val="000000"/>
                <w:lang w:val="en-GB" w:eastAsia="en-GB"/>
              </w:rPr>
              <w:t xml:space="preserve"> + 89.085</w:t>
            </w:r>
          </w:p>
        </w:tc>
        <w:tc>
          <w:tcPr>
            <w:tcW w:w="3118" w:type="dxa"/>
            <w:shd w:val="clear" w:color="auto" w:fill="auto"/>
            <w:noWrap/>
            <w:vAlign w:val="center"/>
            <w:hideMark/>
          </w:tcPr>
          <w:p w:rsidR="00F43F54" w:rsidRPr="00F43F54" w:rsidRDefault="00F43F54" w:rsidP="00F43F54">
            <w:pPr>
              <w:spacing w:before="0" w:line="240" w:lineRule="auto"/>
              <w:jc w:val="center"/>
              <w:rPr>
                <w:rFonts w:eastAsia="Times New Roman"/>
                <w:color w:val="000000"/>
                <w:lang w:val="en-GB" w:eastAsia="en-GB"/>
              </w:rPr>
            </w:pPr>
            <w:r w:rsidRPr="00F43F54">
              <w:rPr>
                <w:rFonts w:eastAsia="Times New Roman"/>
                <w:i/>
                <w:color w:val="000000"/>
                <w:lang w:val="en-GB" w:eastAsia="en-GB"/>
              </w:rPr>
              <w:t>y</w:t>
            </w:r>
            <w:r w:rsidRPr="00F43F54">
              <w:rPr>
                <w:rFonts w:eastAsia="Times New Roman"/>
                <w:color w:val="000000"/>
                <w:lang w:val="en-GB" w:eastAsia="en-GB"/>
              </w:rPr>
              <w:t xml:space="preserve"> = 2.443</w:t>
            </w:r>
            <w:r w:rsidRPr="00F43F54">
              <w:rPr>
                <w:rFonts w:eastAsia="Times New Roman"/>
                <w:i/>
                <w:color w:val="000000"/>
                <w:lang w:val="en-GB" w:eastAsia="en-GB"/>
              </w:rPr>
              <w:t>x</w:t>
            </w:r>
            <w:r w:rsidRPr="00F43F54">
              <w:rPr>
                <w:rFonts w:eastAsia="Times New Roman"/>
                <w:color w:val="000000"/>
                <w:lang w:val="en-GB" w:eastAsia="en-GB"/>
              </w:rPr>
              <w:t xml:space="preserve"> + 64.541</w:t>
            </w:r>
          </w:p>
        </w:tc>
      </w:tr>
    </w:tbl>
    <w:p w:rsidR="004D7E98" w:rsidRPr="00284D14" w:rsidRDefault="00782031" w:rsidP="004D7E98">
      <w:pPr>
        <w:rPr>
          <w:noProof/>
          <w:u w:val="single"/>
        </w:rPr>
      </w:pPr>
      <w:r w:rsidRPr="00284D14">
        <w:rPr>
          <w:noProof/>
          <w:u w:val="single"/>
        </w:rPr>
        <w:t xml:space="preserve">Long bone length in </w:t>
      </w:r>
      <w:r w:rsidRPr="00284D14">
        <w:rPr>
          <w:i/>
          <w:noProof/>
          <w:u w:val="single"/>
        </w:rPr>
        <w:t>Pan paniscus</w:t>
      </w:r>
    </w:p>
    <w:p w:rsidR="00A35CA0" w:rsidRDefault="00782031" w:rsidP="00CA5FBB">
      <w:pPr>
        <w:rPr>
          <w:noProof/>
        </w:rPr>
      </w:pPr>
      <w:r>
        <w:rPr>
          <w:noProof/>
        </w:rPr>
        <w:t xml:space="preserve">Analysis of long-bone growth in </w:t>
      </w:r>
      <w:r>
        <w:rPr>
          <w:i/>
          <w:noProof/>
        </w:rPr>
        <w:t xml:space="preserve">Pan </w:t>
      </w:r>
      <w:r w:rsidRPr="00B17CEF">
        <w:rPr>
          <w:i/>
          <w:noProof/>
        </w:rPr>
        <w:t>paniscus</w:t>
      </w:r>
      <w:r w:rsidR="002E0BC8">
        <w:rPr>
          <w:noProof/>
        </w:rPr>
        <w:t xml:space="preserve"> was more limited due to sample size</w:t>
      </w:r>
      <w:r>
        <w:rPr>
          <w:noProof/>
        </w:rPr>
        <w:t xml:space="preserve"> being much smaller.  </w:t>
      </w:r>
      <w:r w:rsidR="000B0CAB">
        <w:rPr>
          <w:noProof/>
        </w:rPr>
        <w:t>Figure 4.4</w:t>
      </w:r>
      <w:r>
        <w:rPr>
          <w:noProof/>
        </w:rPr>
        <w:t xml:space="preserve"> shows humeral lengths for both male and female </w:t>
      </w:r>
      <w:r>
        <w:rPr>
          <w:i/>
          <w:noProof/>
        </w:rPr>
        <w:t>Pan paniscus</w:t>
      </w:r>
      <w:r>
        <w:rPr>
          <w:noProof/>
        </w:rPr>
        <w:t xml:space="preserve"> plotted against dental score.  </w:t>
      </w:r>
      <w:r w:rsidR="002E0BC8">
        <w:rPr>
          <w:noProof/>
        </w:rPr>
        <w:t>Even though</w:t>
      </w:r>
      <w:r>
        <w:rPr>
          <w:noProof/>
        </w:rPr>
        <w:t xml:space="preserve"> there appears to be a generally linear pattern observed</w:t>
      </w:r>
      <w:r w:rsidR="00277304">
        <w:rPr>
          <w:noProof/>
        </w:rPr>
        <w:t xml:space="preserve"> for this bone</w:t>
      </w:r>
      <w:r>
        <w:rPr>
          <w:noProof/>
        </w:rPr>
        <w:t xml:space="preserve">, there were too few individuals present for regression analysis to reliably assess </w:t>
      </w:r>
      <w:r w:rsidR="00277304">
        <w:rPr>
          <w:noProof/>
        </w:rPr>
        <w:t>growth in length relative to dental score</w:t>
      </w:r>
      <w:r>
        <w:rPr>
          <w:noProof/>
        </w:rPr>
        <w:t xml:space="preserve">.  Sex differences have been determined for </w:t>
      </w:r>
      <w:r>
        <w:rPr>
          <w:i/>
          <w:noProof/>
        </w:rPr>
        <w:t xml:space="preserve">Pan paniscus </w:t>
      </w:r>
      <w:r>
        <w:rPr>
          <w:noProof/>
        </w:rPr>
        <w:t>in the past (see Shea 1981) and as such combining sex for regression may not be valid.  Shea (1981) also noted this limitation for his data set.  This paucity of values is repeated for all other long bones.</w:t>
      </w:r>
    </w:p>
    <w:p w:rsidR="009908AE" w:rsidRDefault="00955DB6" w:rsidP="00955DB6">
      <w:pPr>
        <w:tabs>
          <w:tab w:val="left" w:pos="360"/>
        </w:tabs>
        <w:spacing w:before="120" w:line="240" w:lineRule="auto"/>
        <w:jc w:val="left"/>
        <w:rPr>
          <w:noProof/>
          <w:color w:val="000000" w:themeColor="text1"/>
        </w:rPr>
      </w:pPr>
      <w:r>
        <w:rPr>
          <w:noProof/>
          <w:color w:val="000000" w:themeColor="text1"/>
          <w:sz w:val="20"/>
          <w:szCs w:val="20"/>
          <w:lang w:val="en-GB" w:eastAsia="en-GB"/>
        </w:rPr>
        <w:drawing>
          <wp:anchor distT="0" distB="0" distL="114300" distR="114300" simplePos="0" relativeHeight="251678720" behindDoc="0" locked="0" layoutInCell="1" allowOverlap="1" wp14:anchorId="34BB241F" wp14:editId="0A6593F7">
            <wp:simplePos x="0" y="0"/>
            <wp:positionH relativeFrom="column">
              <wp:posOffset>4873625</wp:posOffset>
            </wp:positionH>
            <wp:positionV relativeFrom="paragraph">
              <wp:posOffset>2163445</wp:posOffset>
            </wp:positionV>
            <wp:extent cx="619125" cy="381000"/>
            <wp:effectExtent l="0" t="0" r="952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anchor>
        </w:drawing>
      </w:r>
      <w:r w:rsidR="00782031">
        <w:rPr>
          <w:noProof/>
          <w:lang w:val="en-GB" w:eastAsia="en-GB"/>
        </w:rPr>
        <w:drawing>
          <wp:anchor distT="0" distB="0" distL="114300" distR="114300" simplePos="0" relativeHeight="251677696" behindDoc="0" locked="1" layoutInCell="1" allowOverlap="1" wp14:anchorId="75EA2CA0" wp14:editId="33BF0008">
            <wp:simplePos x="0" y="0"/>
            <wp:positionH relativeFrom="column">
              <wp:posOffset>454025</wp:posOffset>
            </wp:positionH>
            <wp:positionV relativeFrom="paragraph">
              <wp:posOffset>48895</wp:posOffset>
            </wp:positionV>
            <wp:extent cx="5133975" cy="3028950"/>
            <wp:effectExtent l="0" t="0" r="9525" b="19050"/>
            <wp:wrapTopAndBottom/>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bookmarkStart w:id="476" w:name="_Toc373147464"/>
      <w:proofErr w:type="gramStart"/>
      <w:r w:rsidR="00782031" w:rsidRPr="00997A01">
        <w:rPr>
          <w:b/>
        </w:rPr>
        <w:t xml:space="preserve">Figure </w:t>
      </w:r>
      <w:r w:rsidR="008943E4" w:rsidRPr="00997A01">
        <w:rPr>
          <w:b/>
        </w:rPr>
        <w:fldChar w:fldCharType="begin"/>
      </w:r>
      <w:r w:rsidR="00782031"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00782031" w:rsidRPr="00997A01">
        <w:rPr>
          <w:b/>
        </w:rPr>
        <w:t>.</w:t>
      </w:r>
      <w:proofErr w:type="gramEnd"/>
      <w:r w:rsidR="008943E4" w:rsidRPr="00997A01">
        <w:rPr>
          <w:b/>
        </w:rPr>
        <w:fldChar w:fldCharType="begin"/>
      </w:r>
      <w:r w:rsidR="00782031" w:rsidRPr="00997A01">
        <w:rPr>
          <w:b/>
        </w:rPr>
        <w:instrText xml:space="preserve"> SEQ Figure \* ARABIC \s 1 </w:instrText>
      </w:r>
      <w:r w:rsidR="008943E4" w:rsidRPr="00997A01">
        <w:rPr>
          <w:b/>
        </w:rPr>
        <w:fldChar w:fldCharType="separate"/>
      </w:r>
      <w:r w:rsidR="00795735">
        <w:rPr>
          <w:b/>
          <w:noProof/>
        </w:rPr>
        <w:t>4</w:t>
      </w:r>
      <w:r w:rsidR="008943E4" w:rsidRPr="00997A01">
        <w:rPr>
          <w:b/>
        </w:rPr>
        <w:fldChar w:fldCharType="end"/>
      </w:r>
      <w:r w:rsidR="00782031">
        <w:rPr>
          <w:noProof/>
          <w:color w:val="000000" w:themeColor="text1"/>
        </w:rPr>
        <w:t xml:space="preserve"> Male and female </w:t>
      </w:r>
      <w:r w:rsidR="00782031" w:rsidRPr="0067282A">
        <w:rPr>
          <w:i/>
          <w:noProof/>
          <w:color w:val="000000" w:themeColor="text1"/>
        </w:rPr>
        <w:t>Pan paniscus</w:t>
      </w:r>
      <w:r w:rsidR="00782031">
        <w:rPr>
          <w:noProof/>
          <w:color w:val="000000" w:themeColor="text1"/>
        </w:rPr>
        <w:t xml:space="preserve"> humeral length plotted against dental score.</w:t>
      </w:r>
      <w:bookmarkEnd w:id="476"/>
    </w:p>
    <w:p w:rsidR="00955DB6" w:rsidRDefault="00955DB6">
      <w:pPr>
        <w:spacing w:before="0" w:after="200" w:line="276" w:lineRule="auto"/>
        <w:jc w:val="left"/>
        <w:rPr>
          <w:noProof/>
          <w:color w:val="000000" w:themeColor="text1"/>
        </w:rPr>
      </w:pPr>
      <w:r>
        <w:rPr>
          <w:noProof/>
          <w:color w:val="000000" w:themeColor="text1"/>
        </w:rPr>
        <w:br w:type="page"/>
      </w:r>
    </w:p>
    <w:p w:rsidR="000B0CAB" w:rsidRDefault="000B0CAB" w:rsidP="00D263E8">
      <w:pPr>
        <w:pStyle w:val="Heading2"/>
      </w:pPr>
      <w:bookmarkStart w:id="477" w:name="_Toc373477796"/>
      <w:bookmarkStart w:id="478" w:name="_Toc373480794"/>
      <w:r>
        <w:lastRenderedPageBreak/>
        <w:t>Analysis of epiphyseal fusion sequences</w:t>
      </w:r>
      <w:bookmarkEnd w:id="477"/>
      <w:bookmarkEnd w:id="478"/>
    </w:p>
    <w:p w:rsidR="00387886" w:rsidRDefault="000B0CAB" w:rsidP="00820C00">
      <w:pPr>
        <w:spacing w:before="160"/>
        <w:rPr>
          <w:lang w:val="nl-NL"/>
        </w:rPr>
      </w:pPr>
      <w:r>
        <w:rPr>
          <w:lang w:val="nl-NL"/>
        </w:rPr>
        <w:t xml:space="preserve">Sequences will be </w:t>
      </w:r>
      <w:r w:rsidR="00616561">
        <w:rPr>
          <w:lang w:val="nl-NL"/>
        </w:rPr>
        <w:t xml:space="preserve">evaluated </w:t>
      </w:r>
      <w:r w:rsidR="00D04493">
        <w:rPr>
          <w:lang w:val="nl-NL"/>
        </w:rPr>
        <w:t>by</w:t>
      </w:r>
      <w:r>
        <w:rPr>
          <w:lang w:val="nl-NL"/>
        </w:rPr>
        <w:t xml:space="preserve"> the following analyses</w:t>
      </w:r>
      <w:r w:rsidR="00AA616B">
        <w:rPr>
          <w:lang w:val="nl-NL"/>
        </w:rPr>
        <w:t>:</w:t>
      </w:r>
    </w:p>
    <w:p w:rsidR="00387886" w:rsidRDefault="00387886" w:rsidP="00820C00">
      <w:pPr>
        <w:spacing w:before="160"/>
        <w:rPr>
          <w:lang w:val="nl-NL"/>
        </w:rPr>
      </w:pPr>
      <w:r>
        <w:rPr>
          <w:lang w:val="nl-NL"/>
        </w:rPr>
        <w:t xml:space="preserve">1. </w:t>
      </w:r>
      <w:r w:rsidR="000B0CAB">
        <w:rPr>
          <w:lang w:val="nl-NL"/>
        </w:rPr>
        <w:t>Epiphyseal fusion sequence will be compared to dental score</w:t>
      </w:r>
      <w:r w:rsidR="005C3017">
        <w:rPr>
          <w:lang w:val="nl-NL"/>
        </w:rPr>
        <w:t xml:space="preserve"> (section</w:t>
      </w:r>
      <w:r w:rsidR="00814178">
        <w:rPr>
          <w:lang w:val="nl-NL"/>
        </w:rPr>
        <w:t>s</w:t>
      </w:r>
      <w:r w:rsidR="005C3017">
        <w:rPr>
          <w:lang w:val="nl-NL"/>
        </w:rPr>
        <w:t xml:space="preserve"> 4.2.1</w:t>
      </w:r>
      <w:r w:rsidR="00814178">
        <w:rPr>
          <w:lang w:val="nl-NL"/>
        </w:rPr>
        <w:t>a-4.2.1c</w:t>
      </w:r>
      <w:r w:rsidR="00616561">
        <w:rPr>
          <w:lang w:val="nl-NL"/>
        </w:rPr>
        <w:t>)</w:t>
      </w:r>
      <w:r w:rsidR="000B0CAB">
        <w:rPr>
          <w:lang w:val="nl-NL"/>
        </w:rPr>
        <w:t xml:space="preserve">.  This </w:t>
      </w:r>
      <w:r w:rsidR="00616561">
        <w:rPr>
          <w:lang w:val="nl-NL"/>
        </w:rPr>
        <w:t xml:space="preserve">analysis </w:t>
      </w:r>
      <w:r w:rsidR="000B0CAB">
        <w:rPr>
          <w:lang w:val="nl-NL"/>
        </w:rPr>
        <w:t xml:space="preserve">will </w:t>
      </w:r>
      <w:r w:rsidR="0046735A">
        <w:rPr>
          <w:lang w:val="nl-NL"/>
        </w:rPr>
        <w:t xml:space="preserve">consider </w:t>
      </w:r>
      <w:r w:rsidR="000B0CAB">
        <w:rPr>
          <w:lang w:val="nl-NL"/>
        </w:rPr>
        <w:t xml:space="preserve">how these systems </w:t>
      </w:r>
      <w:r w:rsidR="00616561">
        <w:rPr>
          <w:lang w:val="nl-NL"/>
        </w:rPr>
        <w:t>are related</w:t>
      </w:r>
      <w:r w:rsidR="0046735A">
        <w:rPr>
          <w:lang w:val="nl-NL"/>
        </w:rPr>
        <w:t xml:space="preserve"> with dental score behaving as a continuous variable</w:t>
      </w:r>
      <w:r w:rsidR="00FB6C6F">
        <w:rPr>
          <w:lang w:val="nl-NL"/>
        </w:rPr>
        <w:t xml:space="preserve"> (justified in section)</w:t>
      </w:r>
      <w:r w:rsidR="00616561">
        <w:rPr>
          <w:lang w:val="nl-NL"/>
        </w:rPr>
        <w:t>.  Descriptive statistics and analysis of limitations will be presented.</w:t>
      </w:r>
      <w:r w:rsidR="00814178">
        <w:rPr>
          <w:lang w:val="nl-NL"/>
        </w:rPr>
        <w:t xml:space="preserve">  A comparison between dental score and mean epiphyseal fusion score will be made (section 4.2.1d).  This will assess the level of agreement between estimated maturity by dentition and epiphyseal fusion independently.</w:t>
      </w:r>
    </w:p>
    <w:p w:rsidR="000B0CAB" w:rsidRPr="000B0CAB" w:rsidRDefault="00387886" w:rsidP="00820C00">
      <w:pPr>
        <w:spacing w:before="160"/>
        <w:rPr>
          <w:lang w:val="nl-NL"/>
        </w:rPr>
      </w:pPr>
      <w:r>
        <w:rPr>
          <w:lang w:val="nl-NL"/>
        </w:rPr>
        <w:t xml:space="preserve">2. </w:t>
      </w:r>
      <w:r w:rsidR="0046735A">
        <w:rPr>
          <w:lang w:val="nl-NL"/>
        </w:rPr>
        <w:t>A seriation of fusion sequence will be produced by the use of two different</w:t>
      </w:r>
      <w:r w:rsidR="000B0CAB">
        <w:rPr>
          <w:lang w:val="nl-NL"/>
        </w:rPr>
        <w:t xml:space="preserve"> methods.  Epiphyseal fusion events will </w:t>
      </w:r>
      <w:r w:rsidR="00B909FF">
        <w:rPr>
          <w:lang w:val="nl-NL"/>
        </w:rPr>
        <w:t xml:space="preserve">first </w:t>
      </w:r>
      <w:r w:rsidR="000B0CAB">
        <w:rPr>
          <w:lang w:val="nl-NL"/>
        </w:rPr>
        <w:t xml:space="preserve">be sorted by </w:t>
      </w:r>
      <w:r w:rsidR="00130EAA">
        <w:rPr>
          <w:lang w:val="nl-NL"/>
        </w:rPr>
        <w:t xml:space="preserve">modular patterns as determined by contingency tables </w:t>
      </w:r>
      <w:r w:rsidR="000B0CAB">
        <w:rPr>
          <w:lang w:val="nl-NL"/>
        </w:rPr>
        <w:t>(</w:t>
      </w:r>
      <w:r w:rsidR="00616561">
        <w:rPr>
          <w:lang w:val="nl-NL"/>
        </w:rPr>
        <w:t xml:space="preserve">section </w:t>
      </w:r>
      <w:r w:rsidR="00130EAA">
        <w:rPr>
          <w:lang w:val="nl-NL"/>
        </w:rPr>
        <w:t>4.2.2</w:t>
      </w:r>
      <w:r w:rsidR="003027E5">
        <w:rPr>
          <w:lang w:val="nl-NL"/>
        </w:rPr>
        <w:t>a</w:t>
      </w:r>
      <w:r w:rsidR="000B0CAB">
        <w:rPr>
          <w:lang w:val="nl-NL"/>
        </w:rPr>
        <w:t>)</w:t>
      </w:r>
      <w:r w:rsidR="00B909FF">
        <w:rPr>
          <w:lang w:val="nl-NL"/>
        </w:rPr>
        <w:t xml:space="preserve">. </w:t>
      </w:r>
      <w:r w:rsidR="000B0CAB">
        <w:rPr>
          <w:lang w:val="nl-NL"/>
        </w:rPr>
        <w:t xml:space="preserve"> </w:t>
      </w:r>
      <w:r w:rsidR="00B909FF">
        <w:rPr>
          <w:lang w:val="nl-NL"/>
        </w:rPr>
        <w:t xml:space="preserve">In the second approach, fusion events will be sorted </w:t>
      </w:r>
      <w:r w:rsidR="000B0CAB">
        <w:rPr>
          <w:lang w:val="nl-NL"/>
        </w:rPr>
        <w:t xml:space="preserve">by </w:t>
      </w:r>
      <w:r w:rsidR="00130EAA">
        <w:rPr>
          <w:lang w:val="nl-NL"/>
        </w:rPr>
        <w:t>mean epiphyseal fusion score (section</w:t>
      </w:r>
      <w:r w:rsidR="005E180B">
        <w:rPr>
          <w:lang w:val="nl-NL"/>
        </w:rPr>
        <w:t>s</w:t>
      </w:r>
      <w:r w:rsidR="00130EAA">
        <w:rPr>
          <w:lang w:val="nl-NL"/>
        </w:rPr>
        <w:t xml:space="preserve"> 4.2.2</w:t>
      </w:r>
      <w:r w:rsidR="003027E5">
        <w:rPr>
          <w:lang w:val="nl-NL"/>
        </w:rPr>
        <w:t>b</w:t>
      </w:r>
      <w:r w:rsidR="00130EAA">
        <w:rPr>
          <w:lang w:val="nl-NL"/>
        </w:rPr>
        <w:t>-4.</w:t>
      </w:r>
      <w:r w:rsidR="00006290">
        <w:rPr>
          <w:lang w:val="nl-NL"/>
        </w:rPr>
        <w:t>2.2f</w:t>
      </w:r>
      <w:r w:rsidR="00616561">
        <w:rPr>
          <w:lang w:val="nl-NL"/>
        </w:rPr>
        <w:t>)</w:t>
      </w:r>
      <w:r w:rsidR="000B0CAB">
        <w:rPr>
          <w:lang w:val="nl-NL"/>
        </w:rPr>
        <w:t>.</w:t>
      </w:r>
    </w:p>
    <w:p w:rsidR="008A24F9" w:rsidRPr="00B53177" w:rsidRDefault="005C3017" w:rsidP="00D263E8">
      <w:pPr>
        <w:pStyle w:val="Heading3"/>
      </w:pPr>
      <w:bookmarkStart w:id="479" w:name="_Toc373477797"/>
      <w:bookmarkStart w:id="480" w:name="_Toc373480795"/>
      <w:r>
        <w:t>Comparing epiphyseal fusion sequences to dental score</w:t>
      </w:r>
      <w:bookmarkEnd w:id="479"/>
      <w:bookmarkEnd w:id="480"/>
    </w:p>
    <w:p w:rsidR="005C3017" w:rsidRPr="0078018C" w:rsidRDefault="0078018C" w:rsidP="00820C00">
      <w:pPr>
        <w:spacing w:before="160"/>
        <w:rPr>
          <w:b/>
          <w:i/>
          <w:noProof/>
        </w:rPr>
      </w:pPr>
      <w:r w:rsidRPr="0078018C">
        <w:rPr>
          <w:b/>
          <w:i/>
        </w:rPr>
        <w:t xml:space="preserve">4.2.1a </w:t>
      </w:r>
      <w:r w:rsidR="005C3017" w:rsidRPr="0078018C">
        <w:rPr>
          <w:b/>
          <w:i/>
        </w:rPr>
        <w:t>Evaluating limitations fo</w:t>
      </w:r>
      <w:r w:rsidR="003C4478">
        <w:rPr>
          <w:b/>
          <w:i/>
        </w:rPr>
        <w:t xml:space="preserve">r analysis as a consequence of </w:t>
      </w:r>
      <w:r w:rsidR="005C3017" w:rsidRPr="0078018C">
        <w:rPr>
          <w:b/>
          <w:i/>
        </w:rPr>
        <w:t>dental score 64 individuals</w:t>
      </w:r>
    </w:p>
    <w:p w:rsidR="008A24F9" w:rsidRDefault="008A24F9" w:rsidP="00820C00">
      <w:pPr>
        <w:spacing w:before="120"/>
        <w:rPr>
          <w:noProof/>
        </w:rPr>
      </w:pPr>
      <w:r>
        <w:rPr>
          <w:noProof/>
        </w:rPr>
        <w:t xml:space="preserve">As </w:t>
      </w:r>
      <w:r w:rsidR="004337E3">
        <w:rPr>
          <w:noProof/>
        </w:rPr>
        <w:t xml:space="preserve">noted </w:t>
      </w:r>
      <w:r>
        <w:rPr>
          <w:noProof/>
        </w:rPr>
        <w:t>in Chapter 3,</w:t>
      </w:r>
      <w:r w:rsidR="004337E3">
        <w:rPr>
          <w:noProof/>
        </w:rPr>
        <w:t xml:space="preserve"> a limitation for this type of analysis is </w:t>
      </w:r>
      <w:r>
        <w:rPr>
          <w:noProof/>
        </w:rPr>
        <w:t xml:space="preserve">there </w:t>
      </w:r>
      <w:r w:rsidR="002C4F4D">
        <w:rPr>
          <w:noProof/>
        </w:rPr>
        <w:t xml:space="preserve">are </w:t>
      </w:r>
      <w:r>
        <w:rPr>
          <w:noProof/>
        </w:rPr>
        <w:t xml:space="preserve">clearly </w:t>
      </w:r>
      <w:r w:rsidR="00DE3886">
        <w:rPr>
          <w:noProof/>
        </w:rPr>
        <w:t xml:space="preserve">individuals with </w:t>
      </w:r>
      <w:r w:rsidR="00E8524C">
        <w:rPr>
          <w:noProof/>
        </w:rPr>
        <w:t xml:space="preserve">multiple </w:t>
      </w:r>
      <w:r w:rsidR="00DE3886">
        <w:rPr>
          <w:noProof/>
        </w:rPr>
        <w:t xml:space="preserve">unfused </w:t>
      </w:r>
      <w:r>
        <w:rPr>
          <w:noProof/>
        </w:rPr>
        <w:t xml:space="preserve">epiphyses </w:t>
      </w:r>
      <w:r w:rsidR="00DE3886">
        <w:rPr>
          <w:noProof/>
        </w:rPr>
        <w:t xml:space="preserve">beyond </w:t>
      </w:r>
      <w:r>
        <w:rPr>
          <w:noProof/>
        </w:rPr>
        <w:t>DS64</w:t>
      </w:r>
      <w:r w:rsidR="00DB12AB">
        <w:rPr>
          <w:noProof/>
        </w:rPr>
        <w:t xml:space="preserve"> in this data set</w:t>
      </w:r>
      <w:r>
        <w:rPr>
          <w:noProof/>
        </w:rPr>
        <w:t xml:space="preserve">.  </w:t>
      </w:r>
      <w:r w:rsidR="004337E3">
        <w:rPr>
          <w:noProof/>
        </w:rPr>
        <w:t>Another p</w:t>
      </w:r>
      <w:r w:rsidR="00BF45B8">
        <w:rPr>
          <w:noProof/>
        </w:rPr>
        <w:t>otential p</w:t>
      </w:r>
      <w:r w:rsidR="004337E3">
        <w:rPr>
          <w:noProof/>
        </w:rPr>
        <w:t xml:space="preserve">roblem is </w:t>
      </w:r>
      <w:r w:rsidR="00CF20D5">
        <w:rPr>
          <w:noProof/>
        </w:rPr>
        <w:t xml:space="preserve">that the range </w:t>
      </w:r>
      <w:r>
        <w:rPr>
          <w:noProof/>
        </w:rPr>
        <w:t xml:space="preserve">of dental scores for epiphyses that typically fuse </w:t>
      </w:r>
      <w:r w:rsidR="00D43EAC">
        <w:rPr>
          <w:noProof/>
        </w:rPr>
        <w:t>below</w:t>
      </w:r>
      <w:r>
        <w:rPr>
          <w:noProof/>
        </w:rPr>
        <w:t xml:space="preserve"> DS64 </w:t>
      </w:r>
      <w:r w:rsidR="00FE72CD">
        <w:rPr>
          <w:noProof/>
        </w:rPr>
        <w:t xml:space="preserve">are derived from a sample that </w:t>
      </w:r>
      <w:r w:rsidR="009D6C07">
        <w:rPr>
          <w:noProof/>
        </w:rPr>
        <w:t xml:space="preserve">still </w:t>
      </w:r>
      <w:r>
        <w:rPr>
          <w:noProof/>
        </w:rPr>
        <w:t>often include</w:t>
      </w:r>
      <w:r w:rsidR="00BF45B8">
        <w:rPr>
          <w:noProof/>
        </w:rPr>
        <w:t>s</w:t>
      </w:r>
      <w:r>
        <w:rPr>
          <w:noProof/>
        </w:rPr>
        <w:t xml:space="preserve"> several individua</w:t>
      </w:r>
      <w:r w:rsidR="00016026">
        <w:rPr>
          <w:noProof/>
        </w:rPr>
        <w:t xml:space="preserve">ls </w:t>
      </w:r>
      <w:r w:rsidR="002D6CE5">
        <w:rPr>
          <w:noProof/>
        </w:rPr>
        <w:t xml:space="preserve">with </w:t>
      </w:r>
      <w:r w:rsidR="0075290E">
        <w:rPr>
          <w:noProof/>
        </w:rPr>
        <w:t>DS64</w:t>
      </w:r>
      <w:r w:rsidR="00016026">
        <w:rPr>
          <w:noProof/>
        </w:rPr>
        <w:t>.  Figure 4.5</w:t>
      </w:r>
      <w:r>
        <w:rPr>
          <w:noProof/>
        </w:rPr>
        <w:t xml:space="preserve"> illustrates this problem for the upper limb in </w:t>
      </w:r>
      <w:r>
        <w:rPr>
          <w:i/>
          <w:noProof/>
        </w:rPr>
        <w:t>Pan troglodytes</w:t>
      </w:r>
      <w:r>
        <w:rPr>
          <w:noProof/>
        </w:rPr>
        <w:t xml:space="preserve"> females.  This figure shows box plots for unfused, mid-fusion and complete fusion.</w:t>
      </w:r>
    </w:p>
    <w:p w:rsidR="008A24F9" w:rsidRPr="006631BB" w:rsidRDefault="00911204" w:rsidP="008A24F9">
      <w:pPr>
        <w:tabs>
          <w:tab w:val="left" w:pos="360"/>
        </w:tabs>
        <w:spacing w:line="240" w:lineRule="auto"/>
        <w:jc w:val="center"/>
        <w:rPr>
          <w:noProof/>
          <w:sz w:val="20"/>
          <w:szCs w:val="20"/>
          <w:lang w:val="en-GB" w:eastAsia="en-GB"/>
        </w:rPr>
      </w:pPr>
      <w:r>
        <w:rPr>
          <w:noProof/>
          <w:sz w:val="20"/>
          <w:szCs w:val="20"/>
          <w:lang w:val="en-GB" w:eastAsia="en-GB"/>
        </w:rPr>
        <w:drawing>
          <wp:inline distT="0" distB="0" distL="0" distR="0" wp14:anchorId="41710567" wp14:editId="27E919BC">
            <wp:extent cx="5695950" cy="25050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5950" cy="2505075"/>
                    </a:xfrm>
                    <a:prstGeom prst="rect">
                      <a:avLst/>
                    </a:prstGeom>
                    <a:noFill/>
                    <a:ln>
                      <a:noFill/>
                    </a:ln>
                  </pic:spPr>
                </pic:pic>
              </a:graphicData>
            </a:graphic>
          </wp:inline>
        </w:drawing>
      </w:r>
    </w:p>
    <w:p w:rsidR="00A35CA0" w:rsidRDefault="008A24F9" w:rsidP="00CA5FBB">
      <w:pPr>
        <w:tabs>
          <w:tab w:val="left" w:pos="448"/>
        </w:tabs>
        <w:spacing w:before="0" w:line="240" w:lineRule="auto"/>
        <w:ind w:firstLine="112"/>
        <w:rPr>
          <w:noProof/>
          <w:sz w:val="20"/>
          <w:szCs w:val="20"/>
          <w:lang w:val="en-GB" w:eastAsia="en-GB"/>
        </w:rPr>
      </w:pPr>
      <w:r w:rsidRPr="006631BB">
        <w:rPr>
          <w:noProof/>
          <w:sz w:val="20"/>
          <w:szCs w:val="20"/>
          <w:lang w:val="en-GB" w:eastAsia="en-GB"/>
        </w:rPr>
        <w:tab/>
        <w:t>1: unfused</w:t>
      </w:r>
    </w:p>
    <w:p w:rsidR="00A35CA0" w:rsidRDefault="008A24F9" w:rsidP="00CA5FBB">
      <w:pPr>
        <w:tabs>
          <w:tab w:val="left" w:pos="448"/>
        </w:tabs>
        <w:spacing w:before="0" w:line="240" w:lineRule="auto"/>
        <w:ind w:firstLine="112"/>
        <w:rPr>
          <w:noProof/>
          <w:sz w:val="20"/>
          <w:szCs w:val="20"/>
          <w:lang w:val="en-GB" w:eastAsia="en-GB"/>
        </w:rPr>
      </w:pPr>
      <w:r w:rsidRPr="006631BB">
        <w:rPr>
          <w:noProof/>
          <w:sz w:val="20"/>
          <w:szCs w:val="20"/>
          <w:lang w:val="en-GB" w:eastAsia="en-GB"/>
        </w:rPr>
        <w:tab/>
        <w:t>2: mid-fusion</w:t>
      </w:r>
    </w:p>
    <w:p w:rsidR="00A35CA0" w:rsidRDefault="008A24F9" w:rsidP="00CA5FBB">
      <w:pPr>
        <w:tabs>
          <w:tab w:val="left" w:pos="448"/>
        </w:tabs>
        <w:spacing w:before="0" w:line="240" w:lineRule="auto"/>
        <w:ind w:firstLine="112"/>
        <w:rPr>
          <w:noProof/>
          <w:sz w:val="20"/>
          <w:szCs w:val="20"/>
          <w:lang w:val="en-GB" w:eastAsia="en-GB"/>
        </w:rPr>
      </w:pPr>
      <w:r w:rsidRPr="006631BB">
        <w:rPr>
          <w:noProof/>
          <w:sz w:val="20"/>
          <w:szCs w:val="20"/>
          <w:lang w:val="en-GB" w:eastAsia="en-GB"/>
        </w:rPr>
        <w:tab/>
        <w:t>3: complete fusion</w:t>
      </w:r>
    </w:p>
    <w:p w:rsidR="00161E6E" w:rsidRPr="006631BB" w:rsidRDefault="00161E6E" w:rsidP="00161E6E">
      <w:pPr>
        <w:pStyle w:val="Caption"/>
        <w:rPr>
          <w:noProof/>
          <w:lang w:val="en-GB" w:eastAsia="en-GB"/>
        </w:rPr>
      </w:pPr>
      <w:bookmarkStart w:id="481" w:name="_Toc373147465"/>
      <w:proofErr w:type="gramStart"/>
      <w:r w:rsidRPr="00161E6E">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4</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5</w:t>
      </w:r>
      <w:r w:rsidR="008943E4">
        <w:rPr>
          <w:b/>
        </w:rPr>
        <w:fldChar w:fldCharType="end"/>
      </w:r>
      <w:r>
        <w:t xml:space="preserve"> </w:t>
      </w:r>
      <w:r>
        <w:rPr>
          <w:noProof/>
          <w:lang w:val="en-GB" w:eastAsia="en-GB"/>
        </w:rPr>
        <w:t>M</w:t>
      </w:r>
      <w:r w:rsidRPr="006631BB">
        <w:rPr>
          <w:noProof/>
          <w:lang w:val="en-GB" w:eastAsia="en-GB"/>
        </w:rPr>
        <w:t xml:space="preserve">id-fusion and complete fusion for the epiphyses of the upper limb in </w:t>
      </w:r>
      <w:r w:rsidRPr="006631BB">
        <w:rPr>
          <w:i/>
          <w:noProof/>
          <w:lang w:val="en-GB" w:eastAsia="en-GB"/>
        </w:rPr>
        <w:t>Pan troglodytes</w:t>
      </w:r>
      <w:r w:rsidRPr="006631BB">
        <w:rPr>
          <w:noProof/>
          <w:lang w:val="en-GB" w:eastAsia="en-GB"/>
        </w:rPr>
        <w:t xml:space="preserve"> females</w:t>
      </w:r>
      <w:r>
        <w:rPr>
          <w:noProof/>
          <w:lang w:val="en-GB" w:eastAsia="en-GB"/>
        </w:rPr>
        <w:t>.</w:t>
      </w:r>
      <w:bookmarkEnd w:id="481"/>
    </w:p>
    <w:p w:rsidR="00C97871" w:rsidRDefault="008A24F9" w:rsidP="00014602">
      <w:pPr>
        <w:rPr>
          <w:noProof/>
        </w:rPr>
      </w:pPr>
      <w:r>
        <w:rPr>
          <w:noProof/>
        </w:rPr>
        <w:lastRenderedPageBreak/>
        <w:t xml:space="preserve">The effect of truncated ranges is evident for all mid-fusion and complete fusion events with the exception of the </w:t>
      </w:r>
      <w:r w:rsidR="00650A6C">
        <w:rPr>
          <w:noProof/>
        </w:rPr>
        <w:t>distal humerus</w:t>
      </w:r>
      <w:r>
        <w:rPr>
          <w:noProof/>
        </w:rPr>
        <w:t xml:space="preserve"> and the </w:t>
      </w:r>
      <w:r w:rsidR="00AA6F14">
        <w:rPr>
          <w:rFonts w:eastAsia="Times New Roman"/>
          <w:color w:val="000000"/>
          <w:lang w:val="en-GB" w:eastAsia="en-GB"/>
        </w:rPr>
        <w:t xml:space="preserve">humeral </w:t>
      </w:r>
      <w:r>
        <w:rPr>
          <w:noProof/>
        </w:rPr>
        <w:t xml:space="preserve">medial epicondyle.  The proximal radius and proximal ulna have distributions with the majority of individuals below DS64 and this is true for many of the ranges of mid-fusion </w:t>
      </w:r>
      <w:r w:rsidR="000770D9">
        <w:rPr>
          <w:noProof/>
        </w:rPr>
        <w:t>in</w:t>
      </w:r>
      <w:r>
        <w:rPr>
          <w:noProof/>
        </w:rPr>
        <w:t xml:space="preserve"> other epiphyseal fusion sites.  Determining mean values will not produce meaningful results for many later epiphyses</w:t>
      </w:r>
      <w:r w:rsidR="00C759D4">
        <w:rPr>
          <w:noProof/>
        </w:rPr>
        <w:t xml:space="preserve"> as a result of the DS64 limitation</w:t>
      </w:r>
      <w:r>
        <w:rPr>
          <w:noProof/>
        </w:rPr>
        <w:t xml:space="preserve">.  Median values </w:t>
      </w:r>
      <w:r w:rsidR="00C759D4">
        <w:rPr>
          <w:noProof/>
        </w:rPr>
        <w:t>are a more appropriate</w:t>
      </w:r>
      <w:r w:rsidR="0059752A">
        <w:rPr>
          <w:noProof/>
        </w:rPr>
        <w:t xml:space="preserve"> alternative.  Table 4.4</w:t>
      </w:r>
      <w:r>
        <w:rPr>
          <w:noProof/>
        </w:rPr>
        <w:t xml:space="preserve"> provides median values and ranges of mid-fusion in each epiphysis for </w:t>
      </w:r>
      <w:r>
        <w:rPr>
          <w:i/>
          <w:noProof/>
        </w:rPr>
        <w:t>Pan troglodytes</w:t>
      </w:r>
      <w:r>
        <w:rPr>
          <w:noProof/>
        </w:rPr>
        <w:t xml:space="preserve"> females.  Median values above DS64 are highlighted in boldface.</w:t>
      </w:r>
      <w:r w:rsidRPr="00293590">
        <w:rPr>
          <w:noProof/>
        </w:rPr>
        <w:t xml:space="preserve"> </w:t>
      </w:r>
      <w:r>
        <w:rPr>
          <w:noProof/>
        </w:rPr>
        <w:t xml:space="preserve">There were 8 epiphyses that had median value over </w:t>
      </w:r>
      <w:r w:rsidR="00436C98">
        <w:rPr>
          <w:noProof/>
        </w:rPr>
        <w:t>DS</w:t>
      </w:r>
      <w:r w:rsidRPr="00DF5B74">
        <w:rPr>
          <w:noProof/>
        </w:rPr>
        <w:t xml:space="preserve">64.  This is in accordance with expectations set out in Chapter 3.  </w:t>
      </w:r>
      <w:r w:rsidR="00DF5B74" w:rsidRPr="00DF5B74">
        <w:rPr>
          <w:noProof/>
        </w:rPr>
        <w:t>Table 4.</w:t>
      </w:r>
      <w:r w:rsidR="0059752A">
        <w:rPr>
          <w:noProof/>
        </w:rPr>
        <w:t>5</w:t>
      </w:r>
      <w:r w:rsidR="00DF5B74" w:rsidRPr="00DF5B74">
        <w:rPr>
          <w:noProof/>
        </w:rPr>
        <w:t xml:space="preserve"> </w:t>
      </w:r>
      <w:r w:rsidRPr="00DF5B74">
        <w:rPr>
          <w:noProof/>
        </w:rPr>
        <w:t>provides the same val</w:t>
      </w:r>
      <w:r w:rsidR="00DF5B74" w:rsidRPr="00DF5B74">
        <w:rPr>
          <w:noProof/>
        </w:rPr>
        <w:t>u</w:t>
      </w:r>
      <w:r w:rsidRPr="00DF5B74">
        <w:rPr>
          <w:noProof/>
        </w:rPr>
        <w:t xml:space="preserve">es for complete fusion </w:t>
      </w:r>
      <w:r w:rsidR="00262ACC">
        <w:rPr>
          <w:noProof/>
        </w:rPr>
        <w:t xml:space="preserve">from </w:t>
      </w:r>
      <w:r w:rsidRPr="00DF5B74">
        <w:rPr>
          <w:i/>
          <w:noProof/>
        </w:rPr>
        <w:t>Pan troglodytes</w:t>
      </w:r>
      <w:r w:rsidRPr="00DF5B74">
        <w:rPr>
          <w:noProof/>
        </w:rPr>
        <w:t xml:space="preserve"> females.</w:t>
      </w:r>
    </w:p>
    <w:p w:rsidR="00C97871" w:rsidRDefault="006B17E1" w:rsidP="00C97871">
      <w:pPr>
        <w:rPr>
          <w:noProof/>
        </w:rPr>
      </w:pPr>
      <w:r>
        <w:rPr>
          <w:noProof/>
        </w:rPr>
        <w:t>Analysis of c</w:t>
      </w:r>
      <w:r w:rsidR="00C97871">
        <w:rPr>
          <w:noProof/>
        </w:rPr>
        <w:t xml:space="preserve">omplete fusion ranges </w:t>
      </w:r>
      <w:r>
        <w:rPr>
          <w:noProof/>
        </w:rPr>
        <w:t>demonstrates that</w:t>
      </w:r>
      <w:r w:rsidR="00C97871">
        <w:rPr>
          <w:noProof/>
        </w:rPr>
        <w:t xml:space="preserve"> the majority of </w:t>
      </w:r>
      <w:r w:rsidR="004B0C38">
        <w:rPr>
          <w:noProof/>
        </w:rPr>
        <w:t xml:space="preserve">contributing </w:t>
      </w:r>
      <w:r w:rsidR="00AF6309">
        <w:rPr>
          <w:noProof/>
        </w:rPr>
        <w:t>fusion values</w:t>
      </w:r>
      <w:r w:rsidR="00C97871">
        <w:rPr>
          <w:noProof/>
        </w:rPr>
        <w:t xml:space="preserve"> </w:t>
      </w:r>
      <w:r w:rsidR="00950544">
        <w:rPr>
          <w:noProof/>
        </w:rPr>
        <w:t xml:space="preserve">have </w:t>
      </w:r>
      <w:r w:rsidR="00C97871">
        <w:rPr>
          <w:noProof/>
        </w:rPr>
        <w:t xml:space="preserve">DS64.  The remaining tables for </w:t>
      </w:r>
      <w:r w:rsidR="00C97871">
        <w:rPr>
          <w:i/>
          <w:noProof/>
        </w:rPr>
        <w:t xml:space="preserve">Pan troglodytes </w:t>
      </w:r>
      <w:r w:rsidR="00C97871">
        <w:rPr>
          <w:noProof/>
        </w:rPr>
        <w:t xml:space="preserve">males and </w:t>
      </w:r>
      <w:r w:rsidR="00C97871">
        <w:rPr>
          <w:i/>
          <w:noProof/>
        </w:rPr>
        <w:t xml:space="preserve">Pan paniscus </w:t>
      </w:r>
      <w:r w:rsidR="00C97871">
        <w:rPr>
          <w:noProof/>
        </w:rPr>
        <w:t>males and fema</w:t>
      </w:r>
      <w:r w:rsidR="00BB38EE">
        <w:rPr>
          <w:noProof/>
        </w:rPr>
        <w:t>les are available in section 8.4</w:t>
      </w:r>
      <w:r w:rsidR="00C97871">
        <w:rPr>
          <w:noProof/>
        </w:rPr>
        <w:t xml:space="preserve"> of the appendix (</w:t>
      </w:r>
      <w:r w:rsidR="00C97871" w:rsidRPr="00165333">
        <w:rPr>
          <w:noProof/>
          <w:color w:val="000000" w:themeColor="text1"/>
        </w:rPr>
        <w:t>Tables 8.</w:t>
      </w:r>
      <w:r w:rsidR="00E00910">
        <w:rPr>
          <w:noProof/>
          <w:color w:val="000000" w:themeColor="text1"/>
        </w:rPr>
        <w:t>12</w:t>
      </w:r>
      <w:r w:rsidR="00C97871" w:rsidRPr="00165333">
        <w:rPr>
          <w:noProof/>
          <w:color w:val="000000" w:themeColor="text1"/>
        </w:rPr>
        <w:t>-8.</w:t>
      </w:r>
      <w:r w:rsidR="00E00910">
        <w:rPr>
          <w:noProof/>
          <w:color w:val="000000" w:themeColor="text1"/>
        </w:rPr>
        <w:t>20</w:t>
      </w:r>
      <w:r w:rsidR="00D35D25">
        <w:rPr>
          <w:noProof/>
        </w:rPr>
        <w:t xml:space="preserve">).  Full descriptive statistics </w:t>
      </w:r>
      <w:r w:rsidR="00C97871">
        <w:rPr>
          <w:noProof/>
        </w:rPr>
        <w:t xml:space="preserve">are available for both </w:t>
      </w:r>
      <w:r w:rsidR="00C97871">
        <w:rPr>
          <w:i/>
          <w:noProof/>
        </w:rPr>
        <w:t xml:space="preserve">Pan troglodytes </w:t>
      </w:r>
      <w:r w:rsidR="00C97871">
        <w:rPr>
          <w:noProof/>
        </w:rPr>
        <w:t xml:space="preserve">and </w:t>
      </w:r>
      <w:r w:rsidR="00C97871">
        <w:rPr>
          <w:i/>
          <w:noProof/>
        </w:rPr>
        <w:t>Pan paniscus</w:t>
      </w:r>
      <w:r w:rsidR="00C97871">
        <w:rPr>
          <w:noProof/>
        </w:rPr>
        <w:t xml:space="preserve"> males and females in the digital appendix section 8.2.1 (Tables 8.2.1.1-8.2.1.4).</w:t>
      </w:r>
    </w:p>
    <w:p w:rsidR="00C97871" w:rsidRDefault="00C97871">
      <w:pPr>
        <w:spacing w:before="0" w:after="200" w:line="276" w:lineRule="auto"/>
        <w:jc w:val="left"/>
        <w:rPr>
          <w:noProof/>
        </w:rPr>
      </w:pPr>
      <w:r>
        <w:rPr>
          <w:noProof/>
        </w:rPr>
        <w:br w:type="page"/>
      </w:r>
    </w:p>
    <w:p w:rsidR="008A24F9" w:rsidRPr="004B79CE" w:rsidRDefault="00014602" w:rsidP="00014602">
      <w:pPr>
        <w:pStyle w:val="Caption"/>
        <w:rPr>
          <w:noProof/>
        </w:rPr>
      </w:pPr>
      <w:bookmarkStart w:id="482" w:name="_Toc373180148"/>
      <w:proofErr w:type="gramStart"/>
      <w:r w:rsidRPr="00014602">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4</w:t>
      </w:r>
      <w:r w:rsidR="008943E4">
        <w:rPr>
          <w:b/>
        </w:rPr>
        <w:fldChar w:fldCharType="end"/>
      </w:r>
      <w:r>
        <w:rPr>
          <w:noProof/>
        </w:rPr>
        <w:t xml:space="preserve"> </w:t>
      </w:r>
      <w:r w:rsidR="008A24F9">
        <w:rPr>
          <w:noProof/>
        </w:rPr>
        <w:t xml:space="preserve">Median values and ranges of fusion for all mid-fusion epiphyses in </w:t>
      </w:r>
      <w:r w:rsidR="008A24F9">
        <w:rPr>
          <w:i/>
          <w:noProof/>
        </w:rPr>
        <w:t>Pan troglodytes</w:t>
      </w:r>
      <w:r w:rsidR="008A24F9">
        <w:rPr>
          <w:noProof/>
        </w:rPr>
        <w:t xml:space="preserve"> females.</w:t>
      </w:r>
      <w:bookmarkEnd w:id="482"/>
    </w:p>
    <w:tbl>
      <w:tblPr>
        <w:tblW w:w="9618" w:type="dxa"/>
        <w:jc w:val="center"/>
        <w:tblInd w:w="321" w:type="dxa"/>
        <w:tblBorders>
          <w:top w:val="single" w:sz="4" w:space="0" w:color="auto"/>
          <w:bottom w:val="single" w:sz="4" w:space="0" w:color="auto"/>
        </w:tblBorders>
        <w:tblLook w:val="04A0" w:firstRow="1" w:lastRow="0" w:firstColumn="1" w:lastColumn="0" w:noHBand="0" w:noVBand="1"/>
      </w:tblPr>
      <w:tblGrid>
        <w:gridCol w:w="1242"/>
        <w:gridCol w:w="2911"/>
        <w:gridCol w:w="954"/>
        <w:gridCol w:w="1485"/>
        <w:gridCol w:w="1388"/>
        <w:gridCol w:w="1638"/>
      </w:tblGrid>
      <w:tr w:rsidR="00960ECB" w:rsidRPr="00B82B03" w:rsidTr="00CA5FBB">
        <w:trPr>
          <w:trHeight w:val="300"/>
          <w:jc w:val="center"/>
        </w:trPr>
        <w:tc>
          <w:tcPr>
            <w:tcW w:w="1242" w:type="dxa"/>
            <w:tcBorders>
              <w:top w:val="single" w:sz="4" w:space="0" w:color="auto"/>
              <w:bottom w:val="single" w:sz="4" w:space="0" w:color="auto"/>
            </w:tcBorders>
            <w:shd w:val="clear" w:color="auto" w:fill="auto"/>
            <w:noWrap/>
            <w:vAlign w:val="center"/>
            <w:hideMark/>
          </w:tcPr>
          <w:p w:rsidR="00A35CA0" w:rsidRDefault="00480721"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8A24F9" w:rsidRPr="00B82B03">
              <w:rPr>
                <w:rFonts w:eastAsia="Times New Roman"/>
                <w:b/>
                <w:bCs/>
                <w:color w:val="000000"/>
                <w:lang w:val="en-GB" w:eastAsia="en-GB"/>
              </w:rPr>
              <w:t>keletal region</w:t>
            </w:r>
          </w:p>
        </w:tc>
        <w:tc>
          <w:tcPr>
            <w:tcW w:w="2911" w:type="dxa"/>
            <w:tcBorders>
              <w:top w:val="single" w:sz="4" w:space="0" w:color="auto"/>
              <w:bottom w:val="single" w:sz="4" w:space="0" w:color="auto"/>
            </w:tcBorders>
            <w:shd w:val="clear" w:color="auto" w:fill="auto"/>
            <w:noWrap/>
            <w:vAlign w:val="center"/>
            <w:hideMark/>
          </w:tcPr>
          <w:p w:rsidR="00A35CA0" w:rsidRDefault="00480721"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e</w:t>
            </w:r>
            <w:r w:rsidR="008A24F9" w:rsidRPr="00B82B03">
              <w:rPr>
                <w:rFonts w:eastAsia="Times New Roman"/>
                <w:b/>
                <w:bCs/>
                <w:color w:val="000000"/>
                <w:lang w:val="en-GB" w:eastAsia="en-GB"/>
              </w:rPr>
              <w:t>piphyseal fusion site</w:t>
            </w:r>
          </w:p>
        </w:tc>
        <w:tc>
          <w:tcPr>
            <w:tcW w:w="954" w:type="dxa"/>
            <w:tcBorders>
              <w:top w:val="single" w:sz="4" w:space="0" w:color="auto"/>
              <w:bottom w:val="single" w:sz="4" w:space="0" w:color="auto"/>
            </w:tcBorders>
            <w:shd w:val="clear" w:color="auto" w:fill="auto"/>
            <w:noWrap/>
            <w:vAlign w:val="center"/>
            <w:hideMark/>
          </w:tcPr>
          <w:p w:rsidR="00A35CA0" w:rsidRPr="00480721" w:rsidRDefault="008A24F9" w:rsidP="00CA5FBB">
            <w:pPr>
              <w:spacing w:before="0" w:line="240" w:lineRule="auto"/>
              <w:jc w:val="center"/>
              <w:rPr>
                <w:rFonts w:eastAsia="Times New Roman"/>
                <w:b/>
                <w:bCs/>
                <w:i/>
                <w:color w:val="000000"/>
                <w:lang w:val="en-GB" w:eastAsia="en-GB"/>
              </w:rPr>
            </w:pPr>
            <w:r w:rsidRPr="00480721">
              <w:rPr>
                <w:rFonts w:eastAsia="Times New Roman"/>
                <w:b/>
                <w:bCs/>
                <w:i/>
                <w:color w:val="000000"/>
                <w:lang w:val="en-GB" w:eastAsia="en-GB"/>
              </w:rPr>
              <w:t>N</w:t>
            </w:r>
          </w:p>
        </w:tc>
        <w:tc>
          <w:tcPr>
            <w:tcW w:w="1485" w:type="dxa"/>
            <w:tcBorders>
              <w:top w:val="single" w:sz="4" w:space="0" w:color="auto"/>
              <w:bottom w:val="single" w:sz="4" w:space="0" w:color="auto"/>
            </w:tcBorders>
            <w:shd w:val="clear" w:color="auto" w:fill="auto"/>
            <w:noWrap/>
            <w:vAlign w:val="center"/>
            <w:hideMark/>
          </w:tcPr>
          <w:p w:rsidR="00A35CA0" w:rsidRDefault="00480721"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8A24F9" w:rsidRPr="00B82B03">
              <w:rPr>
                <w:rFonts w:eastAsia="Times New Roman"/>
                <w:b/>
                <w:bCs/>
                <w:color w:val="000000"/>
                <w:lang w:val="en-GB" w:eastAsia="en-GB"/>
              </w:rPr>
              <w:t>edian</w:t>
            </w:r>
          </w:p>
          <w:p w:rsidR="00A35CA0" w:rsidRDefault="008A24F9"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dental score</w:t>
            </w:r>
          </w:p>
        </w:tc>
        <w:tc>
          <w:tcPr>
            <w:tcW w:w="1388" w:type="dxa"/>
            <w:tcBorders>
              <w:top w:val="single" w:sz="4" w:space="0" w:color="auto"/>
              <w:bottom w:val="single" w:sz="4" w:space="0" w:color="auto"/>
            </w:tcBorders>
            <w:shd w:val="clear" w:color="auto" w:fill="auto"/>
            <w:noWrap/>
            <w:vAlign w:val="center"/>
            <w:hideMark/>
          </w:tcPr>
          <w:p w:rsidR="00A35CA0" w:rsidRDefault="00480721"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8A24F9" w:rsidRPr="00B82B03">
              <w:rPr>
                <w:rFonts w:eastAsia="Times New Roman"/>
                <w:b/>
                <w:bCs/>
                <w:color w:val="000000"/>
                <w:lang w:val="en-GB" w:eastAsia="en-GB"/>
              </w:rPr>
              <w:t>inimum</w:t>
            </w:r>
            <w:r w:rsidR="008A24F9">
              <w:rPr>
                <w:rFonts w:eastAsia="Times New Roman"/>
                <w:b/>
                <w:bCs/>
                <w:color w:val="000000"/>
                <w:lang w:val="en-GB" w:eastAsia="en-GB"/>
              </w:rPr>
              <w:t xml:space="preserve"> dental score</w:t>
            </w:r>
          </w:p>
        </w:tc>
        <w:tc>
          <w:tcPr>
            <w:tcW w:w="1638" w:type="dxa"/>
            <w:tcBorders>
              <w:top w:val="single" w:sz="4" w:space="0" w:color="auto"/>
              <w:bottom w:val="single" w:sz="4" w:space="0" w:color="auto"/>
            </w:tcBorders>
            <w:shd w:val="clear" w:color="auto" w:fill="auto"/>
            <w:noWrap/>
            <w:vAlign w:val="center"/>
            <w:hideMark/>
          </w:tcPr>
          <w:p w:rsidR="00A35CA0" w:rsidRDefault="00480721"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8A24F9" w:rsidRPr="00B82B03">
              <w:rPr>
                <w:rFonts w:eastAsia="Times New Roman"/>
                <w:b/>
                <w:bCs/>
                <w:color w:val="000000"/>
                <w:lang w:val="en-GB" w:eastAsia="en-GB"/>
              </w:rPr>
              <w:t>aximum</w:t>
            </w:r>
            <w:r w:rsidR="008A24F9">
              <w:rPr>
                <w:rFonts w:eastAsia="Times New Roman"/>
                <w:b/>
                <w:bCs/>
                <w:color w:val="000000"/>
                <w:lang w:val="en-GB" w:eastAsia="en-GB"/>
              </w:rPr>
              <w:t xml:space="preserve"> dental score</w:t>
            </w:r>
          </w:p>
        </w:tc>
      </w:tr>
      <w:tr w:rsidR="00960ECB" w:rsidRPr="00B82B03" w:rsidTr="00480721">
        <w:trPr>
          <w:trHeight w:val="300"/>
          <w:jc w:val="center"/>
        </w:trPr>
        <w:tc>
          <w:tcPr>
            <w:tcW w:w="1242" w:type="dxa"/>
            <w:vMerge w:val="restart"/>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lang w:val="en-GB" w:eastAsia="en-GB"/>
              </w:rPr>
            </w:pPr>
            <w:r w:rsidRPr="00B82B03">
              <w:rPr>
                <w:rFonts w:eastAsia="Times New Roman"/>
                <w:color w:val="000000"/>
                <w:lang w:val="en-GB" w:eastAsia="en-GB"/>
              </w:rPr>
              <w:t>upper limb</w:t>
            </w:r>
          </w:p>
        </w:tc>
        <w:tc>
          <w:tcPr>
            <w:tcW w:w="2911"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proximal humerus</w:t>
            </w:r>
          </w:p>
        </w:tc>
        <w:tc>
          <w:tcPr>
            <w:tcW w:w="954"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19</w:t>
            </w:r>
          </w:p>
        </w:tc>
        <w:tc>
          <w:tcPr>
            <w:tcW w:w="1485"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c>
          <w:tcPr>
            <w:tcW w:w="138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47</w:t>
            </w:r>
          </w:p>
        </w:tc>
        <w:tc>
          <w:tcPr>
            <w:tcW w:w="163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8</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48</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41</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AA6F1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960ECB" w:rsidRPr="00B82B03">
              <w:rPr>
                <w:rFonts w:eastAsia="Times New Roman"/>
                <w:color w:val="000000"/>
                <w:lang w:val="en-GB" w:eastAsia="en-GB"/>
              </w:rPr>
              <w:t>medial epicondyle</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8</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55</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48</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proximal radius</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11</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63</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43</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distal radius</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16</w:t>
            </w:r>
          </w:p>
        </w:tc>
        <w:tc>
          <w:tcPr>
            <w:tcW w:w="1485" w:type="dxa"/>
            <w:shd w:val="clear" w:color="auto" w:fill="auto"/>
            <w:noWrap/>
            <w:vAlign w:val="center"/>
            <w:hideMark/>
          </w:tcPr>
          <w:p w:rsidR="00A35CA0" w:rsidRDefault="00960ECB" w:rsidP="00CA5FBB">
            <w:pPr>
              <w:spacing w:before="0" w:line="240" w:lineRule="auto"/>
              <w:jc w:val="center"/>
              <w:rPr>
                <w:rFonts w:eastAsia="Times New Roman"/>
                <w:b/>
                <w:bCs/>
                <w:color w:val="000000"/>
                <w:sz w:val="24"/>
                <w:szCs w:val="24"/>
                <w:lang w:val="en-GB" w:eastAsia="en-GB"/>
              </w:rPr>
            </w:pPr>
            <w:r w:rsidRPr="00B82B03">
              <w:rPr>
                <w:rFonts w:eastAsia="Times New Roman"/>
                <w:b/>
                <w:bCs/>
                <w:color w:val="000000"/>
                <w:lang w:val="en-GB" w:eastAsia="en-GB"/>
              </w:rPr>
              <w:t>64</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57</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proximal ulna</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56</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48</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r>
      <w:tr w:rsidR="00960ECB" w:rsidRPr="00B82B03" w:rsidTr="00480721">
        <w:trPr>
          <w:trHeight w:val="300"/>
          <w:jc w:val="center"/>
        </w:trPr>
        <w:tc>
          <w:tcPr>
            <w:tcW w:w="1242"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distal ulna</w:t>
            </w:r>
          </w:p>
        </w:tc>
        <w:tc>
          <w:tcPr>
            <w:tcW w:w="954"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14</w:t>
            </w:r>
          </w:p>
        </w:tc>
        <w:tc>
          <w:tcPr>
            <w:tcW w:w="1485"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b/>
                <w:bCs/>
                <w:color w:val="000000"/>
                <w:sz w:val="24"/>
                <w:szCs w:val="24"/>
                <w:lang w:val="en-GB" w:eastAsia="en-GB"/>
              </w:rPr>
            </w:pPr>
            <w:r w:rsidRPr="00B82B03">
              <w:rPr>
                <w:rFonts w:eastAsia="Times New Roman"/>
                <w:b/>
                <w:bCs/>
                <w:color w:val="000000"/>
                <w:lang w:val="en-GB" w:eastAsia="en-GB"/>
              </w:rPr>
              <w:t>64</w:t>
            </w:r>
          </w:p>
        </w:tc>
        <w:tc>
          <w:tcPr>
            <w:tcW w:w="138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57</w:t>
            </w:r>
          </w:p>
        </w:tc>
        <w:tc>
          <w:tcPr>
            <w:tcW w:w="163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val="restart"/>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hand</w:t>
            </w:r>
          </w:p>
        </w:tc>
        <w:tc>
          <w:tcPr>
            <w:tcW w:w="2911"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distal phalanges (hand)</w:t>
            </w:r>
          </w:p>
        </w:tc>
        <w:tc>
          <w:tcPr>
            <w:tcW w:w="954"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2</w:t>
            </w:r>
          </w:p>
        </w:tc>
        <w:tc>
          <w:tcPr>
            <w:tcW w:w="1485"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50</w:t>
            </w:r>
          </w:p>
        </w:tc>
        <w:tc>
          <w:tcPr>
            <w:tcW w:w="138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48</w:t>
            </w:r>
          </w:p>
        </w:tc>
        <w:tc>
          <w:tcPr>
            <w:tcW w:w="163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52</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base of metacarpal 1</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7</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61</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43</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proximal and middle phalanges (hand)</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10</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60.5</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43</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metacarpal heads 2-5</w:t>
            </w:r>
          </w:p>
        </w:tc>
        <w:tc>
          <w:tcPr>
            <w:tcW w:w="954"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7</w:t>
            </w:r>
          </w:p>
        </w:tc>
        <w:tc>
          <w:tcPr>
            <w:tcW w:w="1485"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c>
          <w:tcPr>
            <w:tcW w:w="138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63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val="restart"/>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lower limb</w:t>
            </w:r>
          </w:p>
        </w:tc>
        <w:tc>
          <w:tcPr>
            <w:tcW w:w="2911"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femoral head</w:t>
            </w:r>
          </w:p>
        </w:tc>
        <w:tc>
          <w:tcPr>
            <w:tcW w:w="954"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10</w:t>
            </w:r>
          </w:p>
        </w:tc>
        <w:tc>
          <w:tcPr>
            <w:tcW w:w="1485"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c>
          <w:tcPr>
            <w:tcW w:w="138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56</w:t>
            </w:r>
          </w:p>
        </w:tc>
        <w:tc>
          <w:tcPr>
            <w:tcW w:w="163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greater trochanter</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10</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61.5</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43</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lesser trochanter</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61</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distal femur</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19</w:t>
            </w:r>
          </w:p>
        </w:tc>
        <w:tc>
          <w:tcPr>
            <w:tcW w:w="1485" w:type="dxa"/>
            <w:shd w:val="clear" w:color="auto" w:fill="auto"/>
            <w:noWrap/>
            <w:vAlign w:val="center"/>
            <w:hideMark/>
          </w:tcPr>
          <w:p w:rsidR="00A35CA0" w:rsidRDefault="00960ECB" w:rsidP="00CA5FBB">
            <w:pPr>
              <w:spacing w:before="0" w:line="240" w:lineRule="auto"/>
              <w:jc w:val="center"/>
              <w:rPr>
                <w:rFonts w:eastAsia="Times New Roman"/>
                <w:b/>
                <w:bCs/>
                <w:color w:val="000000"/>
                <w:sz w:val="24"/>
                <w:szCs w:val="24"/>
                <w:lang w:val="en-GB" w:eastAsia="en-GB"/>
              </w:rPr>
            </w:pPr>
            <w:r w:rsidRPr="00B82B03">
              <w:rPr>
                <w:rFonts w:eastAsia="Times New Roman"/>
                <w:b/>
                <w:bCs/>
                <w:color w:val="000000"/>
                <w:lang w:val="en-GB" w:eastAsia="en-GB"/>
              </w:rPr>
              <w:t>64</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proximal tibia</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20</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63.5</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distal tibia</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12</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62.5</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proximal fibula</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14</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63</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distal fibula</w:t>
            </w:r>
          </w:p>
        </w:tc>
        <w:tc>
          <w:tcPr>
            <w:tcW w:w="954"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9</w:t>
            </w:r>
          </w:p>
        </w:tc>
        <w:tc>
          <w:tcPr>
            <w:tcW w:w="1485"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63</w:t>
            </w:r>
          </w:p>
        </w:tc>
        <w:tc>
          <w:tcPr>
            <w:tcW w:w="138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63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val="restart"/>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foot</w:t>
            </w:r>
          </w:p>
        </w:tc>
        <w:tc>
          <w:tcPr>
            <w:tcW w:w="2911"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calcaneus</w:t>
            </w:r>
          </w:p>
        </w:tc>
        <w:tc>
          <w:tcPr>
            <w:tcW w:w="954"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7</w:t>
            </w:r>
          </w:p>
        </w:tc>
        <w:tc>
          <w:tcPr>
            <w:tcW w:w="1485"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38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56</w:t>
            </w:r>
          </w:p>
        </w:tc>
        <w:tc>
          <w:tcPr>
            <w:tcW w:w="163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talus</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2</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57</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52</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distal phalanges (foot)</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11</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43</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middle phalanges (foot)</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10</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43</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metatarsal heads (2-5)</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13</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43</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base of metatarsal 1</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8</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62.5</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56</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proximal phalanges (foot)</w:t>
            </w:r>
          </w:p>
        </w:tc>
        <w:tc>
          <w:tcPr>
            <w:tcW w:w="954"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8</w:t>
            </w:r>
          </w:p>
        </w:tc>
        <w:tc>
          <w:tcPr>
            <w:tcW w:w="1485"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61.5</w:t>
            </w:r>
          </w:p>
        </w:tc>
        <w:tc>
          <w:tcPr>
            <w:tcW w:w="138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43</w:t>
            </w:r>
          </w:p>
        </w:tc>
        <w:tc>
          <w:tcPr>
            <w:tcW w:w="163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val="restart"/>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pelvis</w:t>
            </w:r>
          </w:p>
        </w:tc>
        <w:tc>
          <w:tcPr>
            <w:tcW w:w="2911"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triradiate</w:t>
            </w:r>
          </w:p>
        </w:tc>
        <w:tc>
          <w:tcPr>
            <w:tcW w:w="954"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8</w:t>
            </w:r>
          </w:p>
        </w:tc>
        <w:tc>
          <w:tcPr>
            <w:tcW w:w="1485"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56.5</w:t>
            </w:r>
          </w:p>
        </w:tc>
        <w:tc>
          <w:tcPr>
            <w:tcW w:w="138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10</w:t>
            </w:r>
          </w:p>
        </w:tc>
        <w:tc>
          <w:tcPr>
            <w:tcW w:w="163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anterior inferior iliac spine</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55</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55</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55</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iliac crest</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18</w:t>
            </w:r>
          </w:p>
        </w:tc>
        <w:tc>
          <w:tcPr>
            <w:tcW w:w="1485" w:type="dxa"/>
            <w:shd w:val="clear" w:color="auto" w:fill="auto"/>
            <w:noWrap/>
            <w:vAlign w:val="center"/>
            <w:hideMark/>
          </w:tcPr>
          <w:p w:rsidR="00A35CA0" w:rsidRDefault="00960ECB" w:rsidP="00CA5FBB">
            <w:pPr>
              <w:spacing w:before="0" w:line="240" w:lineRule="auto"/>
              <w:jc w:val="center"/>
              <w:rPr>
                <w:rFonts w:eastAsia="Times New Roman"/>
                <w:b/>
                <w:bCs/>
                <w:color w:val="000000"/>
                <w:sz w:val="24"/>
                <w:szCs w:val="24"/>
                <w:lang w:val="en-GB" w:eastAsia="en-GB"/>
              </w:rPr>
            </w:pPr>
            <w:r w:rsidRPr="00B82B03">
              <w:rPr>
                <w:rFonts w:eastAsia="Times New Roman"/>
                <w:b/>
                <w:bCs/>
                <w:color w:val="000000"/>
                <w:lang w:val="en-GB" w:eastAsia="en-GB"/>
              </w:rPr>
              <w:t>64</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ischia</w:t>
            </w:r>
            <w:r w:rsidR="005E68FE">
              <w:rPr>
                <w:rFonts w:eastAsia="Times New Roman"/>
                <w:color w:val="000000"/>
                <w:lang w:val="en-GB" w:eastAsia="en-GB"/>
              </w:rPr>
              <w:t>l</w:t>
            </w:r>
            <w:r w:rsidRPr="00B82B03">
              <w:rPr>
                <w:rFonts w:eastAsia="Times New Roman"/>
                <w:color w:val="000000"/>
                <w:lang w:val="en-GB" w:eastAsia="en-GB"/>
              </w:rPr>
              <w:t xml:space="preserve"> epiphysis</w:t>
            </w:r>
          </w:p>
        </w:tc>
        <w:tc>
          <w:tcPr>
            <w:tcW w:w="954"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16</w:t>
            </w:r>
          </w:p>
        </w:tc>
        <w:tc>
          <w:tcPr>
            <w:tcW w:w="1485"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b/>
                <w:bCs/>
                <w:color w:val="000000"/>
                <w:sz w:val="24"/>
                <w:szCs w:val="24"/>
                <w:lang w:val="en-GB" w:eastAsia="en-GB"/>
              </w:rPr>
            </w:pPr>
            <w:r w:rsidRPr="00B82B03">
              <w:rPr>
                <w:rFonts w:eastAsia="Times New Roman"/>
                <w:b/>
                <w:bCs/>
                <w:color w:val="000000"/>
                <w:lang w:val="en-GB" w:eastAsia="en-GB"/>
              </w:rPr>
              <w:t>64</w:t>
            </w:r>
          </w:p>
        </w:tc>
        <w:tc>
          <w:tcPr>
            <w:tcW w:w="138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c>
          <w:tcPr>
            <w:tcW w:w="163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val="restart"/>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clavicle</w:t>
            </w:r>
          </w:p>
        </w:tc>
        <w:tc>
          <w:tcPr>
            <w:tcW w:w="2911"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medial clavicle</w:t>
            </w:r>
          </w:p>
        </w:tc>
        <w:tc>
          <w:tcPr>
            <w:tcW w:w="954"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7</w:t>
            </w:r>
          </w:p>
        </w:tc>
        <w:tc>
          <w:tcPr>
            <w:tcW w:w="1485"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b/>
                <w:bCs/>
                <w:color w:val="000000"/>
                <w:sz w:val="24"/>
                <w:szCs w:val="24"/>
                <w:lang w:val="en-GB" w:eastAsia="en-GB"/>
              </w:rPr>
            </w:pPr>
            <w:r w:rsidRPr="00B82B03">
              <w:rPr>
                <w:rFonts w:eastAsia="Times New Roman"/>
                <w:b/>
                <w:bCs/>
                <w:color w:val="000000"/>
                <w:lang w:val="en-GB" w:eastAsia="en-GB"/>
              </w:rPr>
              <w:t>64</w:t>
            </w:r>
          </w:p>
        </w:tc>
        <w:tc>
          <w:tcPr>
            <w:tcW w:w="138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56</w:t>
            </w:r>
          </w:p>
        </w:tc>
        <w:tc>
          <w:tcPr>
            <w:tcW w:w="163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lateral clavicle</w:t>
            </w:r>
          </w:p>
        </w:tc>
        <w:tc>
          <w:tcPr>
            <w:tcW w:w="954"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w:t>
            </w:r>
          </w:p>
        </w:tc>
        <w:tc>
          <w:tcPr>
            <w:tcW w:w="1485"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59</w:t>
            </w:r>
          </w:p>
        </w:tc>
        <w:tc>
          <w:tcPr>
            <w:tcW w:w="138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55</w:t>
            </w:r>
          </w:p>
        </w:tc>
        <w:tc>
          <w:tcPr>
            <w:tcW w:w="1638" w:type="dxa"/>
            <w:tcBorders>
              <w:bottom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val="restart"/>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scapula</w:t>
            </w:r>
          </w:p>
        </w:tc>
        <w:tc>
          <w:tcPr>
            <w:tcW w:w="2911"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coracoid</w:t>
            </w:r>
          </w:p>
        </w:tc>
        <w:tc>
          <w:tcPr>
            <w:tcW w:w="954"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9</w:t>
            </w:r>
          </w:p>
        </w:tc>
        <w:tc>
          <w:tcPr>
            <w:tcW w:w="1485"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58</w:t>
            </w:r>
          </w:p>
        </w:tc>
        <w:tc>
          <w:tcPr>
            <w:tcW w:w="138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45</w:t>
            </w:r>
          </w:p>
        </w:tc>
        <w:tc>
          <w:tcPr>
            <w:tcW w:w="1638" w:type="dxa"/>
            <w:tcBorders>
              <w:top w:val="single" w:sz="4" w:space="0" w:color="auto"/>
            </w:tcBorders>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sub-coracoid and glenoid</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w:t>
            </w:r>
          </w:p>
        </w:tc>
        <w:tc>
          <w:tcPr>
            <w:tcW w:w="1485"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50</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19</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60</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acromium</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16</w:t>
            </w:r>
          </w:p>
        </w:tc>
        <w:tc>
          <w:tcPr>
            <w:tcW w:w="1485" w:type="dxa"/>
            <w:shd w:val="clear" w:color="auto" w:fill="auto"/>
            <w:noWrap/>
            <w:vAlign w:val="center"/>
            <w:hideMark/>
          </w:tcPr>
          <w:p w:rsidR="00A35CA0" w:rsidRDefault="00960ECB" w:rsidP="00CA5FBB">
            <w:pPr>
              <w:spacing w:before="0" w:line="240" w:lineRule="auto"/>
              <w:jc w:val="center"/>
              <w:rPr>
                <w:rFonts w:eastAsia="Times New Roman"/>
                <w:b/>
                <w:bCs/>
                <w:color w:val="000000"/>
                <w:sz w:val="24"/>
                <w:szCs w:val="24"/>
                <w:lang w:val="en-GB" w:eastAsia="en-GB"/>
              </w:rPr>
            </w:pPr>
            <w:r w:rsidRPr="00B82B03">
              <w:rPr>
                <w:rFonts w:eastAsia="Times New Roman"/>
                <w:b/>
                <w:bCs/>
                <w:color w:val="000000"/>
                <w:lang w:val="en-GB" w:eastAsia="en-GB"/>
              </w:rPr>
              <w:t>64</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57</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r w:rsidR="00960ECB" w:rsidRPr="00B82B03" w:rsidTr="00480721">
        <w:trPr>
          <w:trHeight w:val="300"/>
          <w:jc w:val="center"/>
        </w:trPr>
        <w:tc>
          <w:tcPr>
            <w:tcW w:w="1242"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911"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medial border</w:t>
            </w:r>
          </w:p>
        </w:tc>
        <w:tc>
          <w:tcPr>
            <w:tcW w:w="954"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8</w:t>
            </w:r>
          </w:p>
        </w:tc>
        <w:tc>
          <w:tcPr>
            <w:tcW w:w="1485" w:type="dxa"/>
            <w:shd w:val="clear" w:color="auto" w:fill="auto"/>
            <w:noWrap/>
            <w:vAlign w:val="center"/>
            <w:hideMark/>
          </w:tcPr>
          <w:p w:rsidR="00A35CA0" w:rsidRDefault="00960ECB" w:rsidP="00CA5FBB">
            <w:pPr>
              <w:spacing w:before="0" w:line="240" w:lineRule="auto"/>
              <w:jc w:val="center"/>
              <w:rPr>
                <w:rFonts w:eastAsia="Times New Roman"/>
                <w:b/>
                <w:bCs/>
                <w:color w:val="000000"/>
                <w:sz w:val="24"/>
                <w:szCs w:val="24"/>
                <w:lang w:val="en-GB" w:eastAsia="en-GB"/>
              </w:rPr>
            </w:pPr>
            <w:r w:rsidRPr="00B82B03">
              <w:rPr>
                <w:rFonts w:eastAsia="Times New Roman"/>
                <w:b/>
                <w:bCs/>
                <w:color w:val="000000"/>
                <w:lang w:val="en-GB" w:eastAsia="en-GB"/>
              </w:rPr>
              <w:t>64</w:t>
            </w:r>
          </w:p>
        </w:tc>
        <w:tc>
          <w:tcPr>
            <w:tcW w:w="138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62</w:t>
            </w:r>
          </w:p>
        </w:tc>
        <w:tc>
          <w:tcPr>
            <w:tcW w:w="1638" w:type="dxa"/>
            <w:shd w:val="clear" w:color="auto" w:fill="auto"/>
            <w:noWrap/>
            <w:vAlign w:val="center"/>
            <w:hideMark/>
          </w:tcPr>
          <w:p w:rsidR="00A35CA0" w:rsidRDefault="00960ECB" w:rsidP="00CA5FBB">
            <w:pPr>
              <w:spacing w:before="0" w:line="240" w:lineRule="auto"/>
              <w:jc w:val="center"/>
              <w:rPr>
                <w:rFonts w:eastAsia="Times New Roman"/>
                <w:color w:val="000000"/>
                <w:sz w:val="24"/>
                <w:szCs w:val="24"/>
                <w:lang w:val="en-GB" w:eastAsia="en-GB"/>
              </w:rPr>
            </w:pPr>
            <w:r w:rsidRPr="00B82B03">
              <w:rPr>
                <w:rFonts w:eastAsia="Times New Roman"/>
                <w:color w:val="000000"/>
                <w:lang w:val="en-GB" w:eastAsia="en-GB"/>
              </w:rPr>
              <w:t>64</w:t>
            </w:r>
          </w:p>
        </w:tc>
      </w:tr>
    </w:tbl>
    <w:p w:rsidR="00C97871" w:rsidRDefault="00C97871" w:rsidP="00C97871">
      <w:pPr>
        <w:rPr>
          <w:szCs w:val="18"/>
        </w:rPr>
      </w:pPr>
      <w:r>
        <w:br w:type="page"/>
      </w:r>
    </w:p>
    <w:p w:rsidR="008A24F9" w:rsidRPr="004B79CE" w:rsidRDefault="00014602" w:rsidP="00014602">
      <w:pPr>
        <w:pStyle w:val="Caption"/>
        <w:rPr>
          <w:noProof/>
        </w:rPr>
      </w:pPr>
      <w:bookmarkStart w:id="483" w:name="_Toc373180149"/>
      <w:proofErr w:type="gramStart"/>
      <w:r w:rsidRPr="00014602">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5</w:t>
      </w:r>
      <w:r w:rsidR="008943E4">
        <w:rPr>
          <w:b/>
        </w:rPr>
        <w:fldChar w:fldCharType="end"/>
      </w:r>
      <w:r>
        <w:t xml:space="preserve"> </w:t>
      </w:r>
      <w:r w:rsidR="008A24F9">
        <w:rPr>
          <w:noProof/>
        </w:rPr>
        <w:t xml:space="preserve">Median values and ranges of fusion for all complete fusion epiphyses in </w:t>
      </w:r>
      <w:r w:rsidR="008A24F9">
        <w:rPr>
          <w:i/>
          <w:noProof/>
        </w:rPr>
        <w:t>Pan troglodytes</w:t>
      </w:r>
      <w:r w:rsidR="008A24F9">
        <w:rPr>
          <w:noProof/>
        </w:rPr>
        <w:t xml:space="preserve"> females.</w:t>
      </w:r>
      <w:bookmarkEnd w:id="483"/>
    </w:p>
    <w:tbl>
      <w:tblPr>
        <w:tblW w:w="9755" w:type="dxa"/>
        <w:jc w:val="center"/>
        <w:tblInd w:w="-318" w:type="dxa"/>
        <w:tblBorders>
          <w:top w:val="single" w:sz="4" w:space="0" w:color="auto"/>
          <w:bottom w:val="single" w:sz="4" w:space="0" w:color="auto"/>
        </w:tblBorders>
        <w:tblLook w:val="04A0" w:firstRow="1" w:lastRow="0" w:firstColumn="1" w:lastColumn="0" w:noHBand="0" w:noVBand="1"/>
      </w:tblPr>
      <w:tblGrid>
        <w:gridCol w:w="1401"/>
        <w:gridCol w:w="2744"/>
        <w:gridCol w:w="1134"/>
        <w:gridCol w:w="1469"/>
        <w:gridCol w:w="1432"/>
        <w:gridCol w:w="1575"/>
      </w:tblGrid>
      <w:tr w:rsidR="008A24F9" w:rsidRPr="001A577D" w:rsidTr="005E68FE">
        <w:trPr>
          <w:trHeight w:val="300"/>
          <w:jc w:val="center"/>
        </w:trPr>
        <w:tc>
          <w:tcPr>
            <w:tcW w:w="1401" w:type="dxa"/>
            <w:tcBorders>
              <w:top w:val="single" w:sz="4" w:space="0" w:color="auto"/>
              <w:bottom w:val="single" w:sz="4" w:space="0" w:color="auto"/>
            </w:tcBorders>
            <w:shd w:val="clear" w:color="auto" w:fill="auto"/>
            <w:noWrap/>
            <w:vAlign w:val="center"/>
            <w:hideMark/>
          </w:tcPr>
          <w:p w:rsidR="00A35CA0" w:rsidRDefault="005E68FE"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8A24F9" w:rsidRPr="001A577D">
              <w:rPr>
                <w:rFonts w:eastAsia="Times New Roman"/>
                <w:b/>
                <w:bCs/>
                <w:color w:val="000000"/>
                <w:lang w:val="en-GB" w:eastAsia="en-GB"/>
              </w:rPr>
              <w:t>keletal region</w:t>
            </w:r>
          </w:p>
        </w:tc>
        <w:tc>
          <w:tcPr>
            <w:tcW w:w="2744" w:type="dxa"/>
            <w:tcBorders>
              <w:top w:val="single" w:sz="4" w:space="0" w:color="auto"/>
              <w:bottom w:val="single" w:sz="4" w:space="0" w:color="auto"/>
            </w:tcBorders>
            <w:shd w:val="clear" w:color="auto" w:fill="auto"/>
            <w:noWrap/>
            <w:vAlign w:val="center"/>
            <w:hideMark/>
          </w:tcPr>
          <w:p w:rsidR="00A35CA0" w:rsidRDefault="005E68FE"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e</w:t>
            </w:r>
            <w:r w:rsidR="008A24F9" w:rsidRPr="001A577D">
              <w:rPr>
                <w:rFonts w:eastAsia="Times New Roman"/>
                <w:b/>
                <w:bCs/>
                <w:color w:val="000000"/>
                <w:lang w:val="en-GB" w:eastAsia="en-GB"/>
              </w:rPr>
              <w:t>piphyseal fusion site</w:t>
            </w:r>
          </w:p>
        </w:tc>
        <w:tc>
          <w:tcPr>
            <w:tcW w:w="1134" w:type="dxa"/>
            <w:tcBorders>
              <w:top w:val="single" w:sz="4" w:space="0" w:color="auto"/>
              <w:bottom w:val="single" w:sz="4" w:space="0" w:color="auto"/>
            </w:tcBorders>
            <w:shd w:val="clear" w:color="auto" w:fill="auto"/>
            <w:noWrap/>
            <w:vAlign w:val="center"/>
            <w:hideMark/>
          </w:tcPr>
          <w:p w:rsidR="00A35CA0" w:rsidRPr="005E68FE" w:rsidRDefault="008A24F9" w:rsidP="00CA5FBB">
            <w:pPr>
              <w:spacing w:before="0" w:line="240" w:lineRule="auto"/>
              <w:jc w:val="center"/>
              <w:rPr>
                <w:rFonts w:eastAsia="Times New Roman"/>
                <w:b/>
                <w:bCs/>
                <w:i/>
                <w:color w:val="000000"/>
                <w:lang w:val="en-GB" w:eastAsia="en-GB"/>
              </w:rPr>
            </w:pPr>
            <w:r w:rsidRPr="005E68FE">
              <w:rPr>
                <w:rFonts w:eastAsia="Times New Roman"/>
                <w:b/>
                <w:bCs/>
                <w:i/>
                <w:color w:val="000000"/>
                <w:lang w:val="en-GB" w:eastAsia="en-GB"/>
              </w:rPr>
              <w:t>N</w:t>
            </w:r>
          </w:p>
        </w:tc>
        <w:tc>
          <w:tcPr>
            <w:tcW w:w="1469" w:type="dxa"/>
            <w:tcBorders>
              <w:top w:val="single" w:sz="4" w:space="0" w:color="auto"/>
              <w:bottom w:val="single" w:sz="4" w:space="0" w:color="auto"/>
            </w:tcBorders>
            <w:shd w:val="clear" w:color="auto" w:fill="auto"/>
            <w:noWrap/>
            <w:vAlign w:val="center"/>
            <w:hideMark/>
          </w:tcPr>
          <w:p w:rsidR="00A35CA0" w:rsidRDefault="005E68FE"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8A24F9" w:rsidRPr="001A577D">
              <w:rPr>
                <w:rFonts w:eastAsia="Times New Roman"/>
                <w:b/>
                <w:bCs/>
                <w:color w:val="000000"/>
                <w:lang w:val="en-GB" w:eastAsia="en-GB"/>
              </w:rPr>
              <w:t>edian dental score</w:t>
            </w:r>
          </w:p>
        </w:tc>
        <w:tc>
          <w:tcPr>
            <w:tcW w:w="1432" w:type="dxa"/>
            <w:tcBorders>
              <w:top w:val="single" w:sz="4" w:space="0" w:color="auto"/>
              <w:bottom w:val="single" w:sz="4" w:space="0" w:color="auto"/>
            </w:tcBorders>
            <w:shd w:val="clear" w:color="auto" w:fill="auto"/>
            <w:noWrap/>
            <w:vAlign w:val="center"/>
            <w:hideMark/>
          </w:tcPr>
          <w:p w:rsidR="00A35CA0" w:rsidRDefault="005E68FE"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8A24F9" w:rsidRPr="001A577D">
              <w:rPr>
                <w:rFonts w:eastAsia="Times New Roman"/>
                <w:b/>
                <w:bCs/>
                <w:color w:val="000000"/>
                <w:lang w:val="en-GB" w:eastAsia="en-GB"/>
              </w:rPr>
              <w:t>inimum dental score</w:t>
            </w:r>
          </w:p>
        </w:tc>
        <w:tc>
          <w:tcPr>
            <w:tcW w:w="1575" w:type="dxa"/>
            <w:tcBorders>
              <w:top w:val="single" w:sz="4" w:space="0" w:color="auto"/>
              <w:bottom w:val="single" w:sz="4" w:space="0" w:color="auto"/>
            </w:tcBorders>
            <w:shd w:val="clear" w:color="auto" w:fill="auto"/>
            <w:noWrap/>
            <w:vAlign w:val="center"/>
            <w:hideMark/>
          </w:tcPr>
          <w:p w:rsidR="00A35CA0" w:rsidRDefault="005E68FE"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8A24F9" w:rsidRPr="001A577D">
              <w:rPr>
                <w:rFonts w:eastAsia="Times New Roman"/>
                <w:b/>
                <w:bCs/>
                <w:color w:val="000000"/>
                <w:lang w:val="en-GB" w:eastAsia="en-GB"/>
              </w:rPr>
              <w:t>aximum dental score</w:t>
            </w:r>
          </w:p>
        </w:tc>
      </w:tr>
      <w:tr w:rsidR="00DA1B4A" w:rsidRPr="001A577D" w:rsidTr="005E68FE">
        <w:trPr>
          <w:trHeight w:val="300"/>
          <w:jc w:val="center"/>
        </w:trPr>
        <w:tc>
          <w:tcPr>
            <w:tcW w:w="1401" w:type="dxa"/>
            <w:vMerge w:val="restart"/>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lang w:val="en-GB" w:eastAsia="en-GB"/>
              </w:rPr>
            </w:pPr>
            <w:r w:rsidRPr="001A577D">
              <w:rPr>
                <w:rFonts w:eastAsia="Times New Roman"/>
                <w:color w:val="000000"/>
                <w:lang w:val="en-GB" w:eastAsia="en-GB"/>
              </w:rPr>
              <w:t>upper limb</w:t>
            </w:r>
          </w:p>
        </w:tc>
        <w:tc>
          <w:tcPr>
            <w:tcW w:w="2744"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proximal humerus</w:t>
            </w:r>
          </w:p>
        </w:tc>
        <w:tc>
          <w:tcPr>
            <w:tcW w:w="1134"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12</w:t>
            </w:r>
          </w:p>
        </w:tc>
        <w:tc>
          <w:tcPr>
            <w:tcW w:w="1469"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575"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48</w:t>
            </w:r>
          </w:p>
        </w:tc>
        <w:tc>
          <w:tcPr>
            <w:tcW w:w="1469"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63</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AA6F1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DA1B4A" w:rsidRPr="001A577D">
              <w:rPr>
                <w:rFonts w:eastAsia="Times New Roman"/>
                <w:color w:val="000000"/>
                <w:lang w:val="en-GB" w:eastAsia="en-GB"/>
              </w:rPr>
              <w:t>medial epicondyle</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42</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proximal radius</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30</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57</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distal radius</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9</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proximal ulna</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40</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distal ulna</w:t>
            </w:r>
          </w:p>
        </w:tc>
        <w:tc>
          <w:tcPr>
            <w:tcW w:w="1134"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10</w:t>
            </w:r>
          </w:p>
        </w:tc>
        <w:tc>
          <w:tcPr>
            <w:tcW w:w="1469"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575"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val="restart"/>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hand</w:t>
            </w:r>
          </w:p>
        </w:tc>
        <w:tc>
          <w:tcPr>
            <w:tcW w:w="2744"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distal phalanges (hand)</w:t>
            </w:r>
          </w:p>
        </w:tc>
        <w:tc>
          <w:tcPr>
            <w:tcW w:w="1134"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10</w:t>
            </w:r>
          </w:p>
        </w:tc>
        <w:tc>
          <w:tcPr>
            <w:tcW w:w="1469"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432"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56</w:t>
            </w:r>
          </w:p>
        </w:tc>
        <w:tc>
          <w:tcPr>
            <w:tcW w:w="1575"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base of metacarpal 1</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29</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proximal and middle phalanges (hand)</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29</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metacarpal heads 2-5</w:t>
            </w:r>
          </w:p>
        </w:tc>
        <w:tc>
          <w:tcPr>
            <w:tcW w:w="1134"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25</w:t>
            </w:r>
          </w:p>
        </w:tc>
        <w:tc>
          <w:tcPr>
            <w:tcW w:w="1469"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val="restart"/>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lower limb</w:t>
            </w:r>
          </w:p>
        </w:tc>
        <w:tc>
          <w:tcPr>
            <w:tcW w:w="2744"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femoral head</w:t>
            </w:r>
          </w:p>
        </w:tc>
        <w:tc>
          <w:tcPr>
            <w:tcW w:w="1134"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29</w:t>
            </w:r>
          </w:p>
        </w:tc>
        <w:tc>
          <w:tcPr>
            <w:tcW w:w="1469"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greater trochanter</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32</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lesser trochanter</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37</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distal femur</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12</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proximal tibia</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13</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distal tibia</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21</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proximal fibula</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16</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distal fibula</w:t>
            </w:r>
          </w:p>
        </w:tc>
        <w:tc>
          <w:tcPr>
            <w:tcW w:w="1134"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24</w:t>
            </w:r>
          </w:p>
        </w:tc>
        <w:tc>
          <w:tcPr>
            <w:tcW w:w="1469"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val="restart"/>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foot</w:t>
            </w:r>
          </w:p>
        </w:tc>
        <w:tc>
          <w:tcPr>
            <w:tcW w:w="2744"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calcaneus</w:t>
            </w:r>
          </w:p>
        </w:tc>
        <w:tc>
          <w:tcPr>
            <w:tcW w:w="1134"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35</w:t>
            </w:r>
          </w:p>
        </w:tc>
        <w:tc>
          <w:tcPr>
            <w:tcW w:w="1469"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tcBorders>
              <w:top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talus</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46</w:t>
            </w:r>
          </w:p>
        </w:tc>
        <w:tc>
          <w:tcPr>
            <w:tcW w:w="1469"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63</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33</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distal phalanges (foot)</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31</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56</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middle phalanges (foot)</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29</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metatarsal heads (2-5)</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25</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base of metatarsal 1</w:t>
            </w:r>
          </w:p>
        </w:tc>
        <w:tc>
          <w:tcPr>
            <w:tcW w:w="1134"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32</w:t>
            </w:r>
          </w:p>
        </w:tc>
        <w:tc>
          <w:tcPr>
            <w:tcW w:w="1469" w:type="dxa"/>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46</w:t>
            </w:r>
          </w:p>
        </w:tc>
        <w:tc>
          <w:tcPr>
            <w:tcW w:w="1575" w:type="dxa"/>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DA1B4A" w:rsidRPr="001A577D" w:rsidTr="005E68FE">
        <w:trPr>
          <w:trHeight w:val="300"/>
          <w:jc w:val="center"/>
        </w:trPr>
        <w:tc>
          <w:tcPr>
            <w:tcW w:w="140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proximal phalanges (foot)</w:t>
            </w:r>
          </w:p>
        </w:tc>
        <w:tc>
          <w:tcPr>
            <w:tcW w:w="1134"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27</w:t>
            </w:r>
          </w:p>
        </w:tc>
        <w:tc>
          <w:tcPr>
            <w:tcW w:w="1469"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60</w:t>
            </w:r>
          </w:p>
        </w:tc>
        <w:tc>
          <w:tcPr>
            <w:tcW w:w="1575" w:type="dxa"/>
            <w:tcBorders>
              <w:bottom w:val="single" w:sz="4" w:space="0" w:color="auto"/>
            </w:tcBorders>
            <w:shd w:val="clear" w:color="auto" w:fill="auto"/>
            <w:noWrap/>
            <w:vAlign w:val="center"/>
            <w:hideMark/>
          </w:tcPr>
          <w:p w:rsidR="00A35CA0" w:rsidRDefault="00DA1B4A"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val="restart"/>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pelvis</w:t>
            </w:r>
          </w:p>
        </w:tc>
        <w:tc>
          <w:tcPr>
            <w:tcW w:w="2744"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triradiate</w:t>
            </w:r>
          </w:p>
        </w:tc>
        <w:tc>
          <w:tcPr>
            <w:tcW w:w="1134"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39</w:t>
            </w:r>
          </w:p>
        </w:tc>
        <w:tc>
          <w:tcPr>
            <w:tcW w:w="1469"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anterior inferior iliac spine</w:t>
            </w:r>
          </w:p>
        </w:tc>
        <w:tc>
          <w:tcPr>
            <w:tcW w:w="113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40</w:t>
            </w:r>
          </w:p>
        </w:tc>
        <w:tc>
          <w:tcPr>
            <w:tcW w:w="1469" w:type="dxa"/>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iliac crest</w:t>
            </w:r>
          </w:p>
        </w:tc>
        <w:tc>
          <w:tcPr>
            <w:tcW w:w="113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0</w:t>
            </w:r>
          </w:p>
        </w:tc>
        <w:tc>
          <w:tcPr>
            <w:tcW w:w="1469"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 </w:t>
            </w:r>
            <w:r w:rsidR="005E68FE">
              <w:rPr>
                <w:rFonts w:eastAsia="Times New Roman"/>
                <w:color w:val="000000"/>
                <w:lang w:val="en-GB" w:eastAsia="en-GB"/>
              </w:rPr>
              <w:t>-</w:t>
            </w:r>
          </w:p>
        </w:tc>
        <w:tc>
          <w:tcPr>
            <w:tcW w:w="1432" w:type="dxa"/>
            <w:shd w:val="clear" w:color="auto" w:fill="auto"/>
            <w:noWrap/>
            <w:vAlign w:val="center"/>
            <w:hideMark/>
          </w:tcPr>
          <w:p w:rsidR="00A35CA0" w:rsidRDefault="005E68F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w:t>
            </w:r>
          </w:p>
        </w:tc>
        <w:tc>
          <w:tcPr>
            <w:tcW w:w="1575" w:type="dxa"/>
            <w:shd w:val="clear" w:color="auto" w:fill="auto"/>
            <w:noWrap/>
            <w:vAlign w:val="center"/>
            <w:hideMark/>
          </w:tcPr>
          <w:p w:rsidR="00A35CA0" w:rsidRDefault="005E68F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w:t>
            </w:r>
          </w:p>
        </w:tc>
      </w:tr>
      <w:tr w:rsidR="00B741F7" w:rsidRPr="001A577D" w:rsidTr="005E68FE">
        <w:trPr>
          <w:trHeight w:val="300"/>
          <w:jc w:val="center"/>
        </w:trPr>
        <w:tc>
          <w:tcPr>
            <w:tcW w:w="140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ischia</w:t>
            </w:r>
            <w:r w:rsidR="005E68FE">
              <w:rPr>
                <w:rFonts w:eastAsia="Times New Roman"/>
                <w:color w:val="000000"/>
                <w:lang w:val="en-GB" w:eastAsia="en-GB"/>
              </w:rPr>
              <w:t>l</w:t>
            </w:r>
            <w:r w:rsidRPr="001A577D">
              <w:rPr>
                <w:rFonts w:eastAsia="Times New Roman"/>
                <w:color w:val="000000"/>
                <w:lang w:val="en-GB" w:eastAsia="en-GB"/>
              </w:rPr>
              <w:t xml:space="preserve"> epiphysis</w:t>
            </w:r>
          </w:p>
        </w:tc>
        <w:tc>
          <w:tcPr>
            <w:tcW w:w="1134"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11</w:t>
            </w:r>
          </w:p>
        </w:tc>
        <w:tc>
          <w:tcPr>
            <w:tcW w:w="1469"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62</w:t>
            </w:r>
          </w:p>
        </w:tc>
        <w:tc>
          <w:tcPr>
            <w:tcW w:w="1575"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val="restart"/>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clavicle</w:t>
            </w:r>
          </w:p>
        </w:tc>
        <w:tc>
          <w:tcPr>
            <w:tcW w:w="2744"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medial clavicle</w:t>
            </w:r>
          </w:p>
        </w:tc>
        <w:tc>
          <w:tcPr>
            <w:tcW w:w="1134"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5</w:t>
            </w:r>
          </w:p>
        </w:tc>
        <w:tc>
          <w:tcPr>
            <w:tcW w:w="1469"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c>
          <w:tcPr>
            <w:tcW w:w="1575"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tcBorders>
              <w:bottom w:val="single" w:sz="4" w:space="0" w:color="auto"/>
            </w:tcBorders>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2744"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lateral clavicle</w:t>
            </w:r>
          </w:p>
        </w:tc>
        <w:tc>
          <w:tcPr>
            <w:tcW w:w="1134"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28</w:t>
            </w:r>
          </w:p>
        </w:tc>
        <w:tc>
          <w:tcPr>
            <w:tcW w:w="1469"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tcBorders>
              <w:bottom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val="restart"/>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scapula</w:t>
            </w:r>
          </w:p>
        </w:tc>
        <w:tc>
          <w:tcPr>
            <w:tcW w:w="2744"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coracoid</w:t>
            </w:r>
          </w:p>
        </w:tc>
        <w:tc>
          <w:tcPr>
            <w:tcW w:w="1134"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39</w:t>
            </w:r>
          </w:p>
        </w:tc>
        <w:tc>
          <w:tcPr>
            <w:tcW w:w="1469"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tcBorders>
              <w:top w:val="single" w:sz="4" w:space="0" w:color="auto"/>
            </w:tcBorders>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sub-coracoid and glenoid</w:t>
            </w:r>
          </w:p>
        </w:tc>
        <w:tc>
          <w:tcPr>
            <w:tcW w:w="113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42</w:t>
            </w:r>
          </w:p>
        </w:tc>
        <w:tc>
          <w:tcPr>
            <w:tcW w:w="1469" w:type="dxa"/>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43</w:t>
            </w:r>
          </w:p>
        </w:tc>
        <w:tc>
          <w:tcPr>
            <w:tcW w:w="1575"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acromium</w:t>
            </w:r>
          </w:p>
        </w:tc>
        <w:tc>
          <w:tcPr>
            <w:tcW w:w="113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4</w:t>
            </w:r>
          </w:p>
        </w:tc>
        <w:tc>
          <w:tcPr>
            <w:tcW w:w="1469" w:type="dxa"/>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c>
          <w:tcPr>
            <w:tcW w:w="1575"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r w:rsidR="00B741F7" w:rsidRPr="001A577D" w:rsidTr="005E68FE">
        <w:trPr>
          <w:trHeight w:val="300"/>
          <w:jc w:val="center"/>
        </w:trPr>
        <w:tc>
          <w:tcPr>
            <w:tcW w:w="14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4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medial border</w:t>
            </w:r>
          </w:p>
        </w:tc>
        <w:tc>
          <w:tcPr>
            <w:tcW w:w="1134"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2</w:t>
            </w:r>
          </w:p>
        </w:tc>
        <w:tc>
          <w:tcPr>
            <w:tcW w:w="1469" w:type="dxa"/>
            <w:shd w:val="clear" w:color="auto" w:fill="auto"/>
            <w:noWrap/>
            <w:vAlign w:val="center"/>
            <w:hideMark/>
          </w:tcPr>
          <w:p w:rsidR="00A35CA0" w:rsidRDefault="00B741F7" w:rsidP="00CA5FBB">
            <w:pPr>
              <w:spacing w:before="0" w:line="240" w:lineRule="auto"/>
              <w:jc w:val="center"/>
              <w:rPr>
                <w:rFonts w:eastAsia="Times New Roman"/>
                <w:b/>
                <w:color w:val="000000"/>
                <w:sz w:val="24"/>
                <w:szCs w:val="24"/>
                <w:lang w:val="en-GB" w:eastAsia="en-GB"/>
              </w:rPr>
            </w:pPr>
            <w:r w:rsidRPr="001A577D">
              <w:rPr>
                <w:rFonts w:eastAsia="Times New Roman"/>
                <w:b/>
                <w:color w:val="000000"/>
                <w:lang w:val="en-GB" w:eastAsia="en-GB"/>
              </w:rPr>
              <w:t>64</w:t>
            </w:r>
          </w:p>
        </w:tc>
        <w:tc>
          <w:tcPr>
            <w:tcW w:w="1432"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c>
          <w:tcPr>
            <w:tcW w:w="1575" w:type="dxa"/>
            <w:shd w:val="clear" w:color="auto" w:fill="auto"/>
            <w:noWrap/>
            <w:vAlign w:val="center"/>
            <w:hideMark/>
          </w:tcPr>
          <w:p w:rsidR="00A35CA0" w:rsidRDefault="00B741F7" w:rsidP="00CA5FBB">
            <w:pPr>
              <w:spacing w:before="0" w:line="240" w:lineRule="auto"/>
              <w:jc w:val="center"/>
              <w:rPr>
                <w:rFonts w:eastAsia="Times New Roman"/>
                <w:color w:val="000000"/>
                <w:sz w:val="24"/>
                <w:szCs w:val="24"/>
                <w:lang w:val="en-GB" w:eastAsia="en-GB"/>
              </w:rPr>
            </w:pPr>
            <w:r w:rsidRPr="001A577D">
              <w:rPr>
                <w:rFonts w:eastAsia="Times New Roman"/>
                <w:color w:val="000000"/>
                <w:lang w:val="en-GB" w:eastAsia="en-GB"/>
              </w:rPr>
              <w:t>64</w:t>
            </w:r>
          </w:p>
        </w:tc>
      </w:tr>
    </w:tbl>
    <w:p w:rsidR="00351FBC" w:rsidRDefault="00351FBC" w:rsidP="008A24F9">
      <w:pPr>
        <w:tabs>
          <w:tab w:val="left" w:pos="360"/>
        </w:tabs>
        <w:spacing w:line="240" w:lineRule="auto"/>
        <w:rPr>
          <w:b/>
          <w:i/>
          <w:noProof/>
        </w:rPr>
      </w:pPr>
    </w:p>
    <w:p w:rsidR="008A24F9" w:rsidRDefault="003C4478" w:rsidP="008A24F9">
      <w:pPr>
        <w:tabs>
          <w:tab w:val="left" w:pos="360"/>
        </w:tabs>
        <w:spacing w:line="240" w:lineRule="auto"/>
        <w:rPr>
          <w:noProof/>
        </w:rPr>
      </w:pPr>
      <w:r w:rsidRPr="003C4478">
        <w:rPr>
          <w:b/>
          <w:i/>
          <w:noProof/>
        </w:rPr>
        <w:lastRenderedPageBreak/>
        <w:t xml:space="preserve">4.2.1b </w:t>
      </w:r>
      <w:r w:rsidR="008A24F9" w:rsidRPr="003C4478">
        <w:rPr>
          <w:b/>
          <w:i/>
          <w:noProof/>
        </w:rPr>
        <w:t>Projection of fusion using generated dental score</w:t>
      </w:r>
    </w:p>
    <w:p w:rsidR="00C97871" w:rsidRDefault="008A24F9" w:rsidP="00014602">
      <w:pPr>
        <w:rPr>
          <w:noProof/>
        </w:rPr>
      </w:pPr>
      <w:r>
        <w:rPr>
          <w:noProof/>
        </w:rPr>
        <w:t>As outlined in Chapter 3, generated dental scores were produced for individuals with DS64 with additional increments</w:t>
      </w:r>
      <w:r w:rsidR="00805392">
        <w:rPr>
          <w:noProof/>
        </w:rPr>
        <w:t xml:space="preserve"> added</w:t>
      </w:r>
      <w:r>
        <w:rPr>
          <w:noProof/>
        </w:rPr>
        <w:t xml:space="preserve"> based on their mean epiphyseal fusion values (additional increment </w:t>
      </w:r>
      <w:r w:rsidRPr="00EB649C">
        <w:rPr>
          <w:i/>
          <w:noProof/>
        </w:rPr>
        <w:t>x</w:t>
      </w:r>
      <w:r w:rsidR="00EB649C">
        <w:rPr>
          <w:noProof/>
        </w:rPr>
        <w:t xml:space="preserve"> </w:t>
      </w:r>
      <w:r>
        <w:rPr>
          <w:noProof/>
        </w:rPr>
        <w:t>=</w:t>
      </w:r>
      <w:r w:rsidR="00EB649C">
        <w:rPr>
          <w:noProof/>
        </w:rPr>
        <w:t xml:space="preserve"> </w:t>
      </w:r>
      <w:r>
        <w:rPr>
          <w:noProof/>
        </w:rPr>
        <w:t xml:space="preserve">0.3).  To visualise these, median values were </w:t>
      </w:r>
      <w:r w:rsidR="00CD3318">
        <w:rPr>
          <w:noProof/>
        </w:rPr>
        <w:t>plotted</w:t>
      </w:r>
      <w:r w:rsidR="00343C25">
        <w:rPr>
          <w:noProof/>
        </w:rPr>
        <w:t>.  P</w:t>
      </w:r>
      <w:r w:rsidR="00C42CFC">
        <w:rPr>
          <w:noProof/>
        </w:rPr>
        <w:t>lotted also were</w:t>
      </w:r>
      <w:r w:rsidR="00343C25">
        <w:rPr>
          <w:noProof/>
        </w:rPr>
        <w:t xml:space="preserve"> </w:t>
      </w:r>
      <w:r>
        <w:rPr>
          <w:noProof/>
        </w:rPr>
        <w:t>25</w:t>
      </w:r>
      <w:r w:rsidRPr="00D07083">
        <w:rPr>
          <w:noProof/>
          <w:vertAlign w:val="superscript"/>
        </w:rPr>
        <w:t>th</w:t>
      </w:r>
      <w:r>
        <w:rPr>
          <w:noProof/>
        </w:rPr>
        <w:t xml:space="preserve"> and 75</w:t>
      </w:r>
      <w:r w:rsidRPr="00D07083">
        <w:rPr>
          <w:noProof/>
          <w:vertAlign w:val="superscript"/>
        </w:rPr>
        <w:t>th</w:t>
      </w:r>
      <w:r w:rsidR="00343C25">
        <w:rPr>
          <w:noProof/>
        </w:rPr>
        <w:t xml:space="preserve"> percentile</w:t>
      </w:r>
      <w:r w:rsidR="00C42CFC">
        <w:rPr>
          <w:noProof/>
        </w:rPr>
        <w:t>s</w:t>
      </w:r>
      <w:r w:rsidR="00572711">
        <w:rPr>
          <w:noProof/>
        </w:rPr>
        <w:t>.  These values are listed</w:t>
      </w:r>
      <w:r>
        <w:rPr>
          <w:noProof/>
        </w:rPr>
        <w:t xml:space="preserve"> for mid-fusio</w:t>
      </w:r>
      <w:r w:rsidR="007134F7">
        <w:rPr>
          <w:noProof/>
        </w:rPr>
        <w:t>n and complete fusion in T</w:t>
      </w:r>
      <w:r>
        <w:rPr>
          <w:noProof/>
        </w:rPr>
        <w:t>able</w:t>
      </w:r>
      <w:r w:rsidR="0059752A">
        <w:rPr>
          <w:noProof/>
        </w:rPr>
        <w:t xml:space="preserve"> 4.6</w:t>
      </w:r>
      <w:r w:rsidR="00A14139">
        <w:rPr>
          <w:noProof/>
        </w:rPr>
        <w:t xml:space="preserve"> </w:t>
      </w:r>
      <w:r w:rsidR="00572711">
        <w:rPr>
          <w:noProof/>
        </w:rPr>
        <w:t>for</w:t>
      </w:r>
      <w:r w:rsidR="00572711" w:rsidRPr="00572711">
        <w:rPr>
          <w:i/>
          <w:noProof/>
        </w:rPr>
        <w:t xml:space="preserve"> </w:t>
      </w:r>
      <w:r w:rsidR="00572711">
        <w:rPr>
          <w:i/>
          <w:noProof/>
        </w:rPr>
        <w:t xml:space="preserve">Pan troglodytes </w:t>
      </w:r>
      <w:r w:rsidR="00572711">
        <w:rPr>
          <w:noProof/>
        </w:rPr>
        <w:t>females</w:t>
      </w:r>
      <w:r>
        <w:rPr>
          <w:noProof/>
        </w:rPr>
        <w:t xml:space="preserve">.  </w:t>
      </w:r>
      <w:r w:rsidR="00122426">
        <w:rPr>
          <w:noProof/>
        </w:rPr>
        <w:t>Comparable</w:t>
      </w:r>
      <w:r>
        <w:rPr>
          <w:noProof/>
        </w:rPr>
        <w:t xml:space="preserve"> data for </w:t>
      </w:r>
      <w:r>
        <w:rPr>
          <w:i/>
          <w:noProof/>
        </w:rPr>
        <w:t xml:space="preserve">Pan troglodytes </w:t>
      </w:r>
      <w:r>
        <w:rPr>
          <w:noProof/>
        </w:rPr>
        <w:t xml:space="preserve">males and </w:t>
      </w:r>
      <w:r>
        <w:rPr>
          <w:i/>
          <w:noProof/>
        </w:rPr>
        <w:t>Pan paniscus</w:t>
      </w:r>
      <w:r>
        <w:rPr>
          <w:noProof/>
        </w:rPr>
        <w:t xml:space="preserve"> males and females are available in </w:t>
      </w:r>
      <w:r w:rsidR="00016026" w:rsidRPr="006C1137">
        <w:rPr>
          <w:noProof/>
          <w:color w:val="000000" w:themeColor="text1"/>
        </w:rPr>
        <w:t>T</w:t>
      </w:r>
      <w:r w:rsidR="006C1137" w:rsidRPr="006C1137">
        <w:rPr>
          <w:noProof/>
          <w:color w:val="000000" w:themeColor="text1"/>
        </w:rPr>
        <w:t>ables 8.57</w:t>
      </w:r>
      <w:r w:rsidR="001C6311">
        <w:rPr>
          <w:noProof/>
          <w:color w:val="000000" w:themeColor="text1"/>
        </w:rPr>
        <w:t xml:space="preserve"> </w:t>
      </w:r>
      <w:r w:rsidR="006C1137" w:rsidRPr="006C1137">
        <w:rPr>
          <w:noProof/>
          <w:color w:val="000000" w:themeColor="text1"/>
        </w:rPr>
        <w:t>- 8.5</w:t>
      </w:r>
      <w:r w:rsidRPr="006C1137">
        <w:rPr>
          <w:noProof/>
          <w:color w:val="000000" w:themeColor="text1"/>
        </w:rPr>
        <w:t xml:space="preserve">9 in </w:t>
      </w:r>
      <w:r>
        <w:rPr>
          <w:noProof/>
        </w:rPr>
        <w:t>the appendix.</w:t>
      </w:r>
    </w:p>
    <w:p w:rsidR="00C97871" w:rsidRDefault="00C97871" w:rsidP="00C97871">
      <w:pPr>
        <w:rPr>
          <w:noProof/>
        </w:rPr>
      </w:pPr>
      <w:r w:rsidRPr="00F24D55">
        <w:rPr>
          <w:noProof/>
        </w:rPr>
        <w:t xml:space="preserve">Plots </w:t>
      </w:r>
      <w:r>
        <w:rPr>
          <w:noProof/>
        </w:rPr>
        <w:t>of</w:t>
      </w:r>
      <w:r w:rsidRPr="00F24D55">
        <w:rPr>
          <w:noProof/>
        </w:rPr>
        <w:t xml:space="preserve"> </w:t>
      </w:r>
      <w:r>
        <w:rPr>
          <w:noProof/>
        </w:rPr>
        <w:t xml:space="preserve">mid-fusion and complete fusion data for </w:t>
      </w:r>
      <w:r w:rsidRPr="00F24D55">
        <w:rPr>
          <w:i/>
          <w:noProof/>
        </w:rPr>
        <w:t xml:space="preserve">Pan troglodytes </w:t>
      </w:r>
      <w:r w:rsidRPr="005F267B">
        <w:rPr>
          <w:noProof/>
        </w:rPr>
        <w:t>males</w:t>
      </w:r>
      <w:r>
        <w:rPr>
          <w:noProof/>
        </w:rPr>
        <w:t xml:space="preserve"> and females</w:t>
      </w:r>
      <w:r w:rsidRPr="005F267B">
        <w:rPr>
          <w:noProof/>
        </w:rPr>
        <w:t xml:space="preserve"> a</w:t>
      </w:r>
      <w:r>
        <w:rPr>
          <w:noProof/>
        </w:rPr>
        <w:t>re shown below</w:t>
      </w:r>
      <w:r w:rsidRPr="00F24D55">
        <w:rPr>
          <w:noProof/>
        </w:rPr>
        <w:t xml:space="preserve"> in </w:t>
      </w:r>
      <w:r>
        <w:rPr>
          <w:noProof/>
        </w:rPr>
        <w:t>Figures 4.6</w:t>
      </w:r>
      <w:r w:rsidR="001C6311">
        <w:rPr>
          <w:noProof/>
        </w:rPr>
        <w:t xml:space="preserve"> </w:t>
      </w:r>
      <w:r>
        <w:rPr>
          <w:noProof/>
        </w:rPr>
        <w:t>-</w:t>
      </w:r>
      <w:r w:rsidR="001C6311">
        <w:rPr>
          <w:noProof/>
        </w:rPr>
        <w:t xml:space="preserve"> </w:t>
      </w:r>
      <w:r>
        <w:rPr>
          <w:noProof/>
        </w:rPr>
        <w:t>4.9.  Epiphyses with no range for percentiles lacked sufficient data.  The majority of epiphyses had sufficient data.  The grey regions between the 25</w:t>
      </w:r>
      <w:r w:rsidRPr="00BE0B29">
        <w:rPr>
          <w:noProof/>
          <w:vertAlign w:val="superscript"/>
        </w:rPr>
        <w:t>th</w:t>
      </w:r>
      <w:r>
        <w:rPr>
          <w:noProof/>
        </w:rPr>
        <w:t xml:space="preserve"> percentile, median, and 75</w:t>
      </w:r>
      <w:r w:rsidRPr="00BE0B29">
        <w:rPr>
          <w:noProof/>
          <w:vertAlign w:val="superscript"/>
        </w:rPr>
        <w:t>th</w:t>
      </w:r>
      <w:r>
        <w:rPr>
          <w:noProof/>
        </w:rPr>
        <w:t xml:space="preserve"> percentile are a visual aid and do not represent additional information.  For </w:t>
      </w:r>
      <w:r>
        <w:rPr>
          <w:i/>
          <w:noProof/>
        </w:rPr>
        <w:t>Pan paniscus</w:t>
      </w:r>
      <w:r>
        <w:rPr>
          <w:noProof/>
        </w:rPr>
        <w:t xml:space="preserve"> too few data entries were available for percentiles to be informative.  It was common for many epiphyses to have only 2</w:t>
      </w:r>
      <w:r w:rsidR="001C6311">
        <w:rPr>
          <w:noProof/>
        </w:rPr>
        <w:t xml:space="preserve"> </w:t>
      </w:r>
      <w:r>
        <w:rPr>
          <w:noProof/>
        </w:rPr>
        <w:t>-</w:t>
      </w:r>
      <w:r w:rsidR="001C6311">
        <w:rPr>
          <w:noProof/>
        </w:rPr>
        <w:t xml:space="preserve"> </w:t>
      </w:r>
      <w:r>
        <w:rPr>
          <w:noProof/>
        </w:rPr>
        <w:t>5 data entries.  For this species only median values for mid-fusion and complete fusion were plotted.  Mid-fusion and complete fusion values were plotted on the same figure for females (Figure 4.10) and males (Figure 4.11).</w:t>
      </w:r>
    </w:p>
    <w:p w:rsidR="00C97871" w:rsidRPr="005D249E" w:rsidRDefault="00C97871" w:rsidP="00C97871">
      <w:pPr>
        <w:rPr>
          <w:noProof/>
        </w:rPr>
      </w:pPr>
      <w:r>
        <w:rPr>
          <w:noProof/>
        </w:rPr>
        <w:t xml:space="preserve">For </w:t>
      </w:r>
      <w:r>
        <w:rPr>
          <w:i/>
          <w:noProof/>
        </w:rPr>
        <w:t xml:space="preserve">Pan </w:t>
      </w:r>
      <w:r w:rsidRPr="00292955">
        <w:rPr>
          <w:i/>
          <w:noProof/>
        </w:rPr>
        <w:t>troglodytes</w:t>
      </w:r>
      <w:r>
        <w:rPr>
          <w:noProof/>
        </w:rPr>
        <w:t xml:space="preserve"> individuals plotted against dental score in </w:t>
      </w:r>
      <w:r w:rsidRPr="00292955">
        <w:rPr>
          <w:noProof/>
        </w:rPr>
        <w:t>Figure</w:t>
      </w:r>
      <w:r>
        <w:rPr>
          <w:noProof/>
        </w:rPr>
        <w:t>s 4.6</w:t>
      </w:r>
      <w:r w:rsidR="001C6311">
        <w:rPr>
          <w:noProof/>
        </w:rPr>
        <w:t xml:space="preserve"> </w:t>
      </w:r>
      <w:r>
        <w:rPr>
          <w:noProof/>
        </w:rPr>
        <w:t>-</w:t>
      </w:r>
      <w:r w:rsidR="001C6311">
        <w:rPr>
          <w:noProof/>
        </w:rPr>
        <w:t xml:space="preserve"> </w:t>
      </w:r>
      <w:r>
        <w:rPr>
          <w:noProof/>
        </w:rPr>
        <w:t xml:space="preserve">4.9 fusion events beyond DS64 are visible and are clearly patterned.  It appears that </w:t>
      </w:r>
      <w:r>
        <w:rPr>
          <w:i/>
          <w:noProof/>
        </w:rPr>
        <w:t>Pan paniscus</w:t>
      </w:r>
      <w:r>
        <w:rPr>
          <w:noProof/>
        </w:rPr>
        <w:t xml:space="preserve"> follow similar patt</w:t>
      </w:r>
      <w:r w:rsidR="00216E9E">
        <w:rPr>
          <w:noProof/>
        </w:rPr>
        <w:t>erns, although the large amount</w:t>
      </w:r>
      <w:r>
        <w:rPr>
          <w:noProof/>
        </w:rPr>
        <w:t xml:space="preserve"> of variation </w:t>
      </w:r>
      <w:r w:rsidR="00216E9E">
        <w:rPr>
          <w:noProof/>
        </w:rPr>
        <w:t xml:space="preserve">as a consequence of </w:t>
      </w:r>
      <w:r>
        <w:rPr>
          <w:noProof/>
        </w:rPr>
        <w:t>small sample size</w:t>
      </w:r>
      <w:r w:rsidR="00216E9E">
        <w:rPr>
          <w:noProof/>
        </w:rPr>
        <w:t xml:space="preserve"> limits any further analysis</w:t>
      </w:r>
      <w:r>
        <w:rPr>
          <w:noProof/>
        </w:rPr>
        <w:t>.</w:t>
      </w:r>
    </w:p>
    <w:p w:rsidR="00C97871" w:rsidRDefault="00C97871">
      <w:pPr>
        <w:spacing w:before="0" w:after="200" w:line="276" w:lineRule="auto"/>
        <w:jc w:val="left"/>
        <w:rPr>
          <w:noProof/>
        </w:rPr>
      </w:pPr>
      <w:r>
        <w:rPr>
          <w:noProof/>
        </w:rPr>
        <w:br w:type="page"/>
      </w:r>
    </w:p>
    <w:p w:rsidR="008A24F9" w:rsidRDefault="00014602" w:rsidP="00014602">
      <w:pPr>
        <w:pStyle w:val="Caption"/>
        <w:rPr>
          <w:noProof/>
        </w:rPr>
      </w:pPr>
      <w:bookmarkStart w:id="484" w:name="_Toc373180150"/>
      <w:proofErr w:type="gramStart"/>
      <w:r w:rsidRPr="00014602">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6</w:t>
      </w:r>
      <w:r w:rsidR="008943E4">
        <w:rPr>
          <w:b/>
        </w:rPr>
        <w:fldChar w:fldCharType="end"/>
      </w:r>
      <w:r>
        <w:t xml:space="preserve"> </w:t>
      </w:r>
      <w:r w:rsidR="008A24F9">
        <w:rPr>
          <w:noProof/>
        </w:rPr>
        <w:t>Mid-fusion and complete fusion median, 25</w:t>
      </w:r>
      <w:r w:rsidR="008A24F9" w:rsidRPr="00694DE9">
        <w:rPr>
          <w:noProof/>
          <w:vertAlign w:val="superscript"/>
        </w:rPr>
        <w:t>th</w:t>
      </w:r>
      <w:r w:rsidR="008A24F9">
        <w:rPr>
          <w:noProof/>
        </w:rPr>
        <w:t xml:space="preserve"> and 75</w:t>
      </w:r>
      <w:r w:rsidR="008A24F9" w:rsidRPr="00694DE9">
        <w:rPr>
          <w:noProof/>
          <w:vertAlign w:val="superscript"/>
        </w:rPr>
        <w:t>th</w:t>
      </w:r>
      <w:r w:rsidR="008A24F9">
        <w:rPr>
          <w:noProof/>
        </w:rPr>
        <w:t xml:space="preserve"> percentiles values for </w:t>
      </w:r>
      <w:r w:rsidR="00CD4613">
        <w:rPr>
          <w:noProof/>
        </w:rPr>
        <w:t xml:space="preserve">generated dental score in </w:t>
      </w:r>
      <w:r w:rsidR="008A24F9">
        <w:rPr>
          <w:i/>
          <w:noProof/>
        </w:rPr>
        <w:t>Pan troglodytes</w:t>
      </w:r>
      <w:r w:rsidR="00A14139">
        <w:rPr>
          <w:noProof/>
        </w:rPr>
        <w:t xml:space="preserve"> females.</w:t>
      </w:r>
      <w:bookmarkEnd w:id="484"/>
    </w:p>
    <w:tbl>
      <w:tblPr>
        <w:tblW w:w="9960" w:type="dxa"/>
        <w:jc w:val="center"/>
        <w:tblInd w:w="93" w:type="dxa"/>
        <w:tblBorders>
          <w:top w:val="single" w:sz="4" w:space="0" w:color="auto"/>
          <w:bottom w:val="single" w:sz="4" w:space="0" w:color="auto"/>
        </w:tblBorders>
        <w:tblLook w:val="04A0" w:firstRow="1" w:lastRow="0" w:firstColumn="1" w:lastColumn="0" w:noHBand="0" w:noVBand="1"/>
      </w:tblPr>
      <w:tblGrid>
        <w:gridCol w:w="2850"/>
        <w:gridCol w:w="993"/>
        <w:gridCol w:w="1145"/>
        <w:gridCol w:w="1275"/>
        <w:gridCol w:w="993"/>
        <w:gridCol w:w="1145"/>
        <w:gridCol w:w="1559"/>
      </w:tblGrid>
      <w:tr w:rsidR="000875BB" w:rsidRPr="00694DE9" w:rsidTr="00CA5FBB">
        <w:trPr>
          <w:trHeight w:val="301"/>
          <w:jc w:val="center"/>
        </w:trPr>
        <w:tc>
          <w:tcPr>
            <w:tcW w:w="2850" w:type="dxa"/>
            <w:shd w:val="clear" w:color="auto" w:fill="auto"/>
            <w:noWrap/>
            <w:vAlign w:val="bottom"/>
            <w:hideMark/>
          </w:tcPr>
          <w:p w:rsidR="00A35CA0" w:rsidRPr="00CA5FBB" w:rsidRDefault="00A35CA0" w:rsidP="00CA5FBB">
            <w:pPr>
              <w:spacing w:before="0" w:line="240" w:lineRule="auto"/>
              <w:jc w:val="center"/>
              <w:rPr>
                <w:rFonts w:eastAsia="Times New Roman"/>
                <w:b/>
                <w:color w:val="000000"/>
                <w:lang w:val="en-GB" w:eastAsia="en-GB"/>
              </w:rPr>
            </w:pPr>
          </w:p>
        </w:tc>
        <w:tc>
          <w:tcPr>
            <w:tcW w:w="3413" w:type="dxa"/>
            <w:gridSpan w:val="3"/>
            <w:tcBorders>
              <w:top w:val="single" w:sz="4" w:space="0" w:color="auto"/>
              <w:bottom w:val="single" w:sz="4" w:space="0" w:color="auto"/>
            </w:tcBorders>
            <w:shd w:val="clear" w:color="auto" w:fill="auto"/>
            <w:noWrap/>
            <w:vAlign w:val="bottom"/>
            <w:hideMark/>
          </w:tcPr>
          <w:p w:rsidR="00A35CA0" w:rsidRPr="00CA5FBB" w:rsidRDefault="00352691" w:rsidP="00CA5FBB">
            <w:pPr>
              <w:spacing w:before="0" w:line="240" w:lineRule="auto"/>
              <w:jc w:val="center"/>
              <w:rPr>
                <w:rFonts w:eastAsia="Times New Roman"/>
                <w:b/>
                <w:color w:val="000000"/>
                <w:lang w:val="en-GB" w:eastAsia="en-GB"/>
              </w:rPr>
            </w:pPr>
            <w:r>
              <w:rPr>
                <w:rFonts w:eastAsia="Times New Roman"/>
                <w:b/>
                <w:color w:val="000000"/>
                <w:lang w:val="en-GB" w:eastAsia="en-GB"/>
              </w:rPr>
              <w:t>m</w:t>
            </w:r>
            <w:r w:rsidR="008943E4" w:rsidRPr="00CA5FBB">
              <w:rPr>
                <w:rFonts w:eastAsia="Times New Roman"/>
                <w:b/>
                <w:color w:val="000000"/>
                <w:lang w:val="en-GB" w:eastAsia="en-GB"/>
              </w:rPr>
              <w:t>id-fusion</w:t>
            </w:r>
          </w:p>
        </w:tc>
        <w:tc>
          <w:tcPr>
            <w:tcW w:w="3697" w:type="dxa"/>
            <w:gridSpan w:val="3"/>
            <w:tcBorders>
              <w:top w:val="single" w:sz="4" w:space="0" w:color="auto"/>
              <w:bottom w:val="single" w:sz="4" w:space="0" w:color="auto"/>
            </w:tcBorders>
            <w:shd w:val="clear" w:color="auto" w:fill="auto"/>
            <w:noWrap/>
            <w:vAlign w:val="bottom"/>
            <w:hideMark/>
          </w:tcPr>
          <w:p w:rsidR="00A35CA0" w:rsidRPr="00CA5FBB" w:rsidRDefault="00352691" w:rsidP="00CA5FBB">
            <w:pPr>
              <w:spacing w:before="0" w:line="240" w:lineRule="auto"/>
              <w:jc w:val="center"/>
              <w:rPr>
                <w:rFonts w:eastAsia="Times New Roman"/>
                <w:b/>
                <w:color w:val="000000"/>
                <w:lang w:val="en-GB" w:eastAsia="en-GB"/>
              </w:rPr>
            </w:pPr>
            <w:r>
              <w:rPr>
                <w:rFonts w:eastAsia="Times New Roman"/>
                <w:b/>
                <w:color w:val="000000"/>
                <w:lang w:val="en-GB" w:eastAsia="en-GB"/>
              </w:rPr>
              <w:t>c</w:t>
            </w:r>
            <w:r w:rsidR="008943E4" w:rsidRPr="00CA5FBB">
              <w:rPr>
                <w:rFonts w:eastAsia="Times New Roman"/>
                <w:b/>
                <w:color w:val="000000"/>
                <w:lang w:val="en-GB" w:eastAsia="en-GB"/>
              </w:rPr>
              <w:t>omplete fusion</w:t>
            </w:r>
          </w:p>
        </w:tc>
      </w:tr>
      <w:tr w:rsidR="008A24F9" w:rsidRPr="00694DE9" w:rsidTr="00CA5FBB">
        <w:trPr>
          <w:trHeight w:val="301"/>
          <w:jc w:val="center"/>
        </w:trPr>
        <w:tc>
          <w:tcPr>
            <w:tcW w:w="2850" w:type="dxa"/>
            <w:tcBorders>
              <w:bottom w:val="single" w:sz="4" w:space="0" w:color="auto"/>
            </w:tcBorders>
            <w:shd w:val="clear" w:color="auto" w:fill="auto"/>
            <w:noWrap/>
            <w:vAlign w:val="bottom"/>
            <w:hideMark/>
          </w:tcPr>
          <w:p w:rsidR="00A35CA0" w:rsidRPr="00CA5FBB" w:rsidRDefault="00352691" w:rsidP="00CA5FBB">
            <w:pPr>
              <w:spacing w:before="0" w:line="240" w:lineRule="auto"/>
              <w:jc w:val="center"/>
              <w:rPr>
                <w:rFonts w:eastAsia="Times New Roman"/>
                <w:b/>
                <w:color w:val="000000"/>
                <w:lang w:val="en-GB" w:eastAsia="en-GB"/>
              </w:rPr>
            </w:pPr>
            <w:r>
              <w:rPr>
                <w:rFonts w:eastAsia="Times New Roman"/>
                <w:b/>
                <w:color w:val="000000"/>
                <w:lang w:val="en-GB" w:eastAsia="en-GB"/>
              </w:rPr>
              <w:t>e</w:t>
            </w:r>
            <w:r w:rsidR="008943E4" w:rsidRPr="00CA5FBB">
              <w:rPr>
                <w:rFonts w:eastAsia="Times New Roman"/>
                <w:b/>
                <w:color w:val="000000"/>
                <w:lang w:val="en-GB" w:eastAsia="en-GB"/>
              </w:rPr>
              <w:t>piphysis</w:t>
            </w:r>
          </w:p>
        </w:tc>
        <w:tc>
          <w:tcPr>
            <w:tcW w:w="993" w:type="dxa"/>
            <w:tcBorders>
              <w:top w:val="single" w:sz="4" w:space="0" w:color="auto"/>
              <w:bottom w:val="single" w:sz="4" w:space="0" w:color="auto"/>
            </w:tcBorders>
            <w:shd w:val="clear" w:color="auto" w:fill="auto"/>
            <w:noWrap/>
            <w:vAlign w:val="center"/>
            <w:hideMark/>
          </w:tcPr>
          <w:p w:rsidR="00A35CA0" w:rsidRPr="00CA5FBB" w:rsidRDefault="00352691" w:rsidP="00CA5FBB">
            <w:pPr>
              <w:spacing w:before="0" w:line="240" w:lineRule="auto"/>
              <w:jc w:val="center"/>
              <w:rPr>
                <w:rFonts w:eastAsia="Times New Roman"/>
                <w:b/>
                <w:color w:val="000000"/>
                <w:lang w:val="en-GB" w:eastAsia="en-GB"/>
              </w:rPr>
            </w:pPr>
            <w:r>
              <w:rPr>
                <w:rFonts w:eastAsia="Times New Roman"/>
                <w:b/>
                <w:color w:val="000000"/>
                <w:lang w:val="en-GB" w:eastAsia="en-GB"/>
              </w:rPr>
              <w:t>m</w:t>
            </w:r>
            <w:r w:rsidR="008943E4" w:rsidRPr="00CA5FBB">
              <w:rPr>
                <w:rFonts w:eastAsia="Times New Roman"/>
                <w:b/>
                <w:color w:val="000000"/>
                <w:lang w:val="en-GB" w:eastAsia="en-GB"/>
              </w:rPr>
              <w:t>edian</w:t>
            </w:r>
          </w:p>
        </w:tc>
        <w:tc>
          <w:tcPr>
            <w:tcW w:w="1145"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25th percentile</w:t>
            </w:r>
          </w:p>
        </w:tc>
        <w:tc>
          <w:tcPr>
            <w:tcW w:w="1275"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75th percentile</w:t>
            </w:r>
          </w:p>
        </w:tc>
        <w:tc>
          <w:tcPr>
            <w:tcW w:w="993" w:type="dxa"/>
            <w:tcBorders>
              <w:top w:val="single" w:sz="4" w:space="0" w:color="auto"/>
              <w:bottom w:val="single" w:sz="4" w:space="0" w:color="auto"/>
            </w:tcBorders>
            <w:shd w:val="clear" w:color="auto" w:fill="auto"/>
            <w:noWrap/>
            <w:vAlign w:val="center"/>
            <w:hideMark/>
          </w:tcPr>
          <w:p w:rsidR="00A35CA0" w:rsidRPr="00CA5FBB" w:rsidRDefault="00352691" w:rsidP="00CA5FBB">
            <w:pPr>
              <w:spacing w:before="0" w:line="240" w:lineRule="auto"/>
              <w:jc w:val="center"/>
              <w:rPr>
                <w:rFonts w:eastAsia="Times New Roman"/>
                <w:b/>
                <w:color w:val="000000"/>
                <w:lang w:val="en-GB" w:eastAsia="en-GB"/>
              </w:rPr>
            </w:pPr>
            <w:r>
              <w:rPr>
                <w:rFonts w:eastAsia="Times New Roman"/>
                <w:b/>
                <w:color w:val="000000"/>
                <w:lang w:val="en-GB" w:eastAsia="en-GB"/>
              </w:rPr>
              <w:t>m</w:t>
            </w:r>
            <w:r w:rsidR="008943E4" w:rsidRPr="00CA5FBB">
              <w:rPr>
                <w:rFonts w:eastAsia="Times New Roman"/>
                <w:b/>
                <w:color w:val="000000"/>
                <w:lang w:val="en-GB" w:eastAsia="en-GB"/>
              </w:rPr>
              <w:t>edian</w:t>
            </w:r>
          </w:p>
        </w:tc>
        <w:tc>
          <w:tcPr>
            <w:tcW w:w="1145"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25th percentile</w:t>
            </w:r>
          </w:p>
        </w:tc>
        <w:tc>
          <w:tcPr>
            <w:tcW w:w="1559"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75th percentile</w:t>
            </w:r>
          </w:p>
        </w:tc>
      </w:tr>
      <w:tr w:rsidR="008A24F9" w:rsidRPr="00694DE9" w:rsidTr="00CA5FBB">
        <w:trPr>
          <w:trHeight w:val="301"/>
          <w:jc w:val="center"/>
        </w:trPr>
        <w:tc>
          <w:tcPr>
            <w:tcW w:w="2850" w:type="dxa"/>
            <w:tcBorders>
              <w:top w:val="single" w:sz="4" w:space="0" w:color="auto"/>
            </w:tcBorders>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proximal humerus</w:t>
            </w:r>
          </w:p>
        </w:tc>
        <w:tc>
          <w:tcPr>
            <w:tcW w:w="993" w:type="dxa"/>
            <w:tcBorders>
              <w:top w:val="single" w:sz="4" w:space="0" w:color="auto"/>
            </w:tcBorders>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145" w:type="dxa"/>
            <w:tcBorders>
              <w:top w:val="single" w:sz="4" w:space="0" w:color="auto"/>
            </w:tcBorders>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275" w:type="dxa"/>
            <w:tcBorders>
              <w:top w:val="single" w:sz="4" w:space="0" w:color="auto"/>
            </w:tcBorders>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65.8</w:t>
            </w:r>
          </w:p>
        </w:tc>
        <w:tc>
          <w:tcPr>
            <w:tcW w:w="993" w:type="dxa"/>
            <w:tcBorders>
              <w:top w:val="single" w:sz="4" w:space="0" w:color="auto"/>
            </w:tcBorders>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68.95</w:t>
            </w:r>
          </w:p>
        </w:tc>
        <w:tc>
          <w:tcPr>
            <w:tcW w:w="1145" w:type="dxa"/>
            <w:tcBorders>
              <w:top w:val="single" w:sz="4" w:space="0" w:color="auto"/>
            </w:tcBorders>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67.975</w:t>
            </w:r>
          </w:p>
        </w:tc>
        <w:tc>
          <w:tcPr>
            <w:tcW w:w="1559" w:type="dxa"/>
            <w:tcBorders>
              <w:top w:val="single" w:sz="4" w:space="0" w:color="auto"/>
            </w:tcBorders>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69.925</w:t>
            </w:r>
          </w:p>
        </w:tc>
      </w:tr>
      <w:tr w:rsidR="008A24F9" w:rsidRPr="00694DE9" w:rsidTr="00CA5FBB">
        <w:trPr>
          <w:trHeight w:val="301"/>
          <w:jc w:val="center"/>
        </w:trPr>
        <w:tc>
          <w:tcPr>
            <w:tcW w:w="2850" w:type="dxa"/>
            <w:shd w:val="clear" w:color="auto" w:fill="auto"/>
            <w:noWrap/>
            <w:vAlign w:val="bottom"/>
            <w:hideMark/>
          </w:tcPr>
          <w:p w:rsidR="00A35CA0" w:rsidRDefault="00FB5ED4" w:rsidP="00CA5FBB">
            <w:pPr>
              <w:spacing w:before="0" w:line="240" w:lineRule="auto"/>
              <w:rPr>
                <w:rFonts w:eastAsia="Times New Roman"/>
                <w:color w:val="000000"/>
                <w:lang w:val="en-GB" w:eastAsia="en-GB"/>
              </w:rPr>
            </w:pPr>
            <w:r>
              <w:rPr>
                <w:rFonts w:eastAsia="Times New Roman"/>
                <w:color w:val="000000"/>
                <w:lang w:val="en-GB" w:eastAsia="en-GB"/>
              </w:rPr>
              <w:t>distal humerus</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48</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43.5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53</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60.25</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67.225</w:t>
            </w:r>
          </w:p>
        </w:tc>
      </w:tr>
      <w:tr w:rsidR="008A24F9" w:rsidRPr="00694DE9" w:rsidTr="00CA5FBB">
        <w:trPr>
          <w:trHeight w:val="301"/>
          <w:jc w:val="center"/>
        </w:trPr>
        <w:tc>
          <w:tcPr>
            <w:tcW w:w="2850" w:type="dxa"/>
            <w:shd w:val="clear" w:color="auto" w:fill="auto"/>
            <w:noWrap/>
            <w:vAlign w:val="bottom"/>
            <w:hideMark/>
          </w:tcPr>
          <w:p w:rsidR="00A35CA0" w:rsidRDefault="00AA6F14" w:rsidP="00CA5FBB">
            <w:pPr>
              <w:spacing w:before="0" w:line="240" w:lineRule="auto"/>
              <w:rPr>
                <w:rFonts w:eastAsia="Times New Roman"/>
                <w:color w:val="000000"/>
                <w:lang w:val="en-GB" w:eastAsia="en-GB"/>
              </w:rPr>
            </w:pPr>
            <w:r>
              <w:rPr>
                <w:rFonts w:eastAsia="Times New Roman"/>
                <w:color w:val="000000"/>
                <w:lang w:val="en-GB" w:eastAsia="en-GB"/>
              </w:rPr>
              <w:t xml:space="preserve">humeral </w:t>
            </w:r>
            <w:r w:rsidR="008A24F9" w:rsidRPr="00694DE9">
              <w:rPr>
                <w:rFonts w:eastAsia="Times New Roman"/>
                <w:color w:val="000000"/>
                <w:lang w:val="en-GB" w:eastAsia="en-GB"/>
              </w:rPr>
              <w:t>medial epicondyle</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52.25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64.45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67.675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proximal radius</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64.6</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65.95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68.575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distal radius</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67.15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69.4</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68.35</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70.15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proximal ulna</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56</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49</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64.45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67.825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distal ulna</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65.95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67.375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69.25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66.9</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70.075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distal phalanges (hand)</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50</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48</w:t>
            </w:r>
          </w:p>
        </w:tc>
        <w:tc>
          <w:tcPr>
            <w:tcW w:w="1275" w:type="dxa"/>
            <w:shd w:val="clear" w:color="auto" w:fill="auto"/>
            <w:noWrap/>
            <w:vAlign w:val="center"/>
            <w:hideMark/>
          </w:tcPr>
          <w:p w:rsidR="00A35CA0" w:rsidRDefault="009F231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w:t>
            </w:r>
            <w:r w:rsidR="008A24F9" w:rsidRPr="00694DE9">
              <w:rPr>
                <w:rFonts w:eastAsia="Times New Roman"/>
                <w:color w:val="000000"/>
                <w:lang w:val="en-GB" w:eastAsia="en-GB"/>
              </w:rPr>
              <w:t> </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62.8</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base of metacarpal 1</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61</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66.4</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68.65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jc w:val="left"/>
              <w:rPr>
                <w:rFonts w:eastAsia="Times New Roman"/>
                <w:color w:val="000000"/>
                <w:lang w:val="en-GB" w:eastAsia="en-GB"/>
              </w:rPr>
            </w:pPr>
            <w:r w:rsidRPr="00694DE9">
              <w:rPr>
                <w:rFonts w:eastAsia="Times New Roman"/>
                <w:color w:val="000000"/>
                <w:lang w:val="en-GB" w:eastAsia="en-GB"/>
              </w:rPr>
              <w:t>proximal and middle phalanges (hand)</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47.25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64.075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66.4</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68.65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metacarpals heads 2-5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61</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64.6</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68.95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femoral head</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60.75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64.075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66.4</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68.65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greater trochanter</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61.5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59</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64.075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65.95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62.25</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68.425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Pr>
                <w:rFonts w:eastAsia="Times New Roman"/>
                <w:color w:val="000000"/>
                <w:lang w:val="en-GB" w:eastAsia="en-GB"/>
              </w:rPr>
              <w:t>lesser trochant</w:t>
            </w:r>
            <w:r w:rsidRPr="00694DE9">
              <w:rPr>
                <w:rFonts w:eastAsia="Times New Roman"/>
                <w:color w:val="000000"/>
                <w:lang w:val="en-GB" w:eastAsia="en-GB"/>
              </w:rPr>
              <w:t>er</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61</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64.45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68.05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distal femur</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64.9</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66.4</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68.95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69.925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proximal tibia</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63.8</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66.025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68.8</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67.45</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69.85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distal tibia</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61.5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65.35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67.75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63.7</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69.325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proximal fibula</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65.8</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69.7</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distal fibula</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64.75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67.15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63.625</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69.025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calcaneus</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58</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64.3</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68.2</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talus</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45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 </w:t>
            </w:r>
            <w:r w:rsidR="009F231E">
              <w:rPr>
                <w:rFonts w:eastAsia="Times New Roman"/>
                <w:color w:val="000000"/>
                <w:lang w:val="en-GB" w:eastAsia="en-GB"/>
              </w:rPr>
              <w:t>-</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67.45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distal phalanges (foot)</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48</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66.1</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middle phalanges (foot)</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64.075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66.4</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68.65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metatarsal heads 2-5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60.75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63.25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67.15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63.625</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69.025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base of metatarsal 1</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61.5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48.75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66.55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68.725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proximal phalanges (foot)</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60.25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63.75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66.7</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68.8</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triradiate</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56.5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33.75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64.9</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67.9</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anterior inferior iliac spine</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66.7</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68.8</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iliac crest</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68.05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65.55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69.475</w:t>
            </w:r>
          </w:p>
        </w:tc>
        <w:tc>
          <w:tcPr>
            <w:tcW w:w="993" w:type="dxa"/>
            <w:shd w:val="clear" w:color="auto" w:fill="auto"/>
            <w:noWrap/>
            <w:vAlign w:val="center"/>
            <w:hideMark/>
          </w:tcPr>
          <w:p w:rsidR="00A35CA0" w:rsidRDefault="009F231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w:t>
            </w:r>
            <w:r w:rsidR="008A24F9" w:rsidRPr="00694DE9">
              <w:rPr>
                <w:rFonts w:eastAsia="Times New Roman"/>
                <w:color w:val="000000"/>
                <w:lang w:val="en-GB" w:eastAsia="en-GB"/>
              </w:rPr>
              <w:t> </w:t>
            </w:r>
          </w:p>
        </w:tc>
        <w:tc>
          <w:tcPr>
            <w:tcW w:w="1145" w:type="dxa"/>
            <w:shd w:val="clear" w:color="auto" w:fill="auto"/>
            <w:noWrap/>
            <w:vAlign w:val="center"/>
            <w:hideMark/>
          </w:tcPr>
          <w:p w:rsidR="00A35CA0" w:rsidRDefault="009F231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w:t>
            </w:r>
          </w:p>
        </w:tc>
        <w:tc>
          <w:tcPr>
            <w:tcW w:w="1559" w:type="dxa"/>
            <w:shd w:val="clear" w:color="auto" w:fill="auto"/>
            <w:noWrap/>
            <w:vAlign w:val="center"/>
            <w:hideMark/>
          </w:tcPr>
          <w:p w:rsidR="00A35CA0" w:rsidRDefault="009F231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ischial epiphysis</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65.95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62.25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67.825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70</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medial clavicle</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70</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68.8</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66.85</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69.85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lateral clavicle</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59</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55.25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66.425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65.5</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63</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68.725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coracoid</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58</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50</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64.9</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67.9</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sub-coracoid and glenoid</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52</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22</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60</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64.6</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67.75</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acromium</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62</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68.2</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69.7</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67.45</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70.3</w:t>
            </w:r>
          </w:p>
        </w:tc>
      </w:tr>
      <w:tr w:rsidR="008A24F9" w:rsidRPr="00694DE9" w:rsidTr="00CA5FBB">
        <w:trPr>
          <w:trHeight w:val="301"/>
          <w:jc w:val="center"/>
        </w:trPr>
        <w:tc>
          <w:tcPr>
            <w:tcW w:w="2850" w:type="dxa"/>
            <w:shd w:val="clear" w:color="auto" w:fill="auto"/>
            <w:noWrap/>
            <w:vAlign w:val="bottom"/>
            <w:hideMark/>
          </w:tcPr>
          <w:p w:rsidR="00A35CA0" w:rsidRDefault="008A24F9" w:rsidP="00CA5FBB">
            <w:pPr>
              <w:spacing w:before="0" w:line="240" w:lineRule="auto"/>
              <w:rPr>
                <w:rFonts w:eastAsia="Times New Roman"/>
                <w:color w:val="000000"/>
                <w:lang w:val="en-GB" w:eastAsia="en-GB"/>
              </w:rPr>
            </w:pPr>
            <w:r w:rsidRPr="00694DE9">
              <w:rPr>
                <w:rFonts w:eastAsia="Times New Roman"/>
                <w:color w:val="000000"/>
                <w:lang w:val="en-GB" w:eastAsia="en-GB"/>
              </w:rPr>
              <w:t>medial border of scapula</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69.1</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64.5</w:t>
            </w:r>
          </w:p>
        </w:tc>
        <w:tc>
          <w:tcPr>
            <w:tcW w:w="127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69.85</w:t>
            </w:r>
          </w:p>
        </w:tc>
        <w:tc>
          <w:tcPr>
            <w:tcW w:w="993"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70.6</w:t>
            </w:r>
          </w:p>
        </w:tc>
        <w:tc>
          <w:tcPr>
            <w:tcW w:w="1145"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70.6</w:t>
            </w:r>
          </w:p>
        </w:tc>
        <w:tc>
          <w:tcPr>
            <w:tcW w:w="1559" w:type="dxa"/>
            <w:shd w:val="clear" w:color="auto" w:fill="auto"/>
            <w:noWrap/>
            <w:vAlign w:val="center"/>
            <w:hideMark/>
          </w:tcPr>
          <w:p w:rsidR="00A35CA0" w:rsidRDefault="008A24F9" w:rsidP="00CA5FBB">
            <w:pPr>
              <w:spacing w:before="0" w:line="240" w:lineRule="auto"/>
              <w:jc w:val="center"/>
              <w:rPr>
                <w:rFonts w:eastAsia="Times New Roman"/>
                <w:color w:val="000000"/>
                <w:sz w:val="24"/>
                <w:szCs w:val="24"/>
                <w:lang w:val="en-GB" w:eastAsia="en-GB"/>
              </w:rPr>
            </w:pPr>
            <w:r w:rsidRPr="00694DE9">
              <w:rPr>
                <w:rFonts w:eastAsia="Times New Roman"/>
                <w:color w:val="000000"/>
                <w:lang w:val="en-GB" w:eastAsia="en-GB"/>
              </w:rPr>
              <w:t>70.6</w:t>
            </w:r>
          </w:p>
        </w:tc>
      </w:tr>
    </w:tbl>
    <w:p w:rsidR="008A24F9" w:rsidRDefault="00F3498F" w:rsidP="008A24F9">
      <w:pPr>
        <w:tabs>
          <w:tab w:val="left" w:pos="360"/>
        </w:tabs>
        <w:spacing w:line="240" w:lineRule="auto"/>
        <w:jc w:val="center"/>
        <w:rPr>
          <w:noProof/>
        </w:rPr>
      </w:pPr>
      <w:r>
        <w:rPr>
          <w:noProof/>
          <w:lang w:val="en-GB" w:eastAsia="en-GB"/>
        </w:rPr>
        <w:lastRenderedPageBreak/>
        <w:drawing>
          <wp:inline distT="0" distB="0" distL="0" distR="0" wp14:anchorId="348D088E" wp14:editId="218DFF76">
            <wp:extent cx="5162550" cy="782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2550" cy="7829550"/>
                    </a:xfrm>
                    <a:prstGeom prst="rect">
                      <a:avLst/>
                    </a:prstGeom>
                    <a:noFill/>
                    <a:ln>
                      <a:noFill/>
                    </a:ln>
                  </pic:spPr>
                </pic:pic>
              </a:graphicData>
            </a:graphic>
          </wp:inline>
        </w:drawing>
      </w:r>
    </w:p>
    <w:p w:rsidR="00014602" w:rsidRDefault="00014602" w:rsidP="00014602">
      <w:pPr>
        <w:pStyle w:val="Caption"/>
        <w:rPr>
          <w:noProof/>
        </w:rPr>
      </w:pPr>
      <w:bookmarkStart w:id="485" w:name="_Toc373147466"/>
      <w:proofErr w:type="gramStart"/>
      <w:r w:rsidRPr="00014602">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4</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6</w:t>
      </w:r>
      <w:r w:rsidR="008943E4">
        <w:rPr>
          <w:b/>
        </w:rPr>
        <w:fldChar w:fldCharType="end"/>
      </w:r>
      <w:r>
        <w:rPr>
          <w:noProof/>
        </w:rPr>
        <w:t xml:space="preserve"> </w:t>
      </w:r>
      <w:bookmarkStart w:id="486" w:name="OLE_LINK1"/>
      <w:bookmarkStart w:id="487" w:name="OLE_LINK2"/>
      <w:r>
        <w:rPr>
          <w:noProof/>
        </w:rPr>
        <w:t xml:space="preserve">Female </w:t>
      </w:r>
      <w:r>
        <w:rPr>
          <w:i/>
          <w:noProof/>
        </w:rPr>
        <w:t xml:space="preserve">Pan troglodytes </w:t>
      </w:r>
      <w:r>
        <w:rPr>
          <w:noProof/>
        </w:rPr>
        <w:t>mid-fusion with generated dental score.</w:t>
      </w:r>
      <w:bookmarkEnd w:id="485"/>
      <w:bookmarkEnd w:id="486"/>
      <w:bookmarkEnd w:id="487"/>
    </w:p>
    <w:p w:rsidR="00014602" w:rsidRPr="00014602" w:rsidRDefault="00F3498F" w:rsidP="008A24F9">
      <w:pPr>
        <w:tabs>
          <w:tab w:val="left" w:pos="360"/>
        </w:tabs>
        <w:spacing w:line="240" w:lineRule="auto"/>
        <w:jc w:val="center"/>
        <w:rPr>
          <w:b/>
          <w:noProof/>
        </w:rPr>
      </w:pPr>
      <w:r>
        <w:rPr>
          <w:b/>
          <w:noProof/>
          <w:lang w:val="en-GB" w:eastAsia="en-GB"/>
        </w:rPr>
        <w:lastRenderedPageBreak/>
        <w:drawing>
          <wp:inline distT="0" distB="0" distL="0" distR="0" wp14:anchorId="5F8E1D78" wp14:editId="6A0D68FF">
            <wp:extent cx="4914900" cy="76009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7600950"/>
                    </a:xfrm>
                    <a:prstGeom prst="rect">
                      <a:avLst/>
                    </a:prstGeom>
                    <a:noFill/>
                    <a:ln>
                      <a:noFill/>
                    </a:ln>
                  </pic:spPr>
                </pic:pic>
              </a:graphicData>
            </a:graphic>
          </wp:inline>
        </w:drawing>
      </w:r>
    </w:p>
    <w:p w:rsidR="008A24F9" w:rsidRPr="00014602" w:rsidRDefault="00014602" w:rsidP="00014602">
      <w:pPr>
        <w:pStyle w:val="Caption"/>
        <w:rPr>
          <w:b/>
          <w:noProof/>
        </w:rPr>
      </w:pPr>
      <w:bookmarkStart w:id="488" w:name="_Toc373147467"/>
      <w:proofErr w:type="gramStart"/>
      <w:r w:rsidRPr="00014602">
        <w:rPr>
          <w:b/>
        </w:rPr>
        <w:t xml:space="preserve">Figure </w:t>
      </w:r>
      <w:r w:rsidR="008E5014">
        <w:rPr>
          <w:b/>
        </w:rPr>
        <w:t xml:space="preserve"> </w:t>
      </w:r>
      <w:proofErr w:type="gramEnd"/>
      <w:r w:rsidR="008943E4">
        <w:rPr>
          <w:b/>
        </w:rPr>
        <w:fldChar w:fldCharType="begin"/>
      </w:r>
      <w:r w:rsidR="00A54D06">
        <w:rPr>
          <w:b/>
        </w:rPr>
        <w:instrText xml:space="preserve"> STYLEREF 1 \s </w:instrText>
      </w:r>
      <w:r w:rsidR="008943E4">
        <w:rPr>
          <w:b/>
        </w:rPr>
        <w:fldChar w:fldCharType="separate"/>
      </w:r>
      <w:r w:rsidR="00795735">
        <w:rPr>
          <w:b/>
          <w:noProof/>
        </w:rPr>
        <w:t>4</w:t>
      </w:r>
      <w:r w:rsidR="008943E4">
        <w:rPr>
          <w:b/>
        </w:rPr>
        <w:fldChar w:fldCharType="end"/>
      </w:r>
      <w:r w:rsidR="00A54D06">
        <w:rPr>
          <w:b/>
        </w:rPr>
        <w:t>.</w:t>
      </w:r>
      <w:r w:rsidR="008943E4">
        <w:rPr>
          <w:b/>
        </w:rPr>
        <w:fldChar w:fldCharType="begin"/>
      </w:r>
      <w:r w:rsidR="00A54D06">
        <w:rPr>
          <w:b/>
        </w:rPr>
        <w:instrText xml:space="preserve"> SEQ Figure \* ARABIC \s 1 </w:instrText>
      </w:r>
      <w:r w:rsidR="008943E4">
        <w:rPr>
          <w:b/>
        </w:rPr>
        <w:fldChar w:fldCharType="separate"/>
      </w:r>
      <w:r w:rsidR="00795735">
        <w:rPr>
          <w:b/>
          <w:noProof/>
        </w:rPr>
        <w:t>7</w:t>
      </w:r>
      <w:r w:rsidR="008943E4">
        <w:rPr>
          <w:b/>
        </w:rPr>
        <w:fldChar w:fldCharType="end"/>
      </w:r>
      <w:r>
        <w:rPr>
          <w:b/>
        </w:rPr>
        <w:t xml:space="preserve"> </w:t>
      </w:r>
      <w:r>
        <w:rPr>
          <w:noProof/>
        </w:rPr>
        <w:t xml:space="preserve">Female </w:t>
      </w:r>
      <w:r>
        <w:rPr>
          <w:i/>
          <w:noProof/>
        </w:rPr>
        <w:t xml:space="preserve">Pan troglodytes </w:t>
      </w:r>
      <w:r>
        <w:rPr>
          <w:noProof/>
        </w:rPr>
        <w:t>complete-fusion with generated dental score.</w:t>
      </w:r>
      <w:bookmarkEnd w:id="488"/>
    </w:p>
    <w:p w:rsidR="008A24F9" w:rsidRDefault="00F3498F" w:rsidP="0075481E">
      <w:pPr>
        <w:tabs>
          <w:tab w:val="left" w:pos="360"/>
        </w:tabs>
        <w:spacing w:line="240" w:lineRule="auto"/>
        <w:jc w:val="center"/>
        <w:rPr>
          <w:noProof/>
        </w:rPr>
      </w:pPr>
      <w:r>
        <w:rPr>
          <w:noProof/>
          <w:lang w:val="en-GB" w:eastAsia="en-GB"/>
        </w:rPr>
        <w:lastRenderedPageBreak/>
        <w:drawing>
          <wp:inline distT="0" distB="0" distL="0" distR="0" wp14:anchorId="1F81E7C3" wp14:editId="55A4F79C">
            <wp:extent cx="5581650" cy="7620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7620000"/>
                    </a:xfrm>
                    <a:prstGeom prst="rect">
                      <a:avLst/>
                    </a:prstGeom>
                    <a:noFill/>
                    <a:ln>
                      <a:noFill/>
                    </a:ln>
                  </pic:spPr>
                </pic:pic>
              </a:graphicData>
            </a:graphic>
          </wp:inline>
        </w:drawing>
      </w:r>
    </w:p>
    <w:p w:rsidR="008A24F9" w:rsidRDefault="00014602" w:rsidP="008A24F9">
      <w:pPr>
        <w:tabs>
          <w:tab w:val="left" w:pos="360"/>
        </w:tabs>
        <w:spacing w:line="240" w:lineRule="auto"/>
        <w:rPr>
          <w:noProof/>
        </w:rPr>
      </w:pPr>
      <w:bookmarkStart w:id="489" w:name="_Toc373147468"/>
      <w:proofErr w:type="gramStart"/>
      <w:r w:rsidRPr="00014602">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4</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8</w:t>
      </w:r>
      <w:r w:rsidR="008943E4">
        <w:rPr>
          <w:b/>
        </w:rPr>
        <w:fldChar w:fldCharType="end"/>
      </w:r>
      <w:r>
        <w:t xml:space="preserve"> </w:t>
      </w:r>
      <w:r>
        <w:rPr>
          <w:noProof/>
        </w:rPr>
        <w:t xml:space="preserve">Male </w:t>
      </w:r>
      <w:r>
        <w:rPr>
          <w:i/>
          <w:noProof/>
        </w:rPr>
        <w:t xml:space="preserve">Pan troglodytes </w:t>
      </w:r>
      <w:r>
        <w:rPr>
          <w:noProof/>
        </w:rPr>
        <w:t>mid-fusion with generated dental score.</w:t>
      </w:r>
      <w:bookmarkEnd w:id="489"/>
    </w:p>
    <w:p w:rsidR="008A24F9" w:rsidRDefault="00F3498F" w:rsidP="008A24F9">
      <w:pPr>
        <w:tabs>
          <w:tab w:val="left" w:pos="360"/>
        </w:tabs>
        <w:spacing w:line="240" w:lineRule="auto"/>
        <w:jc w:val="center"/>
        <w:rPr>
          <w:noProof/>
        </w:rPr>
      </w:pPr>
      <w:r>
        <w:rPr>
          <w:noProof/>
          <w:lang w:val="en-GB" w:eastAsia="en-GB"/>
        </w:rPr>
        <w:lastRenderedPageBreak/>
        <w:drawing>
          <wp:inline distT="0" distB="0" distL="0" distR="0" wp14:anchorId="34BBF85C" wp14:editId="2A33AF59">
            <wp:extent cx="5353050" cy="77343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0" cy="7734300"/>
                    </a:xfrm>
                    <a:prstGeom prst="rect">
                      <a:avLst/>
                    </a:prstGeom>
                    <a:noFill/>
                    <a:ln>
                      <a:noFill/>
                    </a:ln>
                  </pic:spPr>
                </pic:pic>
              </a:graphicData>
            </a:graphic>
          </wp:inline>
        </w:drawing>
      </w:r>
    </w:p>
    <w:p w:rsidR="00A35CA0" w:rsidRDefault="00014602" w:rsidP="00CA5FBB">
      <w:pPr>
        <w:pStyle w:val="Caption"/>
        <w:rPr>
          <w:noProof/>
        </w:rPr>
      </w:pPr>
      <w:bookmarkStart w:id="490" w:name="_Toc373147469"/>
      <w:proofErr w:type="gramStart"/>
      <w:r w:rsidRPr="00014602">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4</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9</w:t>
      </w:r>
      <w:r w:rsidR="008943E4">
        <w:rPr>
          <w:b/>
        </w:rPr>
        <w:fldChar w:fldCharType="end"/>
      </w:r>
      <w:r>
        <w:t xml:space="preserve"> </w:t>
      </w:r>
      <w:r>
        <w:rPr>
          <w:noProof/>
        </w:rPr>
        <w:t xml:space="preserve">Male </w:t>
      </w:r>
      <w:r>
        <w:rPr>
          <w:i/>
          <w:noProof/>
        </w:rPr>
        <w:t xml:space="preserve">Pan troglodytes </w:t>
      </w:r>
      <w:r>
        <w:rPr>
          <w:noProof/>
        </w:rPr>
        <w:t>complete fusion with generated dental score.</w:t>
      </w:r>
      <w:bookmarkEnd w:id="490"/>
    </w:p>
    <w:p w:rsidR="008A24F9" w:rsidRDefault="000320DB" w:rsidP="008A24F9">
      <w:pPr>
        <w:tabs>
          <w:tab w:val="left" w:pos="360"/>
        </w:tabs>
        <w:spacing w:line="240" w:lineRule="auto"/>
        <w:jc w:val="center"/>
        <w:rPr>
          <w:noProof/>
        </w:rPr>
      </w:pPr>
      <w:r>
        <w:rPr>
          <w:noProof/>
          <w:lang w:val="en-GB" w:eastAsia="en-GB"/>
        </w:rPr>
        <w:lastRenderedPageBreak/>
        <w:drawing>
          <wp:inline distT="0" distB="0" distL="0" distR="0" wp14:anchorId="1BDABF94" wp14:editId="31F446DD">
            <wp:extent cx="5124450" cy="6781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4450" cy="6781800"/>
                    </a:xfrm>
                    <a:prstGeom prst="rect">
                      <a:avLst/>
                    </a:prstGeom>
                    <a:noFill/>
                    <a:ln>
                      <a:noFill/>
                    </a:ln>
                  </pic:spPr>
                </pic:pic>
              </a:graphicData>
            </a:graphic>
          </wp:inline>
        </w:drawing>
      </w:r>
    </w:p>
    <w:p w:rsidR="00014602" w:rsidRDefault="00014602" w:rsidP="00014602">
      <w:pPr>
        <w:pStyle w:val="Caption"/>
        <w:rPr>
          <w:noProof/>
        </w:rPr>
      </w:pPr>
      <w:bookmarkStart w:id="491" w:name="_Toc373147470"/>
      <w:proofErr w:type="gramStart"/>
      <w:r w:rsidRPr="00014602">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4</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10</w:t>
      </w:r>
      <w:r w:rsidR="008943E4">
        <w:rPr>
          <w:b/>
        </w:rPr>
        <w:fldChar w:fldCharType="end"/>
      </w:r>
      <w:r>
        <w:t xml:space="preserve"> </w:t>
      </w:r>
      <w:r>
        <w:rPr>
          <w:noProof/>
        </w:rPr>
        <w:t xml:space="preserve">Female </w:t>
      </w:r>
      <w:r w:rsidRPr="00FB662A">
        <w:rPr>
          <w:i/>
          <w:noProof/>
        </w:rPr>
        <w:t>Pan paniscus</w:t>
      </w:r>
      <w:r>
        <w:rPr>
          <w:i/>
          <w:noProof/>
        </w:rPr>
        <w:t xml:space="preserve"> </w:t>
      </w:r>
      <w:r>
        <w:rPr>
          <w:noProof/>
        </w:rPr>
        <w:t>mid-fusion and complete fusion median values plotted against dental score and generated dental score.</w:t>
      </w:r>
      <w:bookmarkEnd w:id="491"/>
    </w:p>
    <w:p w:rsidR="008A24F9" w:rsidRDefault="00EB3679" w:rsidP="001B31C9">
      <w:pPr>
        <w:tabs>
          <w:tab w:val="left" w:pos="360"/>
        </w:tabs>
        <w:spacing w:line="240" w:lineRule="auto"/>
        <w:jc w:val="center"/>
        <w:rPr>
          <w:noProof/>
        </w:rPr>
      </w:pPr>
      <w:r>
        <w:rPr>
          <w:noProof/>
          <w:lang w:val="en-GB" w:eastAsia="en-GB"/>
        </w:rPr>
        <w:lastRenderedPageBreak/>
        <w:drawing>
          <wp:inline distT="0" distB="0" distL="0" distR="0" wp14:anchorId="034F6BAC" wp14:editId="18E261BB">
            <wp:extent cx="5524500" cy="67437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6743700"/>
                    </a:xfrm>
                    <a:prstGeom prst="rect">
                      <a:avLst/>
                    </a:prstGeom>
                    <a:noFill/>
                    <a:ln>
                      <a:noFill/>
                    </a:ln>
                  </pic:spPr>
                </pic:pic>
              </a:graphicData>
            </a:graphic>
          </wp:inline>
        </w:drawing>
      </w:r>
    </w:p>
    <w:p w:rsidR="00014602" w:rsidRDefault="00014602" w:rsidP="00014602">
      <w:pPr>
        <w:pStyle w:val="Caption"/>
        <w:rPr>
          <w:noProof/>
        </w:rPr>
      </w:pPr>
      <w:bookmarkStart w:id="492" w:name="_Toc373147471"/>
      <w:proofErr w:type="gramStart"/>
      <w:r w:rsidRPr="00014602">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4</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r w:rsidR="00795735">
        <w:rPr>
          <w:b/>
          <w:noProof/>
        </w:rPr>
        <w:t>11</w:t>
      </w:r>
      <w:r w:rsidR="008943E4">
        <w:rPr>
          <w:b/>
        </w:rPr>
        <w:fldChar w:fldCharType="end"/>
      </w:r>
      <w:r>
        <w:t xml:space="preserve"> </w:t>
      </w:r>
      <w:r>
        <w:rPr>
          <w:noProof/>
        </w:rPr>
        <w:t xml:space="preserve">Male </w:t>
      </w:r>
      <w:r w:rsidRPr="00FB662A">
        <w:rPr>
          <w:i/>
          <w:noProof/>
        </w:rPr>
        <w:t>Pan paniscus</w:t>
      </w:r>
      <w:r>
        <w:rPr>
          <w:i/>
          <w:noProof/>
        </w:rPr>
        <w:t xml:space="preserve"> </w:t>
      </w:r>
      <w:r>
        <w:rPr>
          <w:noProof/>
        </w:rPr>
        <w:t>mid-fusion and complete fusion median values plotted against dental score and generated dental score.</w:t>
      </w:r>
      <w:bookmarkEnd w:id="492"/>
    </w:p>
    <w:p w:rsidR="00C97871" w:rsidRDefault="00C97871">
      <w:pPr>
        <w:spacing w:before="0" w:after="200" w:line="276" w:lineRule="auto"/>
        <w:jc w:val="left"/>
        <w:rPr>
          <w:noProof/>
        </w:rPr>
      </w:pPr>
      <w:r>
        <w:rPr>
          <w:noProof/>
        </w:rPr>
        <w:br w:type="page"/>
      </w:r>
    </w:p>
    <w:p w:rsidR="00194074" w:rsidRPr="003C4478" w:rsidRDefault="003C4478" w:rsidP="00F02BF4">
      <w:pPr>
        <w:rPr>
          <w:b/>
          <w:noProof/>
        </w:rPr>
      </w:pPr>
      <w:r w:rsidRPr="003C4478">
        <w:rPr>
          <w:b/>
          <w:i/>
          <w:noProof/>
        </w:rPr>
        <w:lastRenderedPageBreak/>
        <w:t xml:space="preserve">4.2.1c </w:t>
      </w:r>
      <w:r w:rsidR="005F1697">
        <w:rPr>
          <w:b/>
          <w:i/>
          <w:noProof/>
        </w:rPr>
        <w:t>Analysis of</w:t>
      </w:r>
      <w:r w:rsidR="00194074" w:rsidRPr="003C4478">
        <w:rPr>
          <w:b/>
          <w:i/>
          <w:noProof/>
        </w:rPr>
        <w:t xml:space="preserve"> sex </w:t>
      </w:r>
      <w:r w:rsidR="005F1697">
        <w:rPr>
          <w:b/>
          <w:i/>
          <w:noProof/>
        </w:rPr>
        <w:t>differences when fusion events are compared to dental score for</w:t>
      </w:r>
      <w:r w:rsidR="00194074" w:rsidRPr="003C4478">
        <w:rPr>
          <w:b/>
          <w:i/>
          <w:noProof/>
        </w:rPr>
        <w:t xml:space="preserve"> </w:t>
      </w:r>
      <w:r w:rsidR="00194074" w:rsidRPr="003C4478">
        <w:rPr>
          <w:b/>
          <w:noProof/>
        </w:rPr>
        <w:t>Pan troglodytes</w:t>
      </w:r>
    </w:p>
    <w:p w:rsidR="00194074" w:rsidRDefault="0002022A" w:rsidP="00F02BF4">
      <w:pPr>
        <w:rPr>
          <w:noProof/>
        </w:rPr>
      </w:pPr>
      <w:r>
        <w:rPr>
          <w:noProof/>
        </w:rPr>
        <w:t xml:space="preserve">As noted in Chapter 2, sex differences between males and females </w:t>
      </w:r>
      <w:r w:rsidR="000738FB">
        <w:rPr>
          <w:noProof/>
        </w:rPr>
        <w:t xml:space="preserve">may be observed </w:t>
      </w:r>
      <w:r>
        <w:rPr>
          <w:noProof/>
        </w:rPr>
        <w:t>relative to chronological time with males delayed relative to females</w:t>
      </w:r>
      <w:r w:rsidR="000738FB">
        <w:rPr>
          <w:noProof/>
        </w:rPr>
        <w:t xml:space="preserve"> (Zihlman </w:t>
      </w:r>
      <w:r w:rsidR="000738FB">
        <w:rPr>
          <w:i/>
          <w:noProof/>
        </w:rPr>
        <w:t>et al</w:t>
      </w:r>
      <w:r w:rsidR="000738FB">
        <w:rPr>
          <w:noProof/>
        </w:rPr>
        <w:t>. 2007)</w:t>
      </w:r>
      <w:r>
        <w:rPr>
          <w:noProof/>
        </w:rPr>
        <w:t>.  It remains to be seen if this is the case for both dental and skeletal development, or if th</w:t>
      </w:r>
      <w:r w:rsidR="00B832D5">
        <w:rPr>
          <w:noProof/>
        </w:rPr>
        <w:t>e delay only</w:t>
      </w:r>
      <w:r w:rsidR="00CA01FE">
        <w:rPr>
          <w:noProof/>
        </w:rPr>
        <w:t xml:space="preserve"> relates</w:t>
      </w:r>
      <w:r w:rsidR="00B832D5">
        <w:rPr>
          <w:noProof/>
        </w:rPr>
        <w:t xml:space="preserve"> </w:t>
      </w:r>
      <w:r w:rsidR="00414CC1">
        <w:rPr>
          <w:noProof/>
        </w:rPr>
        <w:t>to</w:t>
      </w:r>
      <w:r w:rsidR="00B832D5">
        <w:rPr>
          <w:noProof/>
        </w:rPr>
        <w:t xml:space="preserve"> </w:t>
      </w:r>
      <w:r>
        <w:rPr>
          <w:noProof/>
        </w:rPr>
        <w:t>skeletal development</w:t>
      </w:r>
      <w:r w:rsidR="00194074">
        <w:rPr>
          <w:noProof/>
        </w:rPr>
        <w:t xml:space="preserve">.  </w:t>
      </w:r>
      <w:r w:rsidR="00881D22">
        <w:rPr>
          <w:noProof/>
        </w:rPr>
        <w:t>This question may be considered for comparisons of fusion event timing with</w:t>
      </w:r>
      <w:r w:rsidR="00400765">
        <w:rPr>
          <w:noProof/>
        </w:rPr>
        <w:t xml:space="preserve"> respect to dental score.  C</w:t>
      </w:r>
      <w:r w:rsidR="00D629D8">
        <w:rPr>
          <w:noProof/>
        </w:rPr>
        <w:t>omparison</w:t>
      </w:r>
      <w:r>
        <w:rPr>
          <w:noProof/>
        </w:rPr>
        <w:t xml:space="preserve"> </w:t>
      </w:r>
      <w:r w:rsidR="00400765">
        <w:rPr>
          <w:noProof/>
        </w:rPr>
        <w:t xml:space="preserve">are </w:t>
      </w:r>
      <w:r w:rsidR="00D629D8">
        <w:rPr>
          <w:noProof/>
        </w:rPr>
        <w:t xml:space="preserve">limited </w:t>
      </w:r>
      <w:r>
        <w:rPr>
          <w:noProof/>
        </w:rPr>
        <w:t xml:space="preserve">to epiphyses </w:t>
      </w:r>
      <w:r w:rsidR="00194074">
        <w:rPr>
          <w:noProof/>
        </w:rPr>
        <w:t xml:space="preserve">contributing values all below </w:t>
      </w:r>
      <w:r w:rsidR="005E768C">
        <w:rPr>
          <w:noProof/>
        </w:rPr>
        <w:t>DS</w:t>
      </w:r>
      <w:r w:rsidR="00194074">
        <w:rPr>
          <w:noProof/>
        </w:rPr>
        <w:t xml:space="preserve">64 </w:t>
      </w:r>
      <w:r w:rsidR="00D629D8">
        <w:rPr>
          <w:noProof/>
        </w:rPr>
        <w:t xml:space="preserve">with </w:t>
      </w:r>
      <w:r w:rsidR="00194074">
        <w:rPr>
          <w:noProof/>
        </w:rPr>
        <w:t xml:space="preserve">acceptable sample sizes.  An acceptable sample size may be defined as a minimum of 5 individuals.  This limits </w:t>
      </w:r>
      <w:r w:rsidR="00FC4A80">
        <w:rPr>
          <w:noProof/>
        </w:rPr>
        <w:t xml:space="preserve">the number of comparisons </w:t>
      </w:r>
      <w:r w:rsidR="00194074">
        <w:rPr>
          <w:noProof/>
        </w:rPr>
        <w:t xml:space="preserve">but there are a few epiphyses that meet this criteria, namely the </w:t>
      </w:r>
      <w:r w:rsidR="00FB5ED4">
        <w:rPr>
          <w:rFonts w:eastAsia="Times New Roman"/>
          <w:color w:val="000000"/>
          <w:lang w:val="en-GB" w:eastAsia="en-GB"/>
        </w:rPr>
        <w:t>distal humerus</w:t>
      </w:r>
      <w:r w:rsidR="00194074">
        <w:rPr>
          <w:noProof/>
        </w:rPr>
        <w:t xml:space="preserve">, </w:t>
      </w:r>
      <w:r w:rsidR="00AA6F14">
        <w:rPr>
          <w:rFonts w:eastAsia="Times New Roman"/>
          <w:color w:val="000000"/>
          <w:lang w:val="en-GB" w:eastAsia="en-GB"/>
        </w:rPr>
        <w:t xml:space="preserve">humeral </w:t>
      </w:r>
      <w:r w:rsidR="00194074">
        <w:rPr>
          <w:noProof/>
        </w:rPr>
        <w:t>medial epicondyle, proximal ulna, femoral head, lesser trochanter, and middle phalanges of the foot.  A</w:t>
      </w:r>
      <w:r w:rsidR="00FC4A80">
        <w:rPr>
          <w:noProof/>
        </w:rPr>
        <w:t>n independent t-test may be us</w:t>
      </w:r>
      <w:r w:rsidR="00AF3E4C">
        <w:rPr>
          <w:noProof/>
        </w:rPr>
        <w:t>ed to determine if</w:t>
      </w:r>
      <w:r w:rsidR="00FC4A80">
        <w:rPr>
          <w:noProof/>
        </w:rPr>
        <w:t xml:space="preserve"> there are differences between mid-fusion events.  </w:t>
      </w:r>
      <w:r w:rsidR="00BB3440">
        <w:rPr>
          <w:noProof/>
        </w:rPr>
        <w:t>Using</w:t>
      </w:r>
      <w:r w:rsidR="00321689">
        <w:rPr>
          <w:noProof/>
        </w:rPr>
        <w:t xml:space="preserve"> the central limit theorem</w:t>
      </w:r>
      <w:r w:rsidR="00816DDE">
        <w:rPr>
          <w:noProof/>
        </w:rPr>
        <w:t xml:space="preserve"> the large number of ordinal categories presented by dental score approximates a normal distribution and the application of parametric tests to </w:t>
      </w:r>
      <w:r w:rsidR="00321689">
        <w:rPr>
          <w:noProof/>
        </w:rPr>
        <w:t>this distribution</w:t>
      </w:r>
      <w:r w:rsidR="00816DDE">
        <w:rPr>
          <w:noProof/>
        </w:rPr>
        <w:t xml:space="preserve"> may be assumed to be robust</w:t>
      </w:r>
      <w:r w:rsidR="00AF3E4C">
        <w:rPr>
          <w:noProof/>
        </w:rPr>
        <w:t xml:space="preserve"> </w:t>
      </w:r>
      <w:r w:rsidR="00EF645A">
        <w:rPr>
          <w:noProof/>
        </w:rPr>
        <w:t>(Norman 2010)</w:t>
      </w:r>
      <w:r w:rsidR="00AF3E4C">
        <w:rPr>
          <w:noProof/>
        </w:rPr>
        <w:t xml:space="preserve">.  </w:t>
      </w:r>
      <w:r w:rsidR="00816DDE">
        <w:rPr>
          <w:noProof/>
        </w:rPr>
        <w:t>The t-test</w:t>
      </w:r>
      <w:r w:rsidR="00FC4A80">
        <w:rPr>
          <w:noProof/>
        </w:rPr>
        <w:t xml:space="preserve"> test assumes normality of distributions.  A Shapiro-Wilk test for normality was carried out</w:t>
      </w:r>
      <w:r w:rsidR="00940CE5">
        <w:rPr>
          <w:noProof/>
        </w:rPr>
        <w:t xml:space="preserve"> for each epiphysis</w:t>
      </w:r>
      <w:r w:rsidR="00FC4A80">
        <w:rPr>
          <w:noProof/>
        </w:rPr>
        <w:t xml:space="preserve"> and the results are pres</w:t>
      </w:r>
      <w:r w:rsidR="00C6186D">
        <w:rPr>
          <w:noProof/>
        </w:rPr>
        <w:t>ented in Tab</w:t>
      </w:r>
      <w:r w:rsidR="00FC4A80">
        <w:rPr>
          <w:noProof/>
        </w:rPr>
        <w:t>l</w:t>
      </w:r>
      <w:r w:rsidR="00C6186D">
        <w:rPr>
          <w:noProof/>
        </w:rPr>
        <w:t>e</w:t>
      </w:r>
      <w:r w:rsidR="00FC4A80">
        <w:rPr>
          <w:noProof/>
        </w:rPr>
        <w:t xml:space="preserve"> 4.</w:t>
      </w:r>
      <w:r w:rsidR="0059752A">
        <w:rPr>
          <w:noProof/>
        </w:rPr>
        <w:t>7</w:t>
      </w:r>
      <w:r w:rsidR="00FC4A80">
        <w:rPr>
          <w:noProof/>
        </w:rPr>
        <w:t xml:space="preserve">.  </w:t>
      </w:r>
      <w:r w:rsidR="00F86DB2">
        <w:rPr>
          <w:noProof/>
        </w:rPr>
        <w:t xml:space="preserve">The lesser trochanter for female </w:t>
      </w:r>
      <w:r w:rsidR="00F86DB2">
        <w:rPr>
          <w:i/>
          <w:noProof/>
        </w:rPr>
        <w:t xml:space="preserve">Pan troglodytes </w:t>
      </w:r>
      <w:r w:rsidR="00F86DB2">
        <w:rPr>
          <w:noProof/>
        </w:rPr>
        <w:t xml:space="preserve">and the </w:t>
      </w:r>
      <w:r w:rsidR="00FB5ED4">
        <w:rPr>
          <w:rFonts w:eastAsia="Times New Roman"/>
          <w:color w:val="000000"/>
          <w:lang w:val="en-GB" w:eastAsia="en-GB"/>
        </w:rPr>
        <w:t>distal humerus</w:t>
      </w:r>
      <w:r w:rsidR="00FB5ED4">
        <w:rPr>
          <w:noProof/>
        </w:rPr>
        <w:t xml:space="preserve"> </w:t>
      </w:r>
      <w:r w:rsidR="00F86DB2">
        <w:rPr>
          <w:noProof/>
        </w:rPr>
        <w:t xml:space="preserve">for </w:t>
      </w:r>
      <w:r w:rsidR="00F86DB2">
        <w:rPr>
          <w:i/>
          <w:noProof/>
        </w:rPr>
        <w:t>Pan troglodytes</w:t>
      </w:r>
      <w:r w:rsidR="00F86DB2">
        <w:rPr>
          <w:noProof/>
        </w:rPr>
        <w:t xml:space="preserve"> males violate this assumption but all others fail to reject the null hypothesis and normality is assumed</w:t>
      </w:r>
      <w:r w:rsidR="00194074">
        <w:rPr>
          <w:noProof/>
        </w:rPr>
        <w:t>.</w:t>
      </w:r>
      <w:r w:rsidR="00C6186D">
        <w:rPr>
          <w:noProof/>
        </w:rPr>
        <w:t xml:space="preserve">  Independent sample t-tests were carried out for the </w:t>
      </w:r>
      <w:r w:rsidR="000E75D0">
        <w:rPr>
          <w:rFonts w:eastAsia="Times New Roman"/>
          <w:color w:val="000000"/>
          <w:lang w:val="en-GB" w:eastAsia="en-GB"/>
        </w:rPr>
        <w:t xml:space="preserve">humeral </w:t>
      </w:r>
      <w:r w:rsidR="00C6186D">
        <w:rPr>
          <w:noProof/>
        </w:rPr>
        <w:t>medial epicondyle, proximal ulna, femoral head, and middle phalanges of the foot.  Th</w:t>
      </w:r>
      <w:r w:rsidR="00CA0CFF">
        <w:rPr>
          <w:noProof/>
        </w:rPr>
        <w:t>e results are shown in T</w:t>
      </w:r>
      <w:r w:rsidR="0059752A">
        <w:rPr>
          <w:noProof/>
        </w:rPr>
        <w:t>able 4.8</w:t>
      </w:r>
      <w:r w:rsidR="00C6186D">
        <w:rPr>
          <w:noProof/>
        </w:rPr>
        <w:t>.</w:t>
      </w:r>
    </w:p>
    <w:p w:rsidR="007D2A30" w:rsidRDefault="00F02BF4" w:rsidP="00F02BF4">
      <w:pPr>
        <w:pStyle w:val="Caption"/>
        <w:keepNext/>
        <w:rPr>
          <w:noProof/>
        </w:rPr>
      </w:pPr>
      <w:bookmarkStart w:id="493" w:name="_Toc373180151"/>
      <w:proofErr w:type="gramStart"/>
      <w:r w:rsidRPr="00F02BF4">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7</w:t>
      </w:r>
      <w:r w:rsidR="008943E4">
        <w:rPr>
          <w:b/>
        </w:rPr>
        <w:fldChar w:fldCharType="end"/>
      </w:r>
      <w:r>
        <w:rPr>
          <w:noProof/>
        </w:rPr>
        <w:t xml:space="preserve"> </w:t>
      </w:r>
      <w:r w:rsidR="007D2A30">
        <w:rPr>
          <w:noProof/>
        </w:rPr>
        <w:t xml:space="preserve">Shapiro-Wilk normality test for </w:t>
      </w:r>
      <w:r w:rsidR="007D2A30" w:rsidRPr="007D2A30">
        <w:rPr>
          <w:i/>
          <w:noProof/>
        </w:rPr>
        <w:t>Pan troglodytes</w:t>
      </w:r>
      <w:r w:rsidR="007D2A30">
        <w:rPr>
          <w:noProof/>
        </w:rPr>
        <w:t xml:space="preserve"> male and female epiphyses with dental scores below DS64.</w:t>
      </w:r>
      <w:bookmarkEnd w:id="493"/>
    </w:p>
    <w:tbl>
      <w:tblPr>
        <w:tblW w:w="8409" w:type="dxa"/>
        <w:jc w:val="center"/>
        <w:tblInd w:w="93" w:type="dxa"/>
        <w:tblBorders>
          <w:top w:val="single" w:sz="4" w:space="0" w:color="auto"/>
          <w:bottom w:val="single" w:sz="4" w:space="0" w:color="auto"/>
        </w:tblBorders>
        <w:tblLook w:val="04A0" w:firstRow="1" w:lastRow="0" w:firstColumn="1" w:lastColumn="0" w:noHBand="0" w:noVBand="1"/>
      </w:tblPr>
      <w:tblGrid>
        <w:gridCol w:w="2567"/>
        <w:gridCol w:w="2693"/>
        <w:gridCol w:w="1309"/>
        <w:gridCol w:w="817"/>
        <w:gridCol w:w="1023"/>
      </w:tblGrid>
      <w:tr w:rsidR="00E16E2F" w:rsidRPr="00E16E2F" w:rsidTr="00556B5B">
        <w:trPr>
          <w:trHeight w:val="300"/>
          <w:jc w:val="center"/>
        </w:trPr>
        <w:tc>
          <w:tcPr>
            <w:tcW w:w="2567" w:type="dxa"/>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693" w:type="dxa"/>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3149" w:type="dxa"/>
            <w:gridSpan w:val="3"/>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Shapiro-Wilk</w:t>
            </w:r>
          </w:p>
        </w:tc>
      </w:tr>
      <w:tr w:rsidR="007D2A30" w:rsidRPr="00E16E2F" w:rsidTr="00556B5B">
        <w:trPr>
          <w:trHeight w:val="315"/>
          <w:jc w:val="center"/>
        </w:trPr>
        <w:tc>
          <w:tcPr>
            <w:tcW w:w="2567" w:type="dxa"/>
            <w:tcBorders>
              <w:bottom w:val="single" w:sz="4" w:space="0" w:color="auto"/>
            </w:tcBorders>
            <w:shd w:val="clear" w:color="auto" w:fill="auto"/>
            <w:noWrap/>
            <w:vAlign w:val="center"/>
            <w:hideMark/>
          </w:tcPr>
          <w:p w:rsidR="00A35CA0" w:rsidRPr="00CA5FBB" w:rsidRDefault="00B16105"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ex</w:t>
            </w:r>
          </w:p>
        </w:tc>
        <w:tc>
          <w:tcPr>
            <w:tcW w:w="2693" w:type="dxa"/>
            <w:tcBorders>
              <w:bottom w:val="single" w:sz="4" w:space="0" w:color="auto"/>
            </w:tcBorders>
            <w:shd w:val="clear" w:color="auto" w:fill="auto"/>
            <w:noWrap/>
            <w:vAlign w:val="center"/>
            <w:hideMark/>
          </w:tcPr>
          <w:p w:rsidR="00A35CA0" w:rsidRPr="00CA5FBB" w:rsidRDefault="00B16105" w:rsidP="00CA5FBB">
            <w:pPr>
              <w:spacing w:before="0" w:line="240" w:lineRule="auto"/>
              <w:jc w:val="center"/>
              <w:rPr>
                <w:rFonts w:eastAsia="Times New Roman"/>
                <w:b/>
                <w:color w:val="000000"/>
                <w:lang w:val="en-GB" w:eastAsia="en-GB"/>
              </w:rPr>
            </w:pPr>
            <w:r>
              <w:rPr>
                <w:rFonts w:eastAsia="Times New Roman"/>
                <w:b/>
                <w:color w:val="000000"/>
                <w:lang w:val="en-GB" w:eastAsia="en-GB"/>
              </w:rPr>
              <w:t>e</w:t>
            </w:r>
            <w:r w:rsidR="008943E4" w:rsidRPr="00CA5FBB">
              <w:rPr>
                <w:rFonts w:eastAsia="Times New Roman"/>
                <w:b/>
                <w:color w:val="000000"/>
                <w:lang w:val="en-GB" w:eastAsia="en-GB"/>
              </w:rPr>
              <w:t>piphysis</w:t>
            </w:r>
          </w:p>
        </w:tc>
        <w:tc>
          <w:tcPr>
            <w:tcW w:w="1309" w:type="dxa"/>
            <w:tcBorders>
              <w:top w:val="single" w:sz="4" w:space="0" w:color="auto"/>
              <w:bottom w:val="single" w:sz="4" w:space="0" w:color="auto"/>
            </w:tcBorders>
            <w:shd w:val="clear" w:color="auto" w:fill="auto"/>
            <w:noWrap/>
            <w:vAlign w:val="center"/>
            <w:hideMark/>
          </w:tcPr>
          <w:p w:rsidR="00A35CA0" w:rsidRPr="00CA5FBB" w:rsidRDefault="00B16105"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tatistic</w:t>
            </w:r>
          </w:p>
        </w:tc>
        <w:tc>
          <w:tcPr>
            <w:tcW w:w="817" w:type="dxa"/>
            <w:tcBorders>
              <w:top w:val="single" w:sz="4" w:space="0" w:color="auto"/>
              <w:bottom w:val="single" w:sz="4" w:space="0" w:color="auto"/>
            </w:tcBorders>
            <w:shd w:val="clear" w:color="auto" w:fill="auto"/>
            <w:noWrap/>
            <w:vAlign w:val="center"/>
            <w:hideMark/>
          </w:tcPr>
          <w:p w:rsidR="00A35CA0" w:rsidRPr="00CA5FBB" w:rsidRDefault="00E26C94" w:rsidP="00CA5FBB">
            <w:pPr>
              <w:spacing w:before="0" w:line="240" w:lineRule="auto"/>
              <w:jc w:val="center"/>
              <w:rPr>
                <w:rFonts w:eastAsia="Times New Roman"/>
                <w:b/>
                <w:color w:val="000000"/>
                <w:lang w:val="en-GB" w:eastAsia="en-GB"/>
              </w:rPr>
            </w:pPr>
            <w:r>
              <w:rPr>
                <w:rFonts w:eastAsia="Times New Roman"/>
                <w:b/>
                <w:color w:val="000000"/>
                <w:lang w:val="en-GB" w:eastAsia="en-GB"/>
              </w:rPr>
              <w:t>df</w:t>
            </w:r>
          </w:p>
        </w:tc>
        <w:tc>
          <w:tcPr>
            <w:tcW w:w="1023" w:type="dxa"/>
            <w:tcBorders>
              <w:top w:val="single" w:sz="4" w:space="0" w:color="auto"/>
              <w:bottom w:val="single" w:sz="4" w:space="0" w:color="auto"/>
            </w:tcBorders>
            <w:shd w:val="clear" w:color="auto" w:fill="auto"/>
            <w:noWrap/>
            <w:vAlign w:val="center"/>
            <w:hideMark/>
          </w:tcPr>
          <w:p w:rsidR="00A35CA0" w:rsidRPr="00CA5FBB" w:rsidRDefault="00B16105"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ig.</w:t>
            </w:r>
          </w:p>
        </w:tc>
      </w:tr>
      <w:tr w:rsidR="00E16E2F" w:rsidRPr="007D2A30" w:rsidTr="00556B5B">
        <w:trPr>
          <w:cantSplit/>
          <w:trHeight w:val="330"/>
          <w:jc w:val="center"/>
        </w:trPr>
        <w:tc>
          <w:tcPr>
            <w:tcW w:w="2567" w:type="dxa"/>
            <w:vMerge w:val="restart"/>
            <w:tcBorders>
              <w:top w:val="single" w:sz="4" w:space="0" w:color="auto"/>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lang w:val="en-GB" w:eastAsia="en-GB"/>
              </w:rPr>
            </w:pPr>
            <w:r w:rsidRPr="007D2A30">
              <w:rPr>
                <w:rFonts w:eastAsia="Times New Roman"/>
                <w:i/>
                <w:iCs/>
                <w:color w:val="000000"/>
                <w:lang w:val="en-GB" w:eastAsia="en-GB"/>
              </w:rPr>
              <w:t>Pan troglodytes</w:t>
            </w:r>
            <w:r w:rsidRPr="007D2A30">
              <w:rPr>
                <w:rFonts w:eastAsia="Times New Roman"/>
                <w:color w:val="000000"/>
                <w:lang w:val="en-GB" w:eastAsia="en-GB"/>
              </w:rPr>
              <w:t xml:space="preserve"> females</w:t>
            </w:r>
          </w:p>
        </w:tc>
        <w:tc>
          <w:tcPr>
            <w:tcW w:w="2693" w:type="dxa"/>
            <w:tcBorders>
              <w:top w:val="single" w:sz="4" w:space="0" w:color="auto"/>
              <w:bottom w:val="nil"/>
            </w:tcBorders>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1309" w:type="dxa"/>
            <w:tcBorders>
              <w:top w:val="single" w:sz="4" w:space="0" w:color="auto"/>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1.000</w:t>
            </w:r>
          </w:p>
        </w:tc>
        <w:tc>
          <w:tcPr>
            <w:tcW w:w="817" w:type="dxa"/>
            <w:tcBorders>
              <w:top w:val="single" w:sz="4" w:space="0" w:color="auto"/>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tcBorders>
              <w:top w:val="single" w:sz="4" w:space="0" w:color="auto"/>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1.000</w:t>
            </w:r>
          </w:p>
        </w:tc>
      </w:tr>
      <w:tr w:rsidR="00E16E2F" w:rsidRPr="007D2A30" w:rsidTr="00556B5B">
        <w:trPr>
          <w:trHeight w:val="300"/>
          <w:jc w:val="center"/>
        </w:trPr>
        <w:tc>
          <w:tcPr>
            <w:tcW w:w="2567"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AA6F1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E16E2F" w:rsidRPr="007D2A30">
              <w:rPr>
                <w:rFonts w:eastAsia="Times New Roman"/>
                <w:color w:val="000000"/>
                <w:lang w:val="en-GB" w:eastAsia="en-GB"/>
              </w:rPr>
              <w:t>medial epicondyle</w:t>
            </w:r>
          </w:p>
        </w:tc>
        <w:tc>
          <w:tcPr>
            <w:tcW w:w="1309"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0.893</w:t>
            </w:r>
          </w:p>
        </w:tc>
        <w:tc>
          <w:tcPr>
            <w:tcW w:w="817"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0.363</w:t>
            </w:r>
          </w:p>
        </w:tc>
      </w:tr>
      <w:tr w:rsidR="00E16E2F" w:rsidRPr="007D2A30" w:rsidTr="00556B5B">
        <w:trPr>
          <w:trHeight w:val="300"/>
          <w:jc w:val="center"/>
        </w:trPr>
        <w:tc>
          <w:tcPr>
            <w:tcW w:w="2567"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proximal ulna</w:t>
            </w:r>
          </w:p>
        </w:tc>
        <w:tc>
          <w:tcPr>
            <w:tcW w:w="1309"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0.964</w:t>
            </w:r>
          </w:p>
        </w:tc>
        <w:tc>
          <w:tcPr>
            <w:tcW w:w="817"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0.637</w:t>
            </w:r>
          </w:p>
        </w:tc>
      </w:tr>
      <w:tr w:rsidR="00E16E2F" w:rsidRPr="007D2A30" w:rsidTr="00556B5B">
        <w:trPr>
          <w:trHeight w:val="300"/>
          <w:jc w:val="center"/>
        </w:trPr>
        <w:tc>
          <w:tcPr>
            <w:tcW w:w="2567"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femoral head</w:t>
            </w:r>
          </w:p>
        </w:tc>
        <w:tc>
          <w:tcPr>
            <w:tcW w:w="1309"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0.893</w:t>
            </w:r>
          </w:p>
        </w:tc>
        <w:tc>
          <w:tcPr>
            <w:tcW w:w="817"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0.363</w:t>
            </w:r>
          </w:p>
        </w:tc>
      </w:tr>
      <w:tr w:rsidR="00E16E2F" w:rsidRPr="007D2A30" w:rsidTr="00556B5B">
        <w:trPr>
          <w:trHeight w:val="300"/>
          <w:jc w:val="center"/>
        </w:trPr>
        <w:tc>
          <w:tcPr>
            <w:tcW w:w="2567"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lesser trochanter</w:t>
            </w:r>
          </w:p>
        </w:tc>
        <w:tc>
          <w:tcPr>
            <w:tcW w:w="1309"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0.750</w:t>
            </w:r>
          </w:p>
        </w:tc>
        <w:tc>
          <w:tcPr>
            <w:tcW w:w="817"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tcBorders>
              <w:top w:val="nil"/>
              <w:bottom w:val="nil"/>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0.000</w:t>
            </w:r>
          </w:p>
        </w:tc>
      </w:tr>
      <w:tr w:rsidR="00E16E2F" w:rsidRPr="007D2A30" w:rsidTr="00556B5B">
        <w:trPr>
          <w:trHeight w:val="300"/>
          <w:jc w:val="center"/>
        </w:trPr>
        <w:tc>
          <w:tcPr>
            <w:tcW w:w="2567"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single" w:sz="4" w:space="0" w:color="auto"/>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middle phalanges (foot)</w:t>
            </w:r>
          </w:p>
        </w:tc>
        <w:tc>
          <w:tcPr>
            <w:tcW w:w="1309" w:type="dxa"/>
            <w:tcBorders>
              <w:top w:val="nil"/>
              <w:bottom w:val="single" w:sz="4" w:space="0" w:color="auto"/>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0.821</w:t>
            </w:r>
          </w:p>
        </w:tc>
        <w:tc>
          <w:tcPr>
            <w:tcW w:w="817" w:type="dxa"/>
            <w:tcBorders>
              <w:top w:val="nil"/>
              <w:bottom w:val="single" w:sz="4" w:space="0" w:color="auto"/>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tcBorders>
              <w:top w:val="nil"/>
              <w:bottom w:val="single" w:sz="4" w:space="0" w:color="auto"/>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0.165</w:t>
            </w:r>
          </w:p>
        </w:tc>
      </w:tr>
      <w:tr w:rsidR="00E16E2F" w:rsidRPr="007D2A30" w:rsidTr="00556B5B">
        <w:trPr>
          <w:trHeight w:val="300"/>
          <w:jc w:val="center"/>
        </w:trPr>
        <w:tc>
          <w:tcPr>
            <w:tcW w:w="2567" w:type="dxa"/>
            <w:vMerge w:val="restart"/>
            <w:tcBorders>
              <w:top w:val="single" w:sz="4" w:space="0" w:color="auto"/>
            </w:tcBorders>
            <w:shd w:val="clear" w:color="auto" w:fill="auto"/>
            <w:noWrap/>
            <w:vAlign w:val="center"/>
            <w:hideMark/>
          </w:tcPr>
          <w:p w:rsidR="00A35CA0" w:rsidRDefault="00E16E2F" w:rsidP="00CA5FBB">
            <w:pPr>
              <w:spacing w:before="0" w:line="240" w:lineRule="auto"/>
              <w:jc w:val="center"/>
              <w:rPr>
                <w:rFonts w:eastAsia="Times New Roman"/>
                <w:color w:val="000000"/>
                <w:lang w:val="en-GB" w:eastAsia="en-GB"/>
              </w:rPr>
            </w:pPr>
            <w:r w:rsidRPr="007D2A30">
              <w:rPr>
                <w:rFonts w:eastAsia="Times New Roman"/>
                <w:i/>
                <w:iCs/>
                <w:color w:val="000000"/>
                <w:lang w:val="en-GB" w:eastAsia="en-GB"/>
              </w:rPr>
              <w:t>Pan troglodytes</w:t>
            </w:r>
            <w:r w:rsidRPr="007D2A30">
              <w:rPr>
                <w:rFonts w:eastAsia="Times New Roman"/>
                <w:color w:val="000000"/>
                <w:lang w:val="en-GB" w:eastAsia="en-GB"/>
              </w:rPr>
              <w:t xml:space="preserve"> males</w:t>
            </w:r>
          </w:p>
        </w:tc>
        <w:tc>
          <w:tcPr>
            <w:tcW w:w="2693"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1309" w:type="dxa"/>
            <w:tcBorders>
              <w:top w:val="single" w:sz="4" w:space="0" w:color="auto"/>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0.750</w:t>
            </w:r>
          </w:p>
        </w:tc>
        <w:tc>
          <w:tcPr>
            <w:tcW w:w="817" w:type="dxa"/>
            <w:tcBorders>
              <w:top w:val="single" w:sz="4" w:space="0" w:color="auto"/>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tcBorders>
              <w:top w:val="single" w:sz="4" w:space="0" w:color="auto"/>
            </w:tcBorders>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0.000</w:t>
            </w:r>
          </w:p>
        </w:tc>
      </w:tr>
      <w:tr w:rsidR="00E16E2F" w:rsidRPr="007D2A30" w:rsidTr="00556B5B">
        <w:trPr>
          <w:cantSplit/>
          <w:trHeight w:val="300"/>
          <w:jc w:val="center"/>
        </w:trPr>
        <w:tc>
          <w:tcPr>
            <w:tcW w:w="2567"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AA6F1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E16E2F" w:rsidRPr="007D2A30">
              <w:rPr>
                <w:rFonts w:eastAsia="Times New Roman"/>
                <w:color w:val="000000"/>
                <w:lang w:val="en-GB" w:eastAsia="en-GB"/>
              </w:rPr>
              <w:t>medial epicondyle</w:t>
            </w:r>
          </w:p>
        </w:tc>
        <w:tc>
          <w:tcPr>
            <w:tcW w:w="1309"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0.987</w:t>
            </w:r>
          </w:p>
        </w:tc>
        <w:tc>
          <w:tcPr>
            <w:tcW w:w="817"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0.780</w:t>
            </w:r>
          </w:p>
        </w:tc>
      </w:tr>
      <w:tr w:rsidR="00E16E2F" w:rsidRPr="007D2A30" w:rsidTr="00556B5B">
        <w:trPr>
          <w:cantSplit/>
          <w:trHeight w:val="300"/>
          <w:jc w:val="center"/>
        </w:trPr>
        <w:tc>
          <w:tcPr>
            <w:tcW w:w="2567"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proximal ulna</w:t>
            </w:r>
          </w:p>
        </w:tc>
        <w:tc>
          <w:tcPr>
            <w:tcW w:w="1309"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0.964</w:t>
            </w:r>
          </w:p>
        </w:tc>
        <w:tc>
          <w:tcPr>
            <w:tcW w:w="817"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0.637</w:t>
            </w:r>
          </w:p>
        </w:tc>
      </w:tr>
      <w:tr w:rsidR="00E16E2F" w:rsidRPr="007D2A30" w:rsidTr="00556B5B">
        <w:trPr>
          <w:cantSplit/>
          <w:trHeight w:val="300"/>
          <w:jc w:val="center"/>
        </w:trPr>
        <w:tc>
          <w:tcPr>
            <w:tcW w:w="2567"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femoral head</w:t>
            </w:r>
          </w:p>
        </w:tc>
        <w:tc>
          <w:tcPr>
            <w:tcW w:w="1309"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0.964</w:t>
            </w:r>
          </w:p>
        </w:tc>
        <w:tc>
          <w:tcPr>
            <w:tcW w:w="817"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0.637</w:t>
            </w:r>
          </w:p>
        </w:tc>
      </w:tr>
      <w:tr w:rsidR="00E16E2F" w:rsidRPr="007D2A30" w:rsidTr="00556B5B">
        <w:trPr>
          <w:cantSplit/>
          <w:trHeight w:val="300"/>
          <w:jc w:val="center"/>
        </w:trPr>
        <w:tc>
          <w:tcPr>
            <w:tcW w:w="2567"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lesser trochanter</w:t>
            </w:r>
          </w:p>
        </w:tc>
        <w:tc>
          <w:tcPr>
            <w:tcW w:w="1309"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1.000</w:t>
            </w:r>
          </w:p>
        </w:tc>
        <w:tc>
          <w:tcPr>
            <w:tcW w:w="817"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1.000</w:t>
            </w:r>
          </w:p>
        </w:tc>
      </w:tr>
      <w:tr w:rsidR="00E16E2F" w:rsidRPr="007D2A30" w:rsidTr="00556B5B">
        <w:trPr>
          <w:cantSplit/>
          <w:trHeight w:val="300"/>
          <w:jc w:val="center"/>
        </w:trPr>
        <w:tc>
          <w:tcPr>
            <w:tcW w:w="2567"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middle phalanges (foot)</w:t>
            </w:r>
          </w:p>
        </w:tc>
        <w:tc>
          <w:tcPr>
            <w:tcW w:w="1309"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0.964</w:t>
            </w:r>
          </w:p>
        </w:tc>
        <w:tc>
          <w:tcPr>
            <w:tcW w:w="817"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3</w:t>
            </w:r>
          </w:p>
        </w:tc>
        <w:tc>
          <w:tcPr>
            <w:tcW w:w="1023" w:type="dxa"/>
            <w:shd w:val="clear" w:color="auto" w:fill="auto"/>
            <w:noWrap/>
            <w:vAlign w:val="center"/>
            <w:hideMark/>
          </w:tcPr>
          <w:p w:rsidR="00A35CA0" w:rsidRDefault="00E16E2F" w:rsidP="00CA5FBB">
            <w:pPr>
              <w:spacing w:before="0" w:line="240" w:lineRule="auto"/>
              <w:jc w:val="center"/>
              <w:rPr>
                <w:rFonts w:eastAsia="Times New Roman"/>
                <w:color w:val="000000"/>
                <w:sz w:val="24"/>
                <w:szCs w:val="24"/>
                <w:lang w:val="en-GB" w:eastAsia="en-GB"/>
              </w:rPr>
            </w:pPr>
            <w:r w:rsidRPr="007D2A30">
              <w:rPr>
                <w:rFonts w:eastAsia="Times New Roman"/>
                <w:color w:val="000000"/>
                <w:lang w:val="en-GB" w:eastAsia="en-GB"/>
              </w:rPr>
              <w:t>0.637</w:t>
            </w:r>
          </w:p>
        </w:tc>
      </w:tr>
    </w:tbl>
    <w:p w:rsidR="00E378C7" w:rsidRDefault="00E378C7">
      <w:pPr>
        <w:spacing w:before="0" w:after="200" w:line="276" w:lineRule="auto"/>
        <w:jc w:val="left"/>
        <w:rPr>
          <w:bCs/>
          <w:noProof/>
          <w:szCs w:val="18"/>
        </w:rPr>
      </w:pPr>
      <w:r>
        <w:rPr>
          <w:noProof/>
        </w:rPr>
        <w:br w:type="page"/>
      </w:r>
    </w:p>
    <w:p w:rsidR="00194074" w:rsidRDefault="00F02BF4" w:rsidP="00F02BF4">
      <w:pPr>
        <w:pStyle w:val="Caption"/>
        <w:rPr>
          <w:noProof/>
        </w:rPr>
      </w:pPr>
      <w:bookmarkStart w:id="494" w:name="_Toc373180152"/>
      <w:proofErr w:type="gramStart"/>
      <w:r w:rsidRPr="00F02BF4">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8</w:t>
      </w:r>
      <w:r w:rsidR="008943E4">
        <w:rPr>
          <w:b/>
        </w:rPr>
        <w:fldChar w:fldCharType="end"/>
      </w:r>
      <w:r>
        <w:t xml:space="preserve"> </w:t>
      </w:r>
      <w:r w:rsidR="00113D02">
        <w:rPr>
          <w:noProof/>
        </w:rPr>
        <w:t>t</w:t>
      </w:r>
      <w:r w:rsidR="00194074">
        <w:rPr>
          <w:noProof/>
        </w:rPr>
        <w:t xml:space="preserve">-test comparison for male and female </w:t>
      </w:r>
      <w:r w:rsidR="00194074">
        <w:rPr>
          <w:i/>
          <w:noProof/>
        </w:rPr>
        <w:t>Pan troglodytes</w:t>
      </w:r>
      <w:r w:rsidR="00194074">
        <w:rPr>
          <w:noProof/>
        </w:rPr>
        <w:t xml:space="preserve"> epiphyses that satisfy criteria for being below dental score 64.</w:t>
      </w:r>
      <w:bookmarkEnd w:id="494"/>
    </w:p>
    <w:tbl>
      <w:tblPr>
        <w:tblW w:w="9640" w:type="dxa"/>
        <w:tblInd w:w="-34" w:type="dxa"/>
        <w:tblLayout w:type="fixed"/>
        <w:tblLook w:val="04A0" w:firstRow="1" w:lastRow="0" w:firstColumn="1" w:lastColumn="0" w:noHBand="0" w:noVBand="1"/>
      </w:tblPr>
      <w:tblGrid>
        <w:gridCol w:w="1276"/>
        <w:gridCol w:w="426"/>
        <w:gridCol w:w="850"/>
        <w:gridCol w:w="709"/>
        <w:gridCol w:w="709"/>
        <w:gridCol w:w="567"/>
        <w:gridCol w:w="850"/>
        <w:gridCol w:w="1276"/>
        <w:gridCol w:w="1262"/>
        <w:gridCol w:w="864"/>
        <w:gridCol w:w="851"/>
      </w:tblGrid>
      <w:tr w:rsidR="009927D9" w:rsidRPr="009927D9" w:rsidTr="006C308F">
        <w:trPr>
          <w:trHeight w:val="283"/>
        </w:trPr>
        <w:tc>
          <w:tcPr>
            <w:tcW w:w="1702" w:type="dxa"/>
            <w:gridSpan w:val="2"/>
            <w:tcBorders>
              <w:top w:val="single" w:sz="8" w:space="0" w:color="auto"/>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1559" w:type="dxa"/>
            <w:gridSpan w:val="2"/>
            <w:tcBorders>
              <w:top w:val="single" w:sz="8" w:space="0" w:color="auto"/>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Levene's Test for Equality of Variances</w:t>
            </w:r>
          </w:p>
        </w:tc>
        <w:tc>
          <w:tcPr>
            <w:tcW w:w="4664" w:type="dxa"/>
            <w:gridSpan w:val="5"/>
            <w:tcBorders>
              <w:top w:val="single" w:sz="8" w:space="0" w:color="auto"/>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t-test for equality of means</w:t>
            </w:r>
          </w:p>
        </w:tc>
        <w:tc>
          <w:tcPr>
            <w:tcW w:w="1715" w:type="dxa"/>
            <w:gridSpan w:val="2"/>
            <w:tcBorders>
              <w:top w:val="single" w:sz="8" w:space="0" w:color="auto"/>
              <w:left w:val="nil"/>
              <w:bottom w:val="single" w:sz="8" w:space="0" w:color="auto"/>
              <w:right w:val="nil"/>
            </w:tcBorders>
            <w:shd w:val="clear" w:color="auto" w:fill="auto"/>
            <w:vAlign w:val="center"/>
            <w:hideMark/>
          </w:tcPr>
          <w:p w:rsidR="009927D9" w:rsidRPr="009927D9" w:rsidRDefault="008F640F" w:rsidP="006C308F">
            <w:pPr>
              <w:spacing w:before="0" w:line="240" w:lineRule="auto"/>
              <w:jc w:val="center"/>
              <w:rPr>
                <w:rFonts w:eastAsia="Times New Roman"/>
                <w:b/>
                <w:bCs/>
                <w:color w:val="000000"/>
                <w:lang w:val="en-GB" w:eastAsia="en-GB"/>
              </w:rPr>
            </w:pPr>
            <w:r>
              <w:rPr>
                <w:rFonts w:eastAsia="Times New Roman"/>
                <w:b/>
                <w:bCs/>
                <w:color w:val="000000"/>
                <w:lang w:val="en-GB" w:eastAsia="en-GB"/>
              </w:rPr>
              <w:t>95% c</w:t>
            </w:r>
            <w:r w:rsidR="009927D9" w:rsidRPr="009927D9">
              <w:rPr>
                <w:rFonts w:eastAsia="Times New Roman"/>
                <w:b/>
                <w:bCs/>
                <w:color w:val="000000"/>
                <w:lang w:val="en-GB" w:eastAsia="en-GB"/>
              </w:rPr>
              <w:t>onfidence Interval of the Difference</w:t>
            </w:r>
          </w:p>
        </w:tc>
      </w:tr>
      <w:tr w:rsidR="009927D9" w:rsidRPr="009927D9" w:rsidTr="008F698A">
        <w:trPr>
          <w:trHeight w:val="283"/>
        </w:trPr>
        <w:tc>
          <w:tcPr>
            <w:tcW w:w="1702" w:type="dxa"/>
            <w:gridSpan w:val="2"/>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epiphysis</w:t>
            </w:r>
          </w:p>
        </w:tc>
        <w:tc>
          <w:tcPr>
            <w:tcW w:w="850"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F</w:t>
            </w:r>
          </w:p>
        </w:tc>
        <w:tc>
          <w:tcPr>
            <w:tcW w:w="709"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sig.</w:t>
            </w:r>
          </w:p>
        </w:tc>
        <w:tc>
          <w:tcPr>
            <w:tcW w:w="709"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t</w:t>
            </w:r>
          </w:p>
        </w:tc>
        <w:tc>
          <w:tcPr>
            <w:tcW w:w="567"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df</w:t>
            </w:r>
          </w:p>
        </w:tc>
        <w:tc>
          <w:tcPr>
            <w:tcW w:w="850"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Sig. (2-tailed)</w:t>
            </w:r>
          </w:p>
        </w:tc>
        <w:tc>
          <w:tcPr>
            <w:tcW w:w="1276"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mean differences</w:t>
            </w:r>
          </w:p>
        </w:tc>
        <w:tc>
          <w:tcPr>
            <w:tcW w:w="1262"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b/>
                <w:bCs/>
                <w:color w:val="000000"/>
                <w:lang w:val="en-GB" w:eastAsia="en-GB"/>
              </w:rPr>
            </w:pPr>
            <w:r w:rsidRPr="009927D9">
              <w:rPr>
                <w:rFonts w:eastAsia="Times New Roman"/>
                <w:b/>
                <w:bCs/>
                <w:color w:val="000000"/>
                <w:lang w:val="en-GB" w:eastAsia="en-GB"/>
              </w:rPr>
              <w:t>std. error differences</w:t>
            </w:r>
          </w:p>
        </w:tc>
        <w:tc>
          <w:tcPr>
            <w:tcW w:w="864" w:type="dxa"/>
            <w:tcBorders>
              <w:top w:val="nil"/>
              <w:left w:val="nil"/>
              <w:bottom w:val="single" w:sz="8" w:space="0" w:color="auto"/>
              <w:right w:val="nil"/>
            </w:tcBorders>
            <w:shd w:val="clear" w:color="auto" w:fill="auto"/>
            <w:vAlign w:val="center"/>
            <w:hideMark/>
          </w:tcPr>
          <w:p w:rsidR="009927D9" w:rsidRPr="009927D9" w:rsidRDefault="008F640F" w:rsidP="006C308F">
            <w:pPr>
              <w:spacing w:before="0" w:line="240" w:lineRule="auto"/>
              <w:jc w:val="center"/>
              <w:rPr>
                <w:rFonts w:eastAsia="Times New Roman"/>
                <w:b/>
                <w:bCs/>
                <w:color w:val="000000"/>
                <w:lang w:val="en-GB" w:eastAsia="en-GB"/>
              </w:rPr>
            </w:pPr>
            <w:r>
              <w:rPr>
                <w:rFonts w:eastAsia="Times New Roman"/>
                <w:b/>
                <w:bCs/>
                <w:color w:val="000000"/>
                <w:lang w:val="en-GB" w:eastAsia="en-GB"/>
              </w:rPr>
              <w:t>l</w:t>
            </w:r>
            <w:r w:rsidR="009927D9" w:rsidRPr="009927D9">
              <w:rPr>
                <w:rFonts w:eastAsia="Times New Roman"/>
                <w:b/>
                <w:bCs/>
                <w:color w:val="000000"/>
                <w:lang w:val="en-GB" w:eastAsia="en-GB"/>
              </w:rPr>
              <w:t>ower</w:t>
            </w:r>
          </w:p>
        </w:tc>
        <w:tc>
          <w:tcPr>
            <w:tcW w:w="851" w:type="dxa"/>
            <w:tcBorders>
              <w:top w:val="nil"/>
              <w:left w:val="nil"/>
              <w:bottom w:val="single" w:sz="8" w:space="0" w:color="auto"/>
              <w:right w:val="nil"/>
            </w:tcBorders>
            <w:shd w:val="clear" w:color="auto" w:fill="auto"/>
            <w:vAlign w:val="center"/>
            <w:hideMark/>
          </w:tcPr>
          <w:p w:rsidR="009927D9" w:rsidRPr="009927D9" w:rsidRDefault="008F640F" w:rsidP="006C308F">
            <w:pPr>
              <w:spacing w:before="0" w:line="240" w:lineRule="auto"/>
              <w:jc w:val="center"/>
              <w:rPr>
                <w:rFonts w:eastAsia="Times New Roman"/>
                <w:b/>
                <w:bCs/>
                <w:color w:val="000000"/>
                <w:lang w:val="en-GB" w:eastAsia="en-GB"/>
              </w:rPr>
            </w:pPr>
            <w:r>
              <w:rPr>
                <w:rFonts w:eastAsia="Times New Roman"/>
                <w:b/>
                <w:bCs/>
                <w:color w:val="000000"/>
                <w:lang w:val="en-GB" w:eastAsia="en-GB"/>
              </w:rPr>
              <w:t>u</w:t>
            </w:r>
            <w:r w:rsidR="009927D9" w:rsidRPr="009927D9">
              <w:rPr>
                <w:rFonts w:eastAsia="Times New Roman"/>
                <w:b/>
                <w:bCs/>
                <w:color w:val="000000"/>
                <w:lang w:val="en-GB" w:eastAsia="en-GB"/>
              </w:rPr>
              <w:t>pper</w:t>
            </w:r>
          </w:p>
        </w:tc>
      </w:tr>
      <w:tr w:rsidR="009927D9" w:rsidRPr="009927D9" w:rsidTr="008F698A">
        <w:trPr>
          <w:trHeight w:val="283"/>
        </w:trPr>
        <w:tc>
          <w:tcPr>
            <w:tcW w:w="1276" w:type="dxa"/>
            <w:vMerge w:val="restart"/>
            <w:tcBorders>
              <w:top w:val="nil"/>
              <w:left w:val="nil"/>
              <w:bottom w:val="single" w:sz="8" w:space="0" w:color="000000"/>
              <w:right w:val="nil"/>
            </w:tcBorders>
            <w:shd w:val="clear" w:color="auto" w:fill="auto"/>
            <w:vAlign w:val="center"/>
            <w:hideMark/>
          </w:tcPr>
          <w:p w:rsidR="009927D9" w:rsidRPr="009927D9" w:rsidRDefault="00AA6F14" w:rsidP="006C308F">
            <w:pPr>
              <w:spacing w:before="0" w:line="240" w:lineRule="auto"/>
              <w:jc w:val="left"/>
              <w:rPr>
                <w:rFonts w:eastAsia="Times New Roman"/>
                <w:color w:val="000000"/>
                <w:lang w:val="en-GB" w:eastAsia="en-GB"/>
              </w:rPr>
            </w:pPr>
            <w:r>
              <w:rPr>
                <w:rFonts w:eastAsia="Times New Roman"/>
                <w:color w:val="000000"/>
                <w:lang w:val="en-GB" w:eastAsia="en-GB"/>
              </w:rPr>
              <w:t xml:space="preserve">humeral </w:t>
            </w:r>
            <w:r w:rsidR="009927D9" w:rsidRPr="009927D9">
              <w:rPr>
                <w:rFonts w:eastAsia="Times New Roman"/>
                <w:color w:val="000000"/>
                <w:lang w:val="en-GB" w:eastAsia="en-GB"/>
              </w:rPr>
              <w:t>medial epicondyle</w:t>
            </w:r>
          </w:p>
        </w:tc>
        <w:tc>
          <w:tcPr>
            <w:tcW w:w="426" w:type="dxa"/>
            <w:tcBorders>
              <w:top w:val="nil"/>
              <w:left w:val="nil"/>
              <w:bottom w:val="nil"/>
              <w:right w:val="nil"/>
            </w:tcBorders>
            <w:shd w:val="clear" w:color="auto" w:fill="auto"/>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a</w:t>
            </w:r>
            <w:r w:rsidRPr="009927D9">
              <w:rPr>
                <w:rFonts w:eastAsia="Times New Roman"/>
                <w:color w:val="000000"/>
                <w:vertAlign w:val="superscript"/>
                <w:lang w:val="en-GB" w:eastAsia="en-GB"/>
              </w:rPr>
              <w:t>1.</w:t>
            </w:r>
          </w:p>
        </w:tc>
        <w:tc>
          <w:tcPr>
            <w:tcW w:w="850"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4.072</w:t>
            </w:r>
          </w:p>
        </w:tc>
        <w:tc>
          <w:tcPr>
            <w:tcW w:w="709"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0.07</w:t>
            </w:r>
          </w:p>
        </w:tc>
        <w:tc>
          <w:tcPr>
            <w:tcW w:w="709"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-1.7</w:t>
            </w:r>
          </w:p>
        </w:tc>
        <w:tc>
          <w:tcPr>
            <w:tcW w:w="567"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13</w:t>
            </w:r>
          </w:p>
        </w:tc>
        <w:tc>
          <w:tcPr>
            <w:tcW w:w="850"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0.108</w:t>
            </w:r>
          </w:p>
        </w:tc>
        <w:tc>
          <w:tcPr>
            <w:tcW w:w="1276"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-3.38</w:t>
            </w:r>
          </w:p>
        </w:tc>
        <w:tc>
          <w:tcPr>
            <w:tcW w:w="1262"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1.957</w:t>
            </w:r>
          </w:p>
        </w:tc>
        <w:tc>
          <w:tcPr>
            <w:tcW w:w="864"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-8</w:t>
            </w:r>
          </w:p>
        </w:tc>
        <w:tc>
          <w:tcPr>
            <w:tcW w:w="851"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0.85</w:t>
            </w:r>
          </w:p>
        </w:tc>
      </w:tr>
      <w:tr w:rsidR="009927D9" w:rsidRPr="009927D9" w:rsidTr="008F698A">
        <w:trPr>
          <w:trHeight w:val="283"/>
        </w:trPr>
        <w:tc>
          <w:tcPr>
            <w:tcW w:w="1276" w:type="dxa"/>
            <w:vMerge/>
            <w:tcBorders>
              <w:top w:val="nil"/>
              <w:left w:val="nil"/>
              <w:bottom w:val="single" w:sz="8" w:space="0" w:color="000000"/>
              <w:right w:val="nil"/>
            </w:tcBorders>
            <w:vAlign w:val="center"/>
            <w:hideMark/>
          </w:tcPr>
          <w:p w:rsidR="009927D9" w:rsidRPr="009927D9" w:rsidRDefault="009927D9" w:rsidP="006C308F">
            <w:pPr>
              <w:spacing w:before="0" w:line="240" w:lineRule="auto"/>
              <w:jc w:val="left"/>
              <w:rPr>
                <w:rFonts w:eastAsia="Times New Roman"/>
                <w:color w:val="000000"/>
                <w:lang w:val="en-GB" w:eastAsia="en-GB"/>
              </w:rPr>
            </w:pPr>
          </w:p>
        </w:tc>
        <w:tc>
          <w:tcPr>
            <w:tcW w:w="426"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b</w:t>
            </w:r>
            <w:r w:rsidRPr="009927D9">
              <w:rPr>
                <w:rFonts w:eastAsia="Times New Roman"/>
                <w:color w:val="000000"/>
                <w:vertAlign w:val="superscript"/>
                <w:lang w:val="en-GB" w:eastAsia="en-GB"/>
              </w:rPr>
              <w:t>2.</w:t>
            </w:r>
          </w:p>
        </w:tc>
        <w:tc>
          <w:tcPr>
            <w:tcW w:w="850"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709"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709"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-1.8</w:t>
            </w:r>
          </w:p>
        </w:tc>
        <w:tc>
          <w:tcPr>
            <w:tcW w:w="567"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10</w:t>
            </w:r>
          </w:p>
        </w:tc>
        <w:tc>
          <w:tcPr>
            <w:tcW w:w="850"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0.101</w:t>
            </w:r>
          </w:p>
        </w:tc>
        <w:tc>
          <w:tcPr>
            <w:tcW w:w="1276"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-3.38</w:t>
            </w:r>
          </w:p>
        </w:tc>
        <w:tc>
          <w:tcPr>
            <w:tcW w:w="1262"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1.8671</w:t>
            </w:r>
          </w:p>
        </w:tc>
        <w:tc>
          <w:tcPr>
            <w:tcW w:w="864"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-8</w:t>
            </w:r>
          </w:p>
        </w:tc>
        <w:tc>
          <w:tcPr>
            <w:tcW w:w="851"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0.78</w:t>
            </w:r>
          </w:p>
        </w:tc>
      </w:tr>
      <w:tr w:rsidR="009927D9" w:rsidRPr="009927D9" w:rsidTr="008F698A">
        <w:trPr>
          <w:trHeight w:val="283"/>
        </w:trPr>
        <w:tc>
          <w:tcPr>
            <w:tcW w:w="1276" w:type="dxa"/>
            <w:vMerge w:val="restart"/>
            <w:tcBorders>
              <w:top w:val="nil"/>
              <w:left w:val="nil"/>
              <w:bottom w:val="single" w:sz="8" w:space="0" w:color="000000"/>
              <w:right w:val="nil"/>
            </w:tcBorders>
            <w:shd w:val="clear" w:color="auto" w:fill="auto"/>
            <w:vAlign w:val="center"/>
            <w:hideMark/>
          </w:tcPr>
          <w:p w:rsidR="009927D9" w:rsidRPr="009927D9" w:rsidRDefault="009927D9" w:rsidP="006C308F">
            <w:pPr>
              <w:spacing w:before="0" w:line="240" w:lineRule="auto"/>
              <w:jc w:val="left"/>
              <w:rPr>
                <w:rFonts w:eastAsia="Times New Roman"/>
                <w:color w:val="000000"/>
                <w:lang w:val="en-GB" w:eastAsia="en-GB"/>
              </w:rPr>
            </w:pPr>
            <w:r w:rsidRPr="009927D9">
              <w:rPr>
                <w:rFonts w:eastAsia="Times New Roman"/>
                <w:color w:val="000000"/>
                <w:lang w:val="en-GB" w:eastAsia="en-GB"/>
              </w:rPr>
              <w:t>proximal ulna</w:t>
            </w:r>
          </w:p>
        </w:tc>
        <w:tc>
          <w:tcPr>
            <w:tcW w:w="426" w:type="dxa"/>
            <w:tcBorders>
              <w:top w:val="nil"/>
              <w:left w:val="nil"/>
              <w:bottom w:val="nil"/>
              <w:right w:val="nil"/>
            </w:tcBorders>
            <w:shd w:val="clear" w:color="auto" w:fill="auto"/>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a</w:t>
            </w:r>
          </w:p>
        </w:tc>
        <w:tc>
          <w:tcPr>
            <w:tcW w:w="850"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5.878</w:t>
            </w:r>
          </w:p>
        </w:tc>
        <w:tc>
          <w:tcPr>
            <w:tcW w:w="709"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0.04</w:t>
            </w:r>
          </w:p>
        </w:tc>
        <w:tc>
          <w:tcPr>
            <w:tcW w:w="709"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-1.7</w:t>
            </w:r>
          </w:p>
        </w:tc>
        <w:tc>
          <w:tcPr>
            <w:tcW w:w="567"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8</w:t>
            </w:r>
          </w:p>
        </w:tc>
        <w:tc>
          <w:tcPr>
            <w:tcW w:w="850"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0.127</w:t>
            </w:r>
          </w:p>
        </w:tc>
        <w:tc>
          <w:tcPr>
            <w:tcW w:w="1276"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-4.83</w:t>
            </w:r>
          </w:p>
        </w:tc>
        <w:tc>
          <w:tcPr>
            <w:tcW w:w="1262"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2.8398</w:t>
            </w:r>
          </w:p>
        </w:tc>
        <w:tc>
          <w:tcPr>
            <w:tcW w:w="864"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-11</w:t>
            </w:r>
          </w:p>
        </w:tc>
        <w:tc>
          <w:tcPr>
            <w:tcW w:w="851"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1.72</w:t>
            </w:r>
          </w:p>
        </w:tc>
      </w:tr>
      <w:tr w:rsidR="009927D9" w:rsidRPr="009927D9" w:rsidTr="008F698A">
        <w:trPr>
          <w:trHeight w:val="283"/>
        </w:trPr>
        <w:tc>
          <w:tcPr>
            <w:tcW w:w="1276" w:type="dxa"/>
            <w:vMerge/>
            <w:tcBorders>
              <w:top w:val="nil"/>
              <w:left w:val="nil"/>
              <w:bottom w:val="single" w:sz="8" w:space="0" w:color="000000"/>
              <w:right w:val="nil"/>
            </w:tcBorders>
            <w:vAlign w:val="center"/>
            <w:hideMark/>
          </w:tcPr>
          <w:p w:rsidR="009927D9" w:rsidRPr="009927D9" w:rsidRDefault="009927D9" w:rsidP="006C308F">
            <w:pPr>
              <w:spacing w:before="0" w:line="240" w:lineRule="auto"/>
              <w:jc w:val="left"/>
              <w:rPr>
                <w:rFonts w:eastAsia="Times New Roman"/>
                <w:color w:val="000000"/>
                <w:lang w:val="en-GB" w:eastAsia="en-GB"/>
              </w:rPr>
            </w:pPr>
          </w:p>
        </w:tc>
        <w:tc>
          <w:tcPr>
            <w:tcW w:w="426"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b</w:t>
            </w:r>
          </w:p>
        </w:tc>
        <w:tc>
          <w:tcPr>
            <w:tcW w:w="850"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709"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709"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-1.5</w:t>
            </w:r>
          </w:p>
        </w:tc>
        <w:tc>
          <w:tcPr>
            <w:tcW w:w="567"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4.1</w:t>
            </w:r>
          </w:p>
        </w:tc>
        <w:tc>
          <w:tcPr>
            <w:tcW w:w="850"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0.21</w:t>
            </w:r>
          </w:p>
        </w:tc>
        <w:tc>
          <w:tcPr>
            <w:tcW w:w="1276"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-4.83</w:t>
            </w:r>
          </w:p>
        </w:tc>
        <w:tc>
          <w:tcPr>
            <w:tcW w:w="1262"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3.2498</w:t>
            </w:r>
          </w:p>
        </w:tc>
        <w:tc>
          <w:tcPr>
            <w:tcW w:w="864"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-14</w:t>
            </w:r>
          </w:p>
        </w:tc>
        <w:tc>
          <w:tcPr>
            <w:tcW w:w="851"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4.14</w:t>
            </w:r>
          </w:p>
        </w:tc>
      </w:tr>
      <w:tr w:rsidR="009927D9" w:rsidRPr="009927D9" w:rsidTr="008F698A">
        <w:trPr>
          <w:trHeight w:val="283"/>
        </w:trPr>
        <w:tc>
          <w:tcPr>
            <w:tcW w:w="1276" w:type="dxa"/>
            <w:vMerge w:val="restart"/>
            <w:tcBorders>
              <w:top w:val="nil"/>
              <w:left w:val="nil"/>
              <w:bottom w:val="single" w:sz="8" w:space="0" w:color="000000"/>
              <w:right w:val="nil"/>
            </w:tcBorders>
            <w:shd w:val="clear" w:color="auto" w:fill="auto"/>
            <w:vAlign w:val="center"/>
            <w:hideMark/>
          </w:tcPr>
          <w:p w:rsidR="009927D9" w:rsidRPr="009927D9" w:rsidRDefault="009927D9" w:rsidP="006C308F">
            <w:pPr>
              <w:spacing w:before="0" w:line="240" w:lineRule="auto"/>
              <w:jc w:val="left"/>
              <w:rPr>
                <w:rFonts w:eastAsia="Times New Roman"/>
                <w:color w:val="000000"/>
                <w:lang w:val="en-GB" w:eastAsia="en-GB"/>
              </w:rPr>
            </w:pPr>
            <w:r w:rsidRPr="009927D9">
              <w:rPr>
                <w:rFonts w:eastAsia="Times New Roman"/>
                <w:color w:val="000000"/>
                <w:lang w:val="en-GB" w:eastAsia="en-GB"/>
              </w:rPr>
              <w:t>femoral head</w:t>
            </w:r>
          </w:p>
        </w:tc>
        <w:tc>
          <w:tcPr>
            <w:tcW w:w="426" w:type="dxa"/>
            <w:tcBorders>
              <w:top w:val="nil"/>
              <w:left w:val="nil"/>
              <w:bottom w:val="nil"/>
              <w:right w:val="nil"/>
            </w:tcBorders>
            <w:shd w:val="clear" w:color="auto" w:fill="auto"/>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a</w:t>
            </w:r>
          </w:p>
        </w:tc>
        <w:tc>
          <w:tcPr>
            <w:tcW w:w="850"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1.036</w:t>
            </w:r>
          </w:p>
        </w:tc>
        <w:tc>
          <w:tcPr>
            <w:tcW w:w="709"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0.33</w:t>
            </w:r>
          </w:p>
        </w:tc>
        <w:tc>
          <w:tcPr>
            <w:tcW w:w="709"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1.22</w:t>
            </w:r>
          </w:p>
        </w:tc>
        <w:tc>
          <w:tcPr>
            <w:tcW w:w="567"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12</w:t>
            </w:r>
          </w:p>
        </w:tc>
        <w:tc>
          <w:tcPr>
            <w:tcW w:w="850"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0.245</w:t>
            </w:r>
          </w:p>
        </w:tc>
        <w:tc>
          <w:tcPr>
            <w:tcW w:w="1276"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2.05</w:t>
            </w:r>
          </w:p>
        </w:tc>
        <w:tc>
          <w:tcPr>
            <w:tcW w:w="1262"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1.6764</w:t>
            </w:r>
          </w:p>
        </w:tc>
        <w:tc>
          <w:tcPr>
            <w:tcW w:w="864"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-2</w:t>
            </w:r>
          </w:p>
        </w:tc>
        <w:tc>
          <w:tcPr>
            <w:tcW w:w="851"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5.7</w:t>
            </w:r>
          </w:p>
        </w:tc>
      </w:tr>
      <w:tr w:rsidR="009927D9" w:rsidRPr="009927D9" w:rsidTr="008F698A">
        <w:trPr>
          <w:trHeight w:val="283"/>
        </w:trPr>
        <w:tc>
          <w:tcPr>
            <w:tcW w:w="1276" w:type="dxa"/>
            <w:vMerge/>
            <w:tcBorders>
              <w:top w:val="nil"/>
              <w:left w:val="nil"/>
              <w:bottom w:val="single" w:sz="8" w:space="0" w:color="000000"/>
              <w:right w:val="nil"/>
            </w:tcBorders>
            <w:vAlign w:val="center"/>
            <w:hideMark/>
          </w:tcPr>
          <w:p w:rsidR="009927D9" w:rsidRPr="009927D9" w:rsidRDefault="009927D9" w:rsidP="006C308F">
            <w:pPr>
              <w:spacing w:before="0" w:line="240" w:lineRule="auto"/>
              <w:jc w:val="left"/>
              <w:rPr>
                <w:rFonts w:eastAsia="Times New Roman"/>
                <w:color w:val="000000"/>
                <w:lang w:val="en-GB" w:eastAsia="en-GB"/>
              </w:rPr>
            </w:pPr>
          </w:p>
        </w:tc>
        <w:tc>
          <w:tcPr>
            <w:tcW w:w="426"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b</w:t>
            </w:r>
          </w:p>
        </w:tc>
        <w:tc>
          <w:tcPr>
            <w:tcW w:w="850"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709"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709"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1.01</w:t>
            </w:r>
          </w:p>
        </w:tc>
        <w:tc>
          <w:tcPr>
            <w:tcW w:w="567"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4.1</w:t>
            </w:r>
          </w:p>
        </w:tc>
        <w:tc>
          <w:tcPr>
            <w:tcW w:w="850"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0.371</w:t>
            </w:r>
          </w:p>
        </w:tc>
        <w:tc>
          <w:tcPr>
            <w:tcW w:w="1276"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2.05</w:t>
            </w:r>
          </w:p>
        </w:tc>
        <w:tc>
          <w:tcPr>
            <w:tcW w:w="1262"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2.0391</w:t>
            </w:r>
          </w:p>
        </w:tc>
        <w:tc>
          <w:tcPr>
            <w:tcW w:w="864"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w:t>
            </w:r>
          </w:p>
        </w:tc>
        <w:tc>
          <w:tcPr>
            <w:tcW w:w="851"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7.69</w:t>
            </w:r>
          </w:p>
        </w:tc>
      </w:tr>
      <w:tr w:rsidR="009927D9" w:rsidRPr="009927D9" w:rsidTr="008F698A">
        <w:trPr>
          <w:trHeight w:val="283"/>
        </w:trPr>
        <w:tc>
          <w:tcPr>
            <w:tcW w:w="1276" w:type="dxa"/>
            <w:vMerge w:val="restart"/>
            <w:tcBorders>
              <w:top w:val="nil"/>
              <w:left w:val="nil"/>
              <w:bottom w:val="single" w:sz="8" w:space="0" w:color="000000"/>
              <w:right w:val="nil"/>
            </w:tcBorders>
            <w:shd w:val="clear" w:color="auto" w:fill="auto"/>
            <w:vAlign w:val="center"/>
            <w:hideMark/>
          </w:tcPr>
          <w:p w:rsidR="009927D9" w:rsidRPr="009927D9" w:rsidRDefault="009927D9" w:rsidP="006C308F">
            <w:pPr>
              <w:spacing w:before="0" w:line="240" w:lineRule="auto"/>
              <w:jc w:val="left"/>
              <w:rPr>
                <w:rFonts w:eastAsia="Times New Roman"/>
                <w:color w:val="000000"/>
                <w:lang w:val="en-GB" w:eastAsia="en-GB"/>
              </w:rPr>
            </w:pPr>
            <w:r w:rsidRPr="009927D9">
              <w:rPr>
                <w:rFonts w:eastAsia="Times New Roman"/>
                <w:color w:val="000000"/>
                <w:lang w:val="en-GB" w:eastAsia="en-GB"/>
              </w:rPr>
              <w:t>middle phalanges (foot)</w:t>
            </w:r>
          </w:p>
        </w:tc>
        <w:tc>
          <w:tcPr>
            <w:tcW w:w="426" w:type="dxa"/>
            <w:tcBorders>
              <w:top w:val="nil"/>
              <w:left w:val="nil"/>
              <w:bottom w:val="nil"/>
              <w:right w:val="nil"/>
            </w:tcBorders>
            <w:shd w:val="clear" w:color="auto" w:fill="auto"/>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a</w:t>
            </w:r>
          </w:p>
        </w:tc>
        <w:tc>
          <w:tcPr>
            <w:tcW w:w="850"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0.268</w:t>
            </w:r>
          </w:p>
        </w:tc>
        <w:tc>
          <w:tcPr>
            <w:tcW w:w="709"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0.62</w:t>
            </w:r>
          </w:p>
        </w:tc>
        <w:tc>
          <w:tcPr>
            <w:tcW w:w="709"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0.61</w:t>
            </w:r>
          </w:p>
        </w:tc>
        <w:tc>
          <w:tcPr>
            <w:tcW w:w="567"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11</w:t>
            </w:r>
          </w:p>
        </w:tc>
        <w:tc>
          <w:tcPr>
            <w:tcW w:w="850"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0.558</w:t>
            </w:r>
          </w:p>
        </w:tc>
        <w:tc>
          <w:tcPr>
            <w:tcW w:w="1276"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2.5</w:t>
            </w:r>
          </w:p>
        </w:tc>
        <w:tc>
          <w:tcPr>
            <w:tcW w:w="1262"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4.1274</w:t>
            </w:r>
          </w:p>
        </w:tc>
        <w:tc>
          <w:tcPr>
            <w:tcW w:w="864"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-7</w:t>
            </w:r>
          </w:p>
        </w:tc>
        <w:tc>
          <w:tcPr>
            <w:tcW w:w="851" w:type="dxa"/>
            <w:tcBorders>
              <w:top w:val="nil"/>
              <w:left w:val="nil"/>
              <w:bottom w:val="nil"/>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11.6</w:t>
            </w:r>
          </w:p>
        </w:tc>
      </w:tr>
      <w:tr w:rsidR="009927D9" w:rsidRPr="009927D9" w:rsidTr="008F698A">
        <w:trPr>
          <w:trHeight w:val="283"/>
        </w:trPr>
        <w:tc>
          <w:tcPr>
            <w:tcW w:w="1276" w:type="dxa"/>
            <w:vMerge/>
            <w:tcBorders>
              <w:top w:val="nil"/>
              <w:left w:val="nil"/>
              <w:bottom w:val="single" w:sz="8" w:space="0" w:color="000000"/>
              <w:right w:val="nil"/>
            </w:tcBorders>
            <w:vAlign w:val="center"/>
            <w:hideMark/>
          </w:tcPr>
          <w:p w:rsidR="009927D9" w:rsidRPr="009927D9" w:rsidRDefault="009927D9" w:rsidP="006C308F">
            <w:pPr>
              <w:spacing w:before="0" w:line="240" w:lineRule="auto"/>
              <w:jc w:val="center"/>
              <w:rPr>
                <w:rFonts w:eastAsia="Times New Roman"/>
                <w:color w:val="000000"/>
                <w:lang w:val="en-GB" w:eastAsia="en-GB"/>
              </w:rPr>
            </w:pPr>
          </w:p>
        </w:tc>
        <w:tc>
          <w:tcPr>
            <w:tcW w:w="426"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b</w:t>
            </w:r>
          </w:p>
        </w:tc>
        <w:tc>
          <w:tcPr>
            <w:tcW w:w="850"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709" w:type="dxa"/>
            <w:tcBorders>
              <w:top w:val="nil"/>
              <w:left w:val="nil"/>
              <w:bottom w:val="single" w:sz="8" w:space="0" w:color="auto"/>
              <w:right w:val="nil"/>
            </w:tcBorders>
            <w:shd w:val="clear" w:color="auto" w:fill="auto"/>
            <w:vAlign w:val="center"/>
            <w:hideMark/>
          </w:tcPr>
          <w:p w:rsidR="009927D9" w:rsidRPr="009927D9" w:rsidRDefault="009927D9" w:rsidP="006C308F">
            <w:pPr>
              <w:spacing w:before="0" w:line="240" w:lineRule="auto"/>
              <w:jc w:val="center"/>
              <w:rPr>
                <w:rFonts w:ascii="Calibri" w:eastAsia="Times New Roman" w:hAnsi="Calibri"/>
                <w:color w:val="000000"/>
                <w:lang w:val="en-GB" w:eastAsia="en-GB"/>
              </w:rPr>
            </w:pPr>
          </w:p>
        </w:tc>
        <w:tc>
          <w:tcPr>
            <w:tcW w:w="709"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0.9</w:t>
            </w:r>
          </w:p>
        </w:tc>
        <w:tc>
          <w:tcPr>
            <w:tcW w:w="567"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8.3</w:t>
            </w:r>
          </w:p>
        </w:tc>
        <w:tc>
          <w:tcPr>
            <w:tcW w:w="850"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0.394</w:t>
            </w:r>
          </w:p>
        </w:tc>
        <w:tc>
          <w:tcPr>
            <w:tcW w:w="1276"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2.5</w:t>
            </w:r>
          </w:p>
        </w:tc>
        <w:tc>
          <w:tcPr>
            <w:tcW w:w="1262"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2.7764</w:t>
            </w:r>
          </w:p>
        </w:tc>
        <w:tc>
          <w:tcPr>
            <w:tcW w:w="864"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-4</w:t>
            </w:r>
          </w:p>
        </w:tc>
        <w:tc>
          <w:tcPr>
            <w:tcW w:w="851" w:type="dxa"/>
            <w:tcBorders>
              <w:top w:val="nil"/>
              <w:left w:val="nil"/>
              <w:bottom w:val="single" w:sz="8" w:space="0" w:color="auto"/>
              <w:right w:val="nil"/>
            </w:tcBorders>
            <w:shd w:val="clear" w:color="auto" w:fill="auto"/>
            <w:noWrap/>
            <w:vAlign w:val="center"/>
            <w:hideMark/>
          </w:tcPr>
          <w:p w:rsidR="009927D9" w:rsidRPr="009927D9" w:rsidRDefault="009927D9" w:rsidP="006C308F">
            <w:pPr>
              <w:spacing w:before="0" w:line="240" w:lineRule="auto"/>
              <w:jc w:val="center"/>
              <w:rPr>
                <w:rFonts w:eastAsia="Times New Roman"/>
                <w:color w:val="000000"/>
                <w:lang w:val="en-GB" w:eastAsia="en-GB"/>
              </w:rPr>
            </w:pPr>
            <w:r w:rsidRPr="009927D9">
              <w:rPr>
                <w:rFonts w:eastAsia="Times New Roman"/>
                <w:color w:val="000000"/>
                <w:lang w:val="en-GB" w:eastAsia="en-GB"/>
              </w:rPr>
              <w:t>8.86</w:t>
            </w:r>
          </w:p>
        </w:tc>
      </w:tr>
    </w:tbl>
    <w:p w:rsidR="00194074" w:rsidRPr="005C6EFE" w:rsidRDefault="00194074" w:rsidP="009927D9">
      <w:pPr>
        <w:pStyle w:val="ListParagraph"/>
        <w:numPr>
          <w:ilvl w:val="0"/>
          <w:numId w:val="25"/>
        </w:numPr>
        <w:tabs>
          <w:tab w:val="left" w:pos="360"/>
        </w:tabs>
        <w:spacing w:before="60" w:line="240" w:lineRule="auto"/>
        <w:ind w:left="142" w:hanging="284"/>
        <w:rPr>
          <w:noProof/>
          <w:color w:val="000000" w:themeColor="text1"/>
          <w:sz w:val="20"/>
          <w:szCs w:val="20"/>
        </w:rPr>
      </w:pPr>
      <w:r w:rsidRPr="005C6EFE">
        <w:rPr>
          <w:noProof/>
          <w:color w:val="000000" w:themeColor="text1"/>
          <w:sz w:val="20"/>
          <w:szCs w:val="20"/>
        </w:rPr>
        <w:t>Equal variances assumed</w:t>
      </w:r>
    </w:p>
    <w:p w:rsidR="00194074" w:rsidRPr="005C6EFE" w:rsidRDefault="00194074" w:rsidP="009927D9">
      <w:pPr>
        <w:pStyle w:val="ListParagraph"/>
        <w:numPr>
          <w:ilvl w:val="0"/>
          <w:numId w:val="25"/>
        </w:numPr>
        <w:tabs>
          <w:tab w:val="left" w:pos="360"/>
        </w:tabs>
        <w:spacing w:before="60" w:line="240" w:lineRule="auto"/>
        <w:ind w:left="142" w:hanging="284"/>
        <w:rPr>
          <w:noProof/>
          <w:color w:val="000000" w:themeColor="text1"/>
          <w:sz w:val="20"/>
          <w:szCs w:val="20"/>
        </w:rPr>
      </w:pPr>
      <w:r w:rsidRPr="005C6EFE">
        <w:rPr>
          <w:noProof/>
          <w:color w:val="000000" w:themeColor="text1"/>
          <w:sz w:val="20"/>
          <w:szCs w:val="20"/>
        </w:rPr>
        <w:t>Equal variances are not assumed</w:t>
      </w:r>
    </w:p>
    <w:p w:rsidR="00194074" w:rsidRDefault="00B16FD2" w:rsidP="00AF4E9E">
      <w:pPr>
        <w:spacing w:before="120"/>
        <w:rPr>
          <w:noProof/>
        </w:rPr>
      </w:pPr>
      <w:r>
        <w:rPr>
          <w:noProof/>
        </w:rPr>
        <w:t>N</w:t>
      </w:r>
      <w:r w:rsidR="00194074">
        <w:rPr>
          <w:noProof/>
        </w:rPr>
        <w:t>o</w:t>
      </w:r>
      <w:r>
        <w:rPr>
          <w:noProof/>
        </w:rPr>
        <w:t>ne of the four</w:t>
      </w:r>
      <w:r w:rsidR="00194074">
        <w:rPr>
          <w:noProof/>
        </w:rPr>
        <w:t xml:space="preserve"> epiphyses </w:t>
      </w:r>
      <w:r>
        <w:rPr>
          <w:noProof/>
        </w:rPr>
        <w:t xml:space="preserve">analysed showed </w:t>
      </w:r>
      <w:r w:rsidR="00194074">
        <w:rPr>
          <w:noProof/>
        </w:rPr>
        <w:t xml:space="preserve">differences between each other.  </w:t>
      </w:r>
      <w:r>
        <w:rPr>
          <w:noProof/>
        </w:rPr>
        <w:t xml:space="preserve">This analysis is very limited in the sense that only four epiphyses satisfied the criteria necessary for this type of comparison.  </w:t>
      </w:r>
      <w:r w:rsidR="007C7775">
        <w:rPr>
          <w:noProof/>
        </w:rPr>
        <w:t>A</w:t>
      </w:r>
      <w:r w:rsidR="00194074">
        <w:rPr>
          <w:noProof/>
        </w:rPr>
        <w:t xml:space="preserve">s such </w:t>
      </w:r>
      <w:r w:rsidR="007C7775">
        <w:rPr>
          <w:noProof/>
        </w:rPr>
        <w:t>it</w:t>
      </w:r>
      <w:r w:rsidR="00194074">
        <w:rPr>
          <w:noProof/>
        </w:rPr>
        <w:t xml:space="preserve"> cannot </w:t>
      </w:r>
      <w:r w:rsidR="007C7775">
        <w:rPr>
          <w:noProof/>
        </w:rPr>
        <w:t xml:space="preserve">be </w:t>
      </w:r>
      <w:r w:rsidR="00194074">
        <w:rPr>
          <w:noProof/>
        </w:rPr>
        <w:t>unequivocally state</w:t>
      </w:r>
      <w:r w:rsidR="007C7775">
        <w:rPr>
          <w:noProof/>
        </w:rPr>
        <w:t>d</w:t>
      </w:r>
      <w:r w:rsidR="00194074">
        <w:rPr>
          <w:noProof/>
        </w:rPr>
        <w:t xml:space="preserve"> that fusion follows the same pattern in males and females with respect to dental score.  However, the r</w:t>
      </w:r>
      <w:r w:rsidR="00293364">
        <w:rPr>
          <w:noProof/>
        </w:rPr>
        <w:t>esults from these epiphyses do</w:t>
      </w:r>
      <w:r w:rsidR="00194074">
        <w:rPr>
          <w:noProof/>
        </w:rPr>
        <w:t xml:space="preserve"> lend support to the case that</w:t>
      </w:r>
      <w:r w:rsidR="00293364">
        <w:rPr>
          <w:noProof/>
        </w:rPr>
        <w:t xml:space="preserve"> the relationship between skeletal and dental development is the same for both</w:t>
      </w:r>
      <w:r w:rsidR="00194074">
        <w:rPr>
          <w:noProof/>
        </w:rPr>
        <w:t xml:space="preserve"> </w:t>
      </w:r>
      <w:r w:rsidR="00293364">
        <w:rPr>
          <w:noProof/>
        </w:rPr>
        <w:t>male and females irrespective of differences potentially observed in fusion timing relative to chronological years</w:t>
      </w:r>
      <w:r w:rsidR="00194074">
        <w:rPr>
          <w:noProof/>
        </w:rPr>
        <w:t xml:space="preserve">.  </w:t>
      </w:r>
      <w:r w:rsidR="00293364">
        <w:rPr>
          <w:noProof/>
        </w:rPr>
        <w:t>It should be noted that a sex differences has been observed for chimpanzee dentition.  This difference is in t</w:t>
      </w:r>
      <w:r w:rsidR="00194074">
        <w:rPr>
          <w:noProof/>
        </w:rPr>
        <w:t xml:space="preserve">he completion of the canine (Kuykendall 1996).  Regrettably this point of difference is near the end of completion of the dentition and would not affect the epiphyses listed here.  </w:t>
      </w:r>
      <w:r w:rsidR="00560FBB">
        <w:rPr>
          <w:noProof/>
        </w:rPr>
        <w:t xml:space="preserve">It </w:t>
      </w:r>
      <w:r w:rsidR="00293364">
        <w:rPr>
          <w:noProof/>
        </w:rPr>
        <w:t>may</w:t>
      </w:r>
      <w:r w:rsidR="00194074">
        <w:rPr>
          <w:noProof/>
        </w:rPr>
        <w:t xml:space="preserve"> </w:t>
      </w:r>
      <w:r w:rsidR="00560FBB">
        <w:rPr>
          <w:noProof/>
        </w:rPr>
        <w:t xml:space="preserve">be </w:t>
      </w:r>
      <w:r w:rsidR="00194074">
        <w:rPr>
          <w:noProof/>
        </w:rPr>
        <w:t>suggest</w:t>
      </w:r>
      <w:r w:rsidR="00560FBB">
        <w:rPr>
          <w:noProof/>
        </w:rPr>
        <w:t>ed</w:t>
      </w:r>
      <w:r w:rsidR="00194074">
        <w:rPr>
          <w:noProof/>
        </w:rPr>
        <w:t xml:space="preserve"> that for earlie</w:t>
      </w:r>
      <w:r w:rsidR="00E71737">
        <w:rPr>
          <w:noProof/>
        </w:rPr>
        <w:t>r-fusing epiphyses that there are</w:t>
      </w:r>
      <w:r w:rsidR="00194074">
        <w:rPr>
          <w:noProof/>
        </w:rPr>
        <w:t xml:space="preserve"> unlikely to be difference between the sexes.  No epiphy</w:t>
      </w:r>
      <w:r w:rsidR="00CD418E">
        <w:rPr>
          <w:noProof/>
        </w:rPr>
        <w:t>ses for complete fusion were av</w:t>
      </w:r>
      <w:r w:rsidR="00194074">
        <w:rPr>
          <w:noProof/>
        </w:rPr>
        <w:t>a</w:t>
      </w:r>
      <w:r w:rsidR="00CD418E">
        <w:rPr>
          <w:noProof/>
        </w:rPr>
        <w:t>i</w:t>
      </w:r>
      <w:r w:rsidR="00194074">
        <w:rPr>
          <w:noProof/>
        </w:rPr>
        <w:t>lable for this analysis</w:t>
      </w:r>
      <w:r w:rsidR="00293364">
        <w:rPr>
          <w:noProof/>
        </w:rPr>
        <w:t>.  Producing a mixed-sex comparison of epiphyseal fusion events relative to chronological age is not necessarily justified with the limited a</w:t>
      </w:r>
      <w:r w:rsidR="00AF4E9E">
        <w:rPr>
          <w:noProof/>
        </w:rPr>
        <w:t>mount of information at present</w:t>
      </w:r>
      <w:r w:rsidR="00194074">
        <w:rPr>
          <w:noProof/>
        </w:rPr>
        <w:t>.</w:t>
      </w:r>
    </w:p>
    <w:p w:rsidR="00A35CA0" w:rsidRDefault="00814178" w:rsidP="00CA5FBB">
      <w:pPr>
        <w:spacing w:before="120"/>
        <w:rPr>
          <w:b/>
          <w:i/>
          <w:noProof/>
        </w:rPr>
      </w:pPr>
      <w:r w:rsidRPr="0073687D">
        <w:rPr>
          <w:b/>
          <w:i/>
        </w:rPr>
        <w:t>4.2.</w:t>
      </w:r>
      <w:r>
        <w:rPr>
          <w:b/>
          <w:i/>
        </w:rPr>
        <w:t>1d</w:t>
      </w:r>
      <w:r w:rsidRPr="0073687D">
        <w:rPr>
          <w:b/>
          <w:i/>
        </w:rPr>
        <w:t xml:space="preserve"> </w:t>
      </w:r>
      <w:proofErr w:type="gramStart"/>
      <w:r w:rsidRPr="0073687D">
        <w:rPr>
          <w:b/>
          <w:i/>
        </w:rPr>
        <w:t>Assessing</w:t>
      </w:r>
      <w:proofErr w:type="gramEnd"/>
      <w:r w:rsidRPr="0073687D">
        <w:rPr>
          <w:b/>
          <w:i/>
        </w:rPr>
        <w:t xml:space="preserve"> the difference between mean epiphyseal fusion value and dental score</w:t>
      </w:r>
      <w:r w:rsidRPr="0073687D">
        <w:rPr>
          <w:b/>
          <w:i/>
          <w:noProof/>
        </w:rPr>
        <w:t xml:space="preserve"> </w:t>
      </w:r>
    </w:p>
    <w:p w:rsidR="00A35CA0" w:rsidRDefault="00814178" w:rsidP="00CA5FBB">
      <w:pPr>
        <w:rPr>
          <w:noProof/>
        </w:rPr>
      </w:pPr>
      <w:r>
        <w:rPr>
          <w:noProof/>
        </w:rPr>
        <w:t xml:space="preserve">Having both a measure of skeletal maturation (mean epiphyseal fusion score) and dental maturation (dental score) for each individual permits comparison between the state of maturity for both systems.  As noted in Chapter 3, it has been well-established that dental development is less susceptible to nutritional or environmental stress than skeletal development, resulting in an offset of the two systems </w:t>
      </w:r>
      <w:r>
        <w:rPr>
          <w:noProof/>
        </w:rPr>
        <w:lastRenderedPageBreak/>
        <w:t>(Chaillet and Demirjian 2004).  Table 4.</w:t>
      </w:r>
      <w:r w:rsidR="0001745C">
        <w:rPr>
          <w:noProof/>
        </w:rPr>
        <w:t>9</w:t>
      </w:r>
      <w:r>
        <w:rPr>
          <w:noProof/>
        </w:rPr>
        <w:t xml:space="preserve"> </w:t>
      </w:r>
      <w:r w:rsidR="00FA586F">
        <w:rPr>
          <w:noProof/>
        </w:rPr>
        <w:t xml:space="preserve">presents a comparison of </w:t>
      </w:r>
      <w:r>
        <w:rPr>
          <w:noProof/>
        </w:rPr>
        <w:t xml:space="preserve">dental score and mean epiphyseal fusion score for </w:t>
      </w:r>
      <w:r>
        <w:rPr>
          <w:i/>
          <w:noProof/>
        </w:rPr>
        <w:t xml:space="preserve">Pan troglodytes </w:t>
      </w:r>
      <w:r w:rsidRPr="00C16B2D">
        <w:rPr>
          <w:noProof/>
        </w:rPr>
        <w:t>females.</w:t>
      </w:r>
      <w:r>
        <w:rPr>
          <w:noProof/>
        </w:rPr>
        <w:t xml:space="preserve">  Dental scores for mean epiphyseal fusion value of 1 are not included here due to all epiphyses being unfused at this stage.</w:t>
      </w:r>
    </w:p>
    <w:p w:rsidR="00814178" w:rsidRDefault="008943E4" w:rsidP="00556B5B">
      <w:pPr>
        <w:tabs>
          <w:tab w:val="left" w:pos="360"/>
        </w:tabs>
        <w:spacing w:after="200" w:line="240" w:lineRule="auto"/>
        <w:rPr>
          <w:noProof/>
        </w:rPr>
      </w:pPr>
      <w:bookmarkStart w:id="495" w:name="_Toc373180153"/>
      <w:proofErr w:type="gramStart"/>
      <w:r w:rsidRPr="00CA5FBB">
        <w:rPr>
          <w:b/>
          <w:bCs/>
          <w:szCs w:val="18"/>
        </w:rPr>
        <w:t xml:space="preserve">Table </w:t>
      </w:r>
      <w:r>
        <w:rPr>
          <w:b/>
          <w:szCs w:val="18"/>
        </w:rPr>
        <w:fldChar w:fldCharType="begin"/>
      </w:r>
      <w:r w:rsidR="0071093B">
        <w:rPr>
          <w:b/>
        </w:rPr>
        <w:instrText xml:space="preserve"> STYLEREF 1 \s </w:instrText>
      </w:r>
      <w:r>
        <w:rPr>
          <w:b/>
          <w:szCs w:val="18"/>
        </w:rPr>
        <w:fldChar w:fldCharType="separate"/>
      </w:r>
      <w:r w:rsidR="00795735">
        <w:rPr>
          <w:b/>
          <w:noProof/>
        </w:rPr>
        <w:t>4</w:t>
      </w:r>
      <w:r>
        <w:rPr>
          <w:b/>
          <w:szCs w:val="18"/>
        </w:rPr>
        <w:fldChar w:fldCharType="end"/>
      </w:r>
      <w:r w:rsidR="0071093B">
        <w:rPr>
          <w:b/>
        </w:rPr>
        <w:t>.</w:t>
      </w:r>
      <w:proofErr w:type="gramEnd"/>
      <w:r>
        <w:rPr>
          <w:b/>
          <w:szCs w:val="18"/>
        </w:rPr>
        <w:fldChar w:fldCharType="begin"/>
      </w:r>
      <w:r w:rsidR="0071093B">
        <w:rPr>
          <w:b/>
        </w:rPr>
        <w:instrText xml:space="preserve"> SEQ Table \* ARABIC \s 1 </w:instrText>
      </w:r>
      <w:r>
        <w:rPr>
          <w:b/>
          <w:szCs w:val="18"/>
        </w:rPr>
        <w:fldChar w:fldCharType="separate"/>
      </w:r>
      <w:r w:rsidR="00795735">
        <w:rPr>
          <w:b/>
          <w:noProof/>
        </w:rPr>
        <w:t>9</w:t>
      </w:r>
      <w:r>
        <w:rPr>
          <w:b/>
          <w:szCs w:val="18"/>
        </w:rPr>
        <w:fldChar w:fldCharType="end"/>
      </w:r>
      <w:r w:rsidR="00814178">
        <w:rPr>
          <w:noProof/>
        </w:rPr>
        <w:t xml:space="preserve"> Mean epiphyseal fusion value compared to dental score for </w:t>
      </w:r>
      <w:r w:rsidR="00814178">
        <w:rPr>
          <w:i/>
          <w:noProof/>
        </w:rPr>
        <w:t>Pan troglodytes</w:t>
      </w:r>
      <w:r w:rsidR="00814178">
        <w:rPr>
          <w:noProof/>
        </w:rPr>
        <w:t xml:space="preserve"> females by individual.</w:t>
      </w:r>
      <w:bookmarkEnd w:id="495"/>
    </w:p>
    <w:tbl>
      <w:tblPr>
        <w:tblW w:w="6893" w:type="dxa"/>
        <w:jc w:val="center"/>
        <w:tblInd w:w="-46" w:type="dxa"/>
        <w:tblLook w:val="04A0" w:firstRow="1" w:lastRow="0" w:firstColumn="1" w:lastColumn="0" w:noHBand="0" w:noVBand="1"/>
      </w:tblPr>
      <w:tblGrid>
        <w:gridCol w:w="1418"/>
        <w:gridCol w:w="955"/>
        <w:gridCol w:w="1386"/>
        <w:gridCol w:w="803"/>
        <w:gridCol w:w="1412"/>
        <w:gridCol w:w="919"/>
      </w:tblGrid>
      <w:tr w:rsidR="00EC55FD" w:rsidRPr="00EC55FD" w:rsidTr="00EC55FD">
        <w:trPr>
          <w:trHeight w:val="315"/>
          <w:jc w:val="center"/>
        </w:trPr>
        <w:tc>
          <w:tcPr>
            <w:tcW w:w="1418" w:type="dxa"/>
            <w:tcBorders>
              <w:top w:val="single" w:sz="4" w:space="0" w:color="auto"/>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b/>
                <w:bCs/>
                <w:color w:val="000000"/>
                <w:lang w:val="en-GB" w:eastAsia="en-GB"/>
              </w:rPr>
            </w:pPr>
            <w:r w:rsidRPr="00EC55FD">
              <w:rPr>
                <w:rFonts w:eastAsia="Times New Roman"/>
                <w:b/>
                <w:bCs/>
                <w:color w:val="000000"/>
                <w:lang w:val="en-GB" w:eastAsia="en-GB"/>
              </w:rPr>
              <w:t>mean epiphyseal fusion value</w:t>
            </w:r>
          </w:p>
        </w:tc>
        <w:tc>
          <w:tcPr>
            <w:tcW w:w="955" w:type="dxa"/>
            <w:tcBorders>
              <w:top w:val="single" w:sz="4" w:space="0" w:color="auto"/>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b/>
                <w:bCs/>
                <w:color w:val="000000"/>
                <w:lang w:val="en-GB" w:eastAsia="en-GB"/>
              </w:rPr>
            </w:pPr>
            <w:r w:rsidRPr="00EC55FD">
              <w:rPr>
                <w:rFonts w:eastAsia="Times New Roman"/>
                <w:b/>
                <w:bCs/>
                <w:color w:val="000000"/>
                <w:lang w:val="en-GB" w:eastAsia="en-GB"/>
              </w:rPr>
              <w:t>dental score</w:t>
            </w:r>
          </w:p>
        </w:tc>
        <w:tc>
          <w:tcPr>
            <w:tcW w:w="1386" w:type="dxa"/>
            <w:tcBorders>
              <w:top w:val="single" w:sz="4" w:space="0" w:color="auto"/>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b/>
                <w:bCs/>
                <w:color w:val="000000"/>
                <w:lang w:val="en-GB" w:eastAsia="en-GB"/>
              </w:rPr>
            </w:pPr>
            <w:r w:rsidRPr="00EC55FD">
              <w:rPr>
                <w:rFonts w:eastAsia="Times New Roman"/>
                <w:b/>
                <w:bCs/>
                <w:color w:val="000000"/>
                <w:lang w:val="en-GB" w:eastAsia="en-GB"/>
              </w:rPr>
              <w:t>mean epiphyseal fusion value</w:t>
            </w:r>
          </w:p>
        </w:tc>
        <w:tc>
          <w:tcPr>
            <w:tcW w:w="803" w:type="dxa"/>
            <w:tcBorders>
              <w:top w:val="single" w:sz="4" w:space="0" w:color="auto"/>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b/>
                <w:bCs/>
                <w:color w:val="000000"/>
                <w:lang w:val="en-GB" w:eastAsia="en-GB"/>
              </w:rPr>
            </w:pPr>
            <w:r w:rsidRPr="00EC55FD">
              <w:rPr>
                <w:rFonts w:eastAsia="Times New Roman"/>
                <w:b/>
                <w:bCs/>
                <w:color w:val="000000"/>
                <w:lang w:val="en-GB" w:eastAsia="en-GB"/>
              </w:rPr>
              <w:t>dental score</w:t>
            </w:r>
          </w:p>
        </w:tc>
        <w:tc>
          <w:tcPr>
            <w:tcW w:w="1412" w:type="dxa"/>
            <w:tcBorders>
              <w:top w:val="single" w:sz="4" w:space="0" w:color="auto"/>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b/>
                <w:bCs/>
                <w:color w:val="000000"/>
                <w:lang w:val="en-GB" w:eastAsia="en-GB"/>
              </w:rPr>
            </w:pPr>
            <w:r w:rsidRPr="00EC55FD">
              <w:rPr>
                <w:rFonts w:eastAsia="Times New Roman"/>
                <w:b/>
                <w:bCs/>
                <w:color w:val="000000"/>
                <w:lang w:val="en-GB" w:eastAsia="en-GB"/>
              </w:rPr>
              <w:t>mean epiphyseal fusion value</w:t>
            </w:r>
          </w:p>
        </w:tc>
        <w:tc>
          <w:tcPr>
            <w:tcW w:w="919" w:type="dxa"/>
            <w:tcBorders>
              <w:top w:val="single" w:sz="4" w:space="0" w:color="auto"/>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b/>
                <w:bCs/>
                <w:color w:val="000000"/>
                <w:lang w:val="en-GB" w:eastAsia="en-GB"/>
              </w:rPr>
            </w:pPr>
            <w:r w:rsidRPr="00EC55FD">
              <w:rPr>
                <w:rFonts w:eastAsia="Times New Roman"/>
                <w:b/>
                <w:bCs/>
                <w:color w:val="000000"/>
                <w:lang w:val="en-GB" w:eastAsia="en-GB"/>
              </w:rPr>
              <w:t>dental score</w:t>
            </w:r>
          </w:p>
        </w:tc>
      </w:tr>
      <w:tr w:rsidR="00EC55FD" w:rsidRPr="00EC55FD" w:rsidTr="00EC55FD">
        <w:trPr>
          <w:trHeight w:val="300"/>
          <w:jc w:val="center"/>
        </w:trPr>
        <w:tc>
          <w:tcPr>
            <w:tcW w:w="1418" w:type="dxa"/>
            <w:tcBorders>
              <w:top w:val="single" w:sz="4" w:space="0" w:color="auto"/>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1.13</w:t>
            </w:r>
          </w:p>
        </w:tc>
        <w:tc>
          <w:tcPr>
            <w:tcW w:w="955" w:type="dxa"/>
            <w:tcBorders>
              <w:top w:val="single" w:sz="4" w:space="0" w:color="auto"/>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33</w:t>
            </w:r>
          </w:p>
        </w:tc>
        <w:tc>
          <w:tcPr>
            <w:tcW w:w="1386" w:type="dxa"/>
            <w:tcBorders>
              <w:top w:val="single" w:sz="4" w:space="0" w:color="auto"/>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2.77</w:t>
            </w:r>
          </w:p>
        </w:tc>
        <w:tc>
          <w:tcPr>
            <w:tcW w:w="803" w:type="dxa"/>
            <w:tcBorders>
              <w:top w:val="single" w:sz="4" w:space="0" w:color="auto"/>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62</w:t>
            </w:r>
          </w:p>
        </w:tc>
        <w:tc>
          <w:tcPr>
            <w:tcW w:w="1412" w:type="dxa"/>
            <w:tcBorders>
              <w:top w:val="single" w:sz="4" w:space="0" w:color="auto"/>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4.27</w:t>
            </w:r>
          </w:p>
        </w:tc>
        <w:tc>
          <w:tcPr>
            <w:tcW w:w="919" w:type="dxa"/>
            <w:tcBorders>
              <w:top w:val="single" w:sz="4" w:space="0" w:color="auto"/>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1.16</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45</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2.77</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4.3</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1.2</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55</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3.12</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4.31</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1.23</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53</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3.24</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62</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4.35</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62</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1.23</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53</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3.38</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63</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4.38</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1.41</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55</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3.45</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62</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4.41</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1.47</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55</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3.48</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63</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4.53</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63</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1.5</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58</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3.57</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60</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4.55</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62</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1.56</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52</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3.58</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62</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4.59</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1.77</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48</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3.82</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4.59</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2.38</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60</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3.86</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60</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4.59</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2.41</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62</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3.93</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57</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4.73</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2.47</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60</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3.96</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4.81</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2.47</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4.03</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62</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4.84</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2.47</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4.05</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4.89</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2.56</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43</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4.13</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4.89</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00"/>
          <w:jc w:val="center"/>
        </w:trPr>
        <w:tc>
          <w:tcPr>
            <w:tcW w:w="1418"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2.64</w:t>
            </w:r>
          </w:p>
        </w:tc>
        <w:tc>
          <w:tcPr>
            <w:tcW w:w="955"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56</w:t>
            </w:r>
          </w:p>
        </w:tc>
        <w:tc>
          <w:tcPr>
            <w:tcW w:w="1386"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4.17</w:t>
            </w:r>
          </w:p>
        </w:tc>
        <w:tc>
          <w:tcPr>
            <w:tcW w:w="803"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63</w:t>
            </w:r>
          </w:p>
        </w:tc>
        <w:tc>
          <w:tcPr>
            <w:tcW w:w="1412"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4.91</w:t>
            </w:r>
          </w:p>
        </w:tc>
        <w:tc>
          <w:tcPr>
            <w:tcW w:w="919" w:type="dxa"/>
            <w:tcBorders>
              <w:top w:val="nil"/>
              <w:left w:val="nil"/>
              <w:bottom w:val="nil"/>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r>
      <w:tr w:rsidR="00EC55FD" w:rsidRPr="00EC55FD" w:rsidTr="00EC55FD">
        <w:trPr>
          <w:trHeight w:val="315"/>
          <w:jc w:val="center"/>
        </w:trPr>
        <w:tc>
          <w:tcPr>
            <w:tcW w:w="1418" w:type="dxa"/>
            <w:tcBorders>
              <w:top w:val="nil"/>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2.77</w:t>
            </w:r>
          </w:p>
        </w:tc>
        <w:tc>
          <w:tcPr>
            <w:tcW w:w="955" w:type="dxa"/>
            <w:tcBorders>
              <w:top w:val="nil"/>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61</w:t>
            </w:r>
          </w:p>
        </w:tc>
        <w:tc>
          <w:tcPr>
            <w:tcW w:w="1386" w:type="dxa"/>
            <w:tcBorders>
              <w:top w:val="nil"/>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4.27</w:t>
            </w:r>
          </w:p>
        </w:tc>
        <w:tc>
          <w:tcPr>
            <w:tcW w:w="803" w:type="dxa"/>
            <w:tcBorders>
              <w:top w:val="nil"/>
              <w:left w:val="nil"/>
              <w:bottom w:val="single" w:sz="4" w:space="0" w:color="auto"/>
              <w:right w:val="nil"/>
            </w:tcBorders>
            <w:shd w:val="clear" w:color="000000" w:fill="FFFFFF"/>
            <w:noWrap/>
            <w:vAlign w:val="center"/>
            <w:hideMark/>
          </w:tcPr>
          <w:p w:rsidR="00EC55FD" w:rsidRPr="00EC55FD" w:rsidRDefault="00EC55FD" w:rsidP="00EC55FD">
            <w:pPr>
              <w:spacing w:before="0" w:line="240" w:lineRule="auto"/>
              <w:jc w:val="center"/>
              <w:rPr>
                <w:rFonts w:eastAsia="Times New Roman"/>
                <w:color w:val="000000"/>
                <w:lang w:val="en-GB" w:eastAsia="en-GB"/>
              </w:rPr>
            </w:pPr>
            <w:r w:rsidRPr="00EC55FD">
              <w:rPr>
                <w:rFonts w:eastAsia="Times New Roman"/>
                <w:color w:val="000000"/>
                <w:lang w:val="en-GB" w:eastAsia="en-GB"/>
              </w:rPr>
              <w:t>64</w:t>
            </w:r>
          </w:p>
        </w:tc>
        <w:tc>
          <w:tcPr>
            <w:tcW w:w="1412" w:type="dxa"/>
            <w:tcBorders>
              <w:top w:val="nil"/>
              <w:left w:val="nil"/>
              <w:bottom w:val="single" w:sz="4" w:space="0" w:color="auto"/>
              <w:right w:val="nil"/>
            </w:tcBorders>
            <w:shd w:val="clear" w:color="auto" w:fill="auto"/>
            <w:noWrap/>
            <w:vAlign w:val="bottom"/>
            <w:hideMark/>
          </w:tcPr>
          <w:p w:rsidR="00EC55FD" w:rsidRPr="00EC55FD" w:rsidRDefault="00EC55FD" w:rsidP="00EC55FD">
            <w:pPr>
              <w:spacing w:before="0" w:line="240" w:lineRule="auto"/>
              <w:jc w:val="left"/>
              <w:rPr>
                <w:rFonts w:ascii="Calibri" w:eastAsia="Times New Roman" w:hAnsi="Calibri"/>
                <w:color w:val="000000"/>
                <w:lang w:val="en-GB" w:eastAsia="en-GB"/>
              </w:rPr>
            </w:pPr>
            <w:r w:rsidRPr="00EC55FD">
              <w:rPr>
                <w:rFonts w:ascii="Calibri" w:eastAsia="Times New Roman" w:hAnsi="Calibri"/>
                <w:color w:val="000000"/>
                <w:lang w:val="en-GB" w:eastAsia="en-GB"/>
              </w:rPr>
              <w:t> </w:t>
            </w:r>
          </w:p>
        </w:tc>
        <w:tc>
          <w:tcPr>
            <w:tcW w:w="919" w:type="dxa"/>
            <w:tcBorders>
              <w:top w:val="nil"/>
              <w:left w:val="nil"/>
              <w:bottom w:val="single" w:sz="4" w:space="0" w:color="auto"/>
              <w:right w:val="nil"/>
            </w:tcBorders>
            <w:shd w:val="clear" w:color="auto" w:fill="auto"/>
            <w:noWrap/>
            <w:vAlign w:val="bottom"/>
            <w:hideMark/>
          </w:tcPr>
          <w:p w:rsidR="00EC55FD" w:rsidRPr="00EC55FD" w:rsidRDefault="00EC55FD" w:rsidP="00EC55FD">
            <w:pPr>
              <w:spacing w:before="0" w:line="240" w:lineRule="auto"/>
              <w:jc w:val="left"/>
              <w:rPr>
                <w:rFonts w:ascii="Calibri" w:eastAsia="Times New Roman" w:hAnsi="Calibri"/>
                <w:color w:val="000000"/>
                <w:lang w:val="en-GB" w:eastAsia="en-GB"/>
              </w:rPr>
            </w:pPr>
            <w:r w:rsidRPr="00EC55FD">
              <w:rPr>
                <w:rFonts w:ascii="Calibri" w:eastAsia="Times New Roman" w:hAnsi="Calibri"/>
                <w:color w:val="000000"/>
                <w:lang w:val="en-GB" w:eastAsia="en-GB"/>
              </w:rPr>
              <w:t> </w:t>
            </w:r>
          </w:p>
        </w:tc>
      </w:tr>
    </w:tbl>
    <w:p w:rsidR="00E378C7" w:rsidRDefault="00814178">
      <w:pPr>
        <w:rPr>
          <w:noProof/>
        </w:rPr>
      </w:pPr>
      <w:r w:rsidRPr="00F773F7">
        <w:rPr>
          <w:noProof/>
        </w:rPr>
        <w:t xml:space="preserve">Mean epiphyseal fusion scores generally follow the same order as dental score score with a degree of fluctation depending on the individual.  </w:t>
      </w:r>
      <w:r w:rsidR="00EF426D">
        <w:rPr>
          <w:noProof/>
        </w:rPr>
        <w:t>There were</w:t>
      </w:r>
      <w:r w:rsidRPr="00F773F7">
        <w:rPr>
          <w:noProof/>
        </w:rPr>
        <w:t xml:space="preserve"> occasional outliers of higher dental score with lower mean epiphyseal fusion values.  These outliers constitute large offsets between dental development and skeletal development.  It should be noted that when the epiphyseal fusion values for these individuals are considered</w:t>
      </w:r>
      <w:r>
        <w:rPr>
          <w:noProof/>
        </w:rPr>
        <w:t xml:space="preserve"> </w:t>
      </w:r>
      <w:r w:rsidRPr="00F773F7">
        <w:rPr>
          <w:noProof/>
        </w:rPr>
        <w:t xml:space="preserve">there is no </w:t>
      </w:r>
      <w:r>
        <w:rPr>
          <w:noProof/>
        </w:rPr>
        <w:t>consistent</w:t>
      </w:r>
      <w:r w:rsidRPr="00F773F7">
        <w:rPr>
          <w:noProof/>
        </w:rPr>
        <w:t xml:space="preserve"> pattern of deviation of fusion events.  </w:t>
      </w:r>
      <w:r>
        <w:rPr>
          <w:noProof/>
        </w:rPr>
        <w:t xml:space="preserve">None of the individuals </w:t>
      </w:r>
      <w:r w:rsidR="00641DDF">
        <w:rPr>
          <w:noProof/>
        </w:rPr>
        <w:t>presented in Table 4.9 had</w:t>
      </w:r>
      <w:r>
        <w:rPr>
          <w:noProof/>
        </w:rPr>
        <w:t xml:space="preserve"> recorded pathological conditions.  Table 4.</w:t>
      </w:r>
      <w:r w:rsidR="0001745C">
        <w:rPr>
          <w:noProof/>
        </w:rPr>
        <w:t>10</w:t>
      </w:r>
      <w:r>
        <w:rPr>
          <w:noProof/>
        </w:rPr>
        <w:t xml:space="preserve"> demonstrates the same data for </w:t>
      </w:r>
      <w:r>
        <w:rPr>
          <w:i/>
          <w:noProof/>
        </w:rPr>
        <w:t>Pan troglodytes</w:t>
      </w:r>
      <w:r>
        <w:rPr>
          <w:noProof/>
        </w:rPr>
        <w:t xml:space="preserve"> males and </w:t>
      </w:r>
      <w:r>
        <w:rPr>
          <w:i/>
          <w:noProof/>
        </w:rPr>
        <w:t>Pan paniscus</w:t>
      </w:r>
      <w:r>
        <w:rPr>
          <w:noProof/>
        </w:rPr>
        <w:t xml:space="preserve"> males and females.  Individuals with mean epiphyseal fusion value 1 were again not reported.</w:t>
      </w:r>
    </w:p>
    <w:p w:rsidR="00641DDF" w:rsidRDefault="00641DDF">
      <w:pPr>
        <w:spacing w:before="0" w:after="200" w:line="276" w:lineRule="auto"/>
        <w:jc w:val="left"/>
        <w:rPr>
          <w:b/>
        </w:rPr>
      </w:pPr>
      <w:bookmarkStart w:id="496" w:name="_Toc373180154"/>
      <w:r>
        <w:rPr>
          <w:b/>
        </w:rPr>
        <w:br w:type="page"/>
      </w:r>
    </w:p>
    <w:p w:rsidR="00814178" w:rsidRPr="005903FD" w:rsidRDefault="005903FD" w:rsidP="00556B5B">
      <w:pPr>
        <w:tabs>
          <w:tab w:val="left" w:pos="360"/>
        </w:tabs>
        <w:spacing w:after="200" w:line="240" w:lineRule="auto"/>
        <w:rPr>
          <w:i/>
          <w:noProof/>
          <w:color w:val="000000" w:themeColor="text1"/>
        </w:rPr>
      </w:pPr>
      <w:proofErr w:type="gramStart"/>
      <w:r w:rsidRPr="00997A01">
        <w:rPr>
          <w:b/>
        </w:rPr>
        <w:lastRenderedPageBreak/>
        <w:t xml:space="preserve">Table </w:t>
      </w:r>
      <w:r w:rsidR="008943E4">
        <w:rPr>
          <w:b/>
        </w:rPr>
        <w:fldChar w:fldCharType="begin"/>
      </w:r>
      <w:r>
        <w:rPr>
          <w:b/>
        </w:rPr>
        <w:instrText xml:space="preserve"> STYLEREF 1 \s </w:instrText>
      </w:r>
      <w:r w:rsidR="008943E4">
        <w:rPr>
          <w:b/>
        </w:rPr>
        <w:fldChar w:fldCharType="separate"/>
      </w:r>
      <w:r w:rsidR="00795735">
        <w:rPr>
          <w:b/>
          <w:noProof/>
        </w:rPr>
        <w:t>4</w:t>
      </w:r>
      <w:r w:rsidR="008943E4">
        <w:rPr>
          <w:b/>
        </w:rPr>
        <w:fldChar w:fldCharType="end"/>
      </w:r>
      <w:r>
        <w:rPr>
          <w:b/>
        </w:rPr>
        <w:t>.</w:t>
      </w:r>
      <w:proofErr w:type="gramEnd"/>
      <w:r w:rsidR="008943E4">
        <w:rPr>
          <w:b/>
        </w:rPr>
        <w:fldChar w:fldCharType="begin"/>
      </w:r>
      <w:r>
        <w:rPr>
          <w:b/>
        </w:rPr>
        <w:instrText xml:space="preserve"> SEQ Table \* ARABIC \s 1 </w:instrText>
      </w:r>
      <w:r w:rsidR="008943E4">
        <w:rPr>
          <w:b/>
        </w:rPr>
        <w:fldChar w:fldCharType="separate"/>
      </w:r>
      <w:r w:rsidR="00795735">
        <w:rPr>
          <w:b/>
          <w:noProof/>
        </w:rPr>
        <w:t>10</w:t>
      </w:r>
      <w:r w:rsidR="008943E4">
        <w:rPr>
          <w:b/>
        </w:rPr>
        <w:fldChar w:fldCharType="end"/>
      </w:r>
      <w:r>
        <w:rPr>
          <w:noProof/>
        </w:rPr>
        <w:t xml:space="preserve"> Mean epiphyseal fusion value compared to dental score for </w:t>
      </w:r>
      <w:r>
        <w:rPr>
          <w:i/>
          <w:noProof/>
        </w:rPr>
        <w:t>Pan troglodytes</w:t>
      </w:r>
      <w:r>
        <w:rPr>
          <w:noProof/>
        </w:rPr>
        <w:t xml:space="preserve"> males and </w:t>
      </w:r>
      <w:r>
        <w:rPr>
          <w:i/>
          <w:noProof/>
        </w:rPr>
        <w:t>Pan paniscus</w:t>
      </w:r>
      <w:r>
        <w:rPr>
          <w:noProof/>
        </w:rPr>
        <w:t xml:space="preserve"> males and females</w:t>
      </w:r>
      <w:r>
        <w:rPr>
          <w:noProof/>
          <w:color w:val="000000" w:themeColor="text1"/>
        </w:rPr>
        <w:t>.</w:t>
      </w:r>
      <w:bookmarkEnd w:id="496"/>
    </w:p>
    <w:tbl>
      <w:tblPr>
        <w:tblW w:w="9390" w:type="dxa"/>
        <w:tblInd w:w="93" w:type="dxa"/>
        <w:tblBorders>
          <w:top w:val="single" w:sz="4" w:space="0" w:color="auto"/>
          <w:bottom w:val="single" w:sz="4" w:space="0" w:color="auto"/>
        </w:tblBorders>
        <w:tblLook w:val="04A0" w:firstRow="1" w:lastRow="0" w:firstColumn="1" w:lastColumn="0" w:noHBand="0" w:noVBand="1"/>
      </w:tblPr>
      <w:tblGrid>
        <w:gridCol w:w="1637"/>
        <w:gridCol w:w="750"/>
        <w:gridCol w:w="1638"/>
        <w:gridCol w:w="750"/>
        <w:gridCol w:w="1638"/>
        <w:gridCol w:w="750"/>
        <w:gridCol w:w="1638"/>
        <w:gridCol w:w="750"/>
      </w:tblGrid>
      <w:tr w:rsidR="00814178" w:rsidRPr="00B70236" w:rsidTr="00425E9A">
        <w:trPr>
          <w:trHeight w:hRule="exact" w:val="284"/>
        </w:trPr>
        <w:tc>
          <w:tcPr>
            <w:tcW w:w="4694" w:type="dxa"/>
            <w:gridSpan w:val="4"/>
            <w:tcBorders>
              <w:bottom w:val="single" w:sz="4" w:space="0" w:color="auto"/>
            </w:tcBorders>
            <w:shd w:val="clear" w:color="auto" w:fill="auto"/>
            <w:noWrap/>
            <w:vAlign w:val="bottom"/>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i/>
                <w:iCs/>
                <w:color w:val="000000"/>
                <w:lang w:val="en-GB" w:eastAsia="en-GB"/>
              </w:rPr>
              <w:t>P. troglodytes</w:t>
            </w:r>
            <w:r w:rsidRPr="00CA5FBB">
              <w:rPr>
                <w:rFonts w:eastAsia="Times New Roman"/>
                <w:b/>
                <w:color w:val="000000"/>
                <w:lang w:val="en-GB" w:eastAsia="en-GB"/>
              </w:rPr>
              <w:t xml:space="preserve"> male</w:t>
            </w:r>
          </w:p>
        </w:tc>
        <w:tc>
          <w:tcPr>
            <w:tcW w:w="2348" w:type="dxa"/>
            <w:gridSpan w:val="2"/>
            <w:tcBorders>
              <w:bottom w:val="single" w:sz="4" w:space="0" w:color="auto"/>
            </w:tcBorders>
            <w:shd w:val="clear" w:color="auto" w:fill="auto"/>
            <w:noWrap/>
            <w:vAlign w:val="bottom"/>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i/>
                <w:iCs/>
                <w:color w:val="000000"/>
                <w:lang w:val="en-GB" w:eastAsia="en-GB"/>
              </w:rPr>
              <w:t>P. paniscus</w:t>
            </w:r>
            <w:r w:rsidRPr="00CA5FBB">
              <w:rPr>
                <w:rFonts w:eastAsia="Times New Roman"/>
                <w:b/>
                <w:color w:val="000000"/>
                <w:lang w:val="en-GB" w:eastAsia="en-GB"/>
              </w:rPr>
              <w:t xml:space="preserve"> female</w:t>
            </w:r>
          </w:p>
        </w:tc>
        <w:tc>
          <w:tcPr>
            <w:tcW w:w="2348" w:type="dxa"/>
            <w:gridSpan w:val="2"/>
            <w:tcBorders>
              <w:bottom w:val="single" w:sz="4" w:space="0" w:color="auto"/>
            </w:tcBorders>
            <w:shd w:val="clear" w:color="auto" w:fill="auto"/>
            <w:noWrap/>
            <w:vAlign w:val="bottom"/>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i/>
                <w:iCs/>
                <w:color w:val="000000"/>
                <w:lang w:val="en-GB" w:eastAsia="en-GB"/>
              </w:rPr>
              <w:t>P. paniscus</w:t>
            </w:r>
            <w:r w:rsidRPr="00CA5FBB">
              <w:rPr>
                <w:rFonts w:eastAsia="Times New Roman"/>
                <w:b/>
                <w:color w:val="000000"/>
                <w:lang w:val="en-GB" w:eastAsia="en-GB"/>
              </w:rPr>
              <w:t xml:space="preserve"> male</w:t>
            </w:r>
          </w:p>
        </w:tc>
      </w:tr>
      <w:tr w:rsidR="00814178" w:rsidRPr="00B70236" w:rsidTr="00425E9A">
        <w:trPr>
          <w:trHeight w:val="300"/>
        </w:trPr>
        <w:tc>
          <w:tcPr>
            <w:tcW w:w="1637" w:type="dxa"/>
            <w:tcBorders>
              <w:top w:val="single" w:sz="4" w:space="0" w:color="auto"/>
              <w:bottom w:val="single" w:sz="4" w:space="0" w:color="auto"/>
            </w:tcBorders>
            <w:shd w:val="clear" w:color="auto" w:fill="auto"/>
            <w:noWrap/>
            <w:vAlign w:val="center"/>
            <w:hideMark/>
          </w:tcPr>
          <w:p w:rsidR="00A35CA0" w:rsidRPr="00CA5FBB" w:rsidRDefault="009C29D1" w:rsidP="00CA5FBB">
            <w:pPr>
              <w:spacing w:before="0" w:line="240" w:lineRule="auto"/>
              <w:jc w:val="center"/>
              <w:rPr>
                <w:rFonts w:eastAsia="Times New Roman"/>
                <w:b/>
                <w:color w:val="000000"/>
                <w:sz w:val="20"/>
                <w:szCs w:val="20"/>
                <w:lang w:val="en-GB" w:eastAsia="en-GB"/>
              </w:rPr>
            </w:pPr>
            <w:r>
              <w:rPr>
                <w:rFonts w:eastAsia="Times New Roman"/>
                <w:b/>
                <w:color w:val="000000"/>
                <w:sz w:val="20"/>
                <w:szCs w:val="20"/>
                <w:lang w:val="en-GB" w:eastAsia="en-GB"/>
              </w:rPr>
              <w:t>m</w:t>
            </w:r>
            <w:r w:rsidR="008943E4" w:rsidRPr="00CA5FBB">
              <w:rPr>
                <w:rFonts w:eastAsia="Times New Roman"/>
                <w:b/>
                <w:color w:val="000000"/>
                <w:sz w:val="20"/>
                <w:szCs w:val="20"/>
                <w:lang w:val="en-GB" w:eastAsia="en-GB"/>
              </w:rPr>
              <w:t>ean epiphyseal fusion vale</w:t>
            </w:r>
          </w:p>
        </w:tc>
        <w:tc>
          <w:tcPr>
            <w:tcW w:w="709" w:type="dxa"/>
            <w:tcBorders>
              <w:top w:val="single" w:sz="4" w:space="0" w:color="auto"/>
              <w:bottom w:val="single" w:sz="4" w:space="0" w:color="auto"/>
            </w:tcBorders>
            <w:shd w:val="clear" w:color="auto" w:fill="auto"/>
            <w:noWrap/>
            <w:vAlign w:val="center"/>
            <w:hideMark/>
          </w:tcPr>
          <w:p w:rsidR="00A35CA0" w:rsidRPr="00CA5FBB" w:rsidRDefault="009C29D1" w:rsidP="00CA5FBB">
            <w:pPr>
              <w:spacing w:before="0" w:line="240" w:lineRule="auto"/>
              <w:jc w:val="center"/>
              <w:rPr>
                <w:rFonts w:eastAsia="Times New Roman"/>
                <w:b/>
                <w:color w:val="000000"/>
                <w:sz w:val="20"/>
                <w:szCs w:val="20"/>
                <w:lang w:val="en-GB" w:eastAsia="en-GB"/>
              </w:rPr>
            </w:pPr>
            <w:r>
              <w:rPr>
                <w:rFonts w:eastAsia="Times New Roman"/>
                <w:b/>
                <w:color w:val="000000"/>
                <w:sz w:val="20"/>
                <w:szCs w:val="20"/>
                <w:lang w:val="en-GB" w:eastAsia="en-GB"/>
              </w:rPr>
              <w:t>d</w:t>
            </w:r>
            <w:r w:rsidR="008943E4" w:rsidRPr="00CA5FBB">
              <w:rPr>
                <w:rFonts w:eastAsia="Times New Roman"/>
                <w:b/>
                <w:color w:val="000000"/>
                <w:sz w:val="20"/>
                <w:szCs w:val="20"/>
                <w:lang w:val="en-GB" w:eastAsia="en-GB"/>
              </w:rPr>
              <w:t>ental score</w:t>
            </w:r>
          </w:p>
        </w:tc>
        <w:tc>
          <w:tcPr>
            <w:tcW w:w="1638" w:type="dxa"/>
            <w:tcBorders>
              <w:top w:val="single" w:sz="4" w:space="0" w:color="auto"/>
              <w:bottom w:val="single" w:sz="4" w:space="0" w:color="auto"/>
            </w:tcBorders>
            <w:shd w:val="clear" w:color="auto" w:fill="auto"/>
            <w:noWrap/>
            <w:vAlign w:val="center"/>
            <w:hideMark/>
          </w:tcPr>
          <w:p w:rsidR="00A35CA0" w:rsidRPr="00CA5FBB" w:rsidRDefault="009C29D1" w:rsidP="00CA5FBB">
            <w:pPr>
              <w:spacing w:before="0" w:line="240" w:lineRule="auto"/>
              <w:jc w:val="center"/>
              <w:rPr>
                <w:rFonts w:eastAsia="Times New Roman"/>
                <w:b/>
                <w:color w:val="000000"/>
                <w:sz w:val="20"/>
                <w:szCs w:val="20"/>
                <w:lang w:val="en-GB" w:eastAsia="en-GB"/>
              </w:rPr>
            </w:pPr>
            <w:r>
              <w:rPr>
                <w:rFonts w:eastAsia="Times New Roman"/>
                <w:b/>
                <w:color w:val="000000"/>
                <w:sz w:val="20"/>
                <w:szCs w:val="20"/>
                <w:lang w:val="en-GB" w:eastAsia="en-GB"/>
              </w:rPr>
              <w:t>m</w:t>
            </w:r>
            <w:r w:rsidR="008943E4" w:rsidRPr="00CA5FBB">
              <w:rPr>
                <w:rFonts w:eastAsia="Times New Roman"/>
                <w:b/>
                <w:color w:val="000000"/>
                <w:sz w:val="20"/>
                <w:szCs w:val="20"/>
                <w:lang w:val="en-GB" w:eastAsia="en-GB"/>
              </w:rPr>
              <w:t>ean epiphyseal fusion vale</w:t>
            </w:r>
          </w:p>
        </w:tc>
        <w:tc>
          <w:tcPr>
            <w:tcW w:w="710" w:type="dxa"/>
            <w:tcBorders>
              <w:top w:val="single" w:sz="4" w:space="0" w:color="auto"/>
              <w:bottom w:val="single" w:sz="4" w:space="0" w:color="auto"/>
            </w:tcBorders>
            <w:shd w:val="clear" w:color="auto" w:fill="auto"/>
            <w:noWrap/>
            <w:vAlign w:val="center"/>
            <w:hideMark/>
          </w:tcPr>
          <w:p w:rsidR="00A35CA0" w:rsidRPr="00CA5FBB" w:rsidRDefault="009C29D1" w:rsidP="00CA5FBB">
            <w:pPr>
              <w:spacing w:before="0" w:line="240" w:lineRule="auto"/>
              <w:jc w:val="center"/>
              <w:rPr>
                <w:rFonts w:eastAsia="Times New Roman"/>
                <w:b/>
                <w:color w:val="000000"/>
                <w:sz w:val="20"/>
                <w:szCs w:val="20"/>
                <w:lang w:val="en-GB" w:eastAsia="en-GB"/>
              </w:rPr>
            </w:pPr>
            <w:r>
              <w:rPr>
                <w:rFonts w:eastAsia="Times New Roman"/>
                <w:b/>
                <w:color w:val="000000"/>
                <w:sz w:val="20"/>
                <w:szCs w:val="20"/>
                <w:lang w:val="en-GB" w:eastAsia="en-GB"/>
              </w:rPr>
              <w:t>d</w:t>
            </w:r>
            <w:r w:rsidR="008943E4" w:rsidRPr="00CA5FBB">
              <w:rPr>
                <w:rFonts w:eastAsia="Times New Roman"/>
                <w:b/>
                <w:color w:val="000000"/>
                <w:sz w:val="20"/>
                <w:szCs w:val="20"/>
                <w:lang w:val="en-GB" w:eastAsia="en-GB"/>
              </w:rPr>
              <w:t>ental score</w:t>
            </w:r>
          </w:p>
        </w:tc>
        <w:tc>
          <w:tcPr>
            <w:tcW w:w="1638" w:type="dxa"/>
            <w:tcBorders>
              <w:top w:val="single" w:sz="4" w:space="0" w:color="auto"/>
              <w:bottom w:val="single" w:sz="4" w:space="0" w:color="auto"/>
            </w:tcBorders>
            <w:shd w:val="clear" w:color="auto" w:fill="auto"/>
            <w:noWrap/>
            <w:vAlign w:val="center"/>
            <w:hideMark/>
          </w:tcPr>
          <w:p w:rsidR="00A35CA0" w:rsidRPr="00CA5FBB" w:rsidRDefault="009C29D1" w:rsidP="00CA5FBB">
            <w:pPr>
              <w:spacing w:before="0" w:line="240" w:lineRule="auto"/>
              <w:jc w:val="center"/>
              <w:rPr>
                <w:rFonts w:eastAsia="Times New Roman"/>
                <w:b/>
                <w:color w:val="000000"/>
                <w:sz w:val="20"/>
                <w:szCs w:val="20"/>
                <w:lang w:val="en-GB" w:eastAsia="en-GB"/>
              </w:rPr>
            </w:pPr>
            <w:r>
              <w:rPr>
                <w:rFonts w:eastAsia="Times New Roman"/>
                <w:b/>
                <w:color w:val="000000"/>
                <w:sz w:val="20"/>
                <w:szCs w:val="20"/>
                <w:lang w:val="en-GB" w:eastAsia="en-GB"/>
              </w:rPr>
              <w:t>m</w:t>
            </w:r>
            <w:r w:rsidR="008943E4" w:rsidRPr="00CA5FBB">
              <w:rPr>
                <w:rFonts w:eastAsia="Times New Roman"/>
                <w:b/>
                <w:color w:val="000000"/>
                <w:sz w:val="20"/>
                <w:szCs w:val="20"/>
                <w:lang w:val="en-GB" w:eastAsia="en-GB"/>
              </w:rPr>
              <w:t>ean epiphyseal fusion vale</w:t>
            </w:r>
          </w:p>
        </w:tc>
        <w:tc>
          <w:tcPr>
            <w:tcW w:w="710" w:type="dxa"/>
            <w:tcBorders>
              <w:top w:val="single" w:sz="4" w:space="0" w:color="auto"/>
              <w:bottom w:val="single" w:sz="4" w:space="0" w:color="auto"/>
            </w:tcBorders>
            <w:shd w:val="clear" w:color="auto" w:fill="auto"/>
            <w:noWrap/>
            <w:vAlign w:val="center"/>
            <w:hideMark/>
          </w:tcPr>
          <w:p w:rsidR="00A35CA0" w:rsidRPr="00CA5FBB" w:rsidRDefault="009C29D1" w:rsidP="00CA5FBB">
            <w:pPr>
              <w:spacing w:before="0" w:line="240" w:lineRule="auto"/>
              <w:jc w:val="center"/>
              <w:rPr>
                <w:rFonts w:eastAsia="Times New Roman"/>
                <w:b/>
                <w:color w:val="000000"/>
                <w:sz w:val="20"/>
                <w:szCs w:val="20"/>
                <w:lang w:val="en-GB" w:eastAsia="en-GB"/>
              </w:rPr>
            </w:pPr>
            <w:r>
              <w:rPr>
                <w:rFonts w:eastAsia="Times New Roman"/>
                <w:b/>
                <w:color w:val="000000"/>
                <w:sz w:val="20"/>
                <w:szCs w:val="20"/>
                <w:lang w:val="en-GB" w:eastAsia="en-GB"/>
              </w:rPr>
              <w:t>d</w:t>
            </w:r>
            <w:r w:rsidR="008943E4" w:rsidRPr="00CA5FBB">
              <w:rPr>
                <w:rFonts w:eastAsia="Times New Roman"/>
                <w:b/>
                <w:color w:val="000000"/>
                <w:sz w:val="20"/>
                <w:szCs w:val="20"/>
                <w:lang w:val="en-GB" w:eastAsia="en-GB"/>
              </w:rPr>
              <w:t>ental score</w:t>
            </w:r>
          </w:p>
        </w:tc>
        <w:tc>
          <w:tcPr>
            <w:tcW w:w="1638" w:type="dxa"/>
            <w:tcBorders>
              <w:top w:val="single" w:sz="4" w:space="0" w:color="auto"/>
              <w:bottom w:val="single" w:sz="4" w:space="0" w:color="auto"/>
            </w:tcBorders>
            <w:shd w:val="clear" w:color="auto" w:fill="auto"/>
            <w:noWrap/>
            <w:vAlign w:val="center"/>
            <w:hideMark/>
          </w:tcPr>
          <w:p w:rsidR="00A35CA0" w:rsidRPr="00CA5FBB" w:rsidRDefault="009C29D1" w:rsidP="00CA5FBB">
            <w:pPr>
              <w:spacing w:before="0" w:line="240" w:lineRule="auto"/>
              <w:jc w:val="center"/>
              <w:rPr>
                <w:rFonts w:eastAsia="Times New Roman"/>
                <w:b/>
                <w:color w:val="000000"/>
                <w:sz w:val="20"/>
                <w:szCs w:val="20"/>
                <w:lang w:val="en-GB" w:eastAsia="en-GB"/>
              </w:rPr>
            </w:pPr>
            <w:r>
              <w:rPr>
                <w:rFonts w:eastAsia="Times New Roman"/>
                <w:b/>
                <w:color w:val="000000"/>
                <w:sz w:val="20"/>
                <w:szCs w:val="20"/>
                <w:lang w:val="en-GB" w:eastAsia="en-GB"/>
              </w:rPr>
              <w:t>m</w:t>
            </w:r>
            <w:r w:rsidR="008943E4" w:rsidRPr="00CA5FBB">
              <w:rPr>
                <w:rFonts w:eastAsia="Times New Roman"/>
                <w:b/>
                <w:color w:val="000000"/>
                <w:sz w:val="20"/>
                <w:szCs w:val="20"/>
                <w:lang w:val="en-GB" w:eastAsia="en-GB"/>
              </w:rPr>
              <w:t>ean epiphyseal fusion vale</w:t>
            </w:r>
          </w:p>
        </w:tc>
        <w:tc>
          <w:tcPr>
            <w:tcW w:w="710" w:type="dxa"/>
            <w:tcBorders>
              <w:top w:val="single" w:sz="4" w:space="0" w:color="auto"/>
              <w:bottom w:val="single" w:sz="4" w:space="0" w:color="auto"/>
            </w:tcBorders>
            <w:shd w:val="clear" w:color="auto" w:fill="auto"/>
            <w:noWrap/>
            <w:vAlign w:val="center"/>
            <w:hideMark/>
          </w:tcPr>
          <w:p w:rsidR="00A35CA0" w:rsidRPr="00CA5FBB" w:rsidRDefault="009C29D1" w:rsidP="00CA5FBB">
            <w:pPr>
              <w:spacing w:before="0" w:line="240" w:lineRule="auto"/>
              <w:jc w:val="center"/>
              <w:rPr>
                <w:rFonts w:eastAsia="Times New Roman"/>
                <w:b/>
                <w:color w:val="000000"/>
                <w:sz w:val="20"/>
                <w:szCs w:val="20"/>
                <w:lang w:val="en-GB" w:eastAsia="en-GB"/>
              </w:rPr>
            </w:pPr>
            <w:r>
              <w:rPr>
                <w:rFonts w:eastAsia="Times New Roman"/>
                <w:b/>
                <w:color w:val="000000"/>
                <w:sz w:val="20"/>
                <w:szCs w:val="20"/>
                <w:lang w:val="en-GB" w:eastAsia="en-GB"/>
              </w:rPr>
              <w:t>d</w:t>
            </w:r>
            <w:r w:rsidR="008943E4" w:rsidRPr="00CA5FBB">
              <w:rPr>
                <w:rFonts w:eastAsia="Times New Roman"/>
                <w:b/>
                <w:color w:val="000000"/>
                <w:sz w:val="20"/>
                <w:szCs w:val="20"/>
                <w:lang w:val="en-GB" w:eastAsia="en-GB"/>
              </w:rPr>
              <w:t>ental score</w:t>
            </w:r>
          </w:p>
        </w:tc>
      </w:tr>
      <w:tr w:rsidR="00814178" w:rsidRPr="00B70236" w:rsidTr="00425E9A">
        <w:trPr>
          <w:trHeight w:hRule="exact" w:val="284"/>
        </w:trPr>
        <w:tc>
          <w:tcPr>
            <w:tcW w:w="1637" w:type="dxa"/>
            <w:tcBorders>
              <w:top w:val="single" w:sz="4" w:space="0" w:color="auto"/>
            </w:tcBorders>
            <w:shd w:val="clear" w:color="000000" w:fill="FFFFFF"/>
            <w:noWrap/>
            <w:vAlign w:val="bottom"/>
            <w:hideMark/>
          </w:tcPr>
          <w:p w:rsidR="00A35CA0" w:rsidRDefault="00814178" w:rsidP="00CA5FBB">
            <w:pPr>
              <w:spacing w:before="0" w:line="240" w:lineRule="auto"/>
              <w:jc w:val="center"/>
              <w:rPr>
                <w:rFonts w:eastAsia="Times New Roman"/>
                <w:color w:val="000000"/>
                <w:lang w:val="en-GB" w:eastAsia="en-GB"/>
              </w:rPr>
            </w:pPr>
            <w:r w:rsidRPr="00B70236">
              <w:rPr>
                <w:rFonts w:eastAsia="Times New Roman"/>
                <w:color w:val="000000"/>
                <w:lang w:val="en-GB" w:eastAsia="en-GB"/>
              </w:rPr>
              <w:t>13</w:t>
            </w:r>
          </w:p>
        </w:tc>
        <w:tc>
          <w:tcPr>
            <w:tcW w:w="709" w:type="dxa"/>
            <w:tcBorders>
              <w:top w:val="single" w:sz="4" w:space="0" w:color="auto"/>
            </w:tcBorders>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1.03</w:t>
            </w:r>
          </w:p>
        </w:tc>
        <w:tc>
          <w:tcPr>
            <w:tcW w:w="1638" w:type="dxa"/>
            <w:tcBorders>
              <w:top w:val="single" w:sz="4" w:space="0" w:color="auto"/>
            </w:tcBorders>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60</w:t>
            </w:r>
          </w:p>
        </w:tc>
        <w:tc>
          <w:tcPr>
            <w:tcW w:w="710" w:type="dxa"/>
            <w:tcBorders>
              <w:top w:val="single" w:sz="4" w:space="0" w:color="auto"/>
            </w:tcBorders>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1.8</w:t>
            </w:r>
            <w:r>
              <w:rPr>
                <w:rFonts w:eastAsia="Times New Roman"/>
                <w:color w:val="000000"/>
                <w:lang w:val="en-GB" w:eastAsia="en-GB"/>
              </w:rPr>
              <w:t>0</w:t>
            </w:r>
          </w:p>
        </w:tc>
        <w:tc>
          <w:tcPr>
            <w:tcW w:w="1638" w:type="dxa"/>
            <w:tcBorders>
              <w:top w:val="single" w:sz="4" w:space="0" w:color="auto"/>
            </w:tcBorders>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1.3</w:t>
            </w:r>
            <w:r>
              <w:rPr>
                <w:rFonts w:eastAsia="Times New Roman"/>
                <w:color w:val="000000"/>
                <w:lang w:val="en-GB" w:eastAsia="en-GB"/>
              </w:rPr>
              <w:t>0</w:t>
            </w:r>
          </w:p>
        </w:tc>
        <w:tc>
          <w:tcPr>
            <w:tcW w:w="710" w:type="dxa"/>
            <w:tcBorders>
              <w:top w:val="single" w:sz="4" w:space="0" w:color="auto"/>
            </w:tcBorders>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53</w:t>
            </w:r>
          </w:p>
        </w:tc>
        <w:tc>
          <w:tcPr>
            <w:tcW w:w="1638" w:type="dxa"/>
            <w:tcBorders>
              <w:top w:val="single" w:sz="4" w:space="0" w:color="auto"/>
            </w:tcBorders>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1.1</w:t>
            </w:r>
            <w:r>
              <w:rPr>
                <w:rFonts w:eastAsia="Times New Roman"/>
                <w:color w:val="000000"/>
                <w:lang w:val="en-GB" w:eastAsia="en-GB"/>
              </w:rPr>
              <w:t>0</w:t>
            </w:r>
          </w:p>
        </w:tc>
        <w:tc>
          <w:tcPr>
            <w:tcW w:w="710" w:type="dxa"/>
            <w:tcBorders>
              <w:top w:val="single" w:sz="4" w:space="0" w:color="auto"/>
            </w:tcBorders>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45</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20</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1.03</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61</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1.81</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1.76</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53</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1.82</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47</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50</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1.03</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55</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1.91</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1.83</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62</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1.88</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61</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31</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1.05</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59</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2.66</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2.15</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51</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2.1</w:t>
            </w:r>
            <w:r>
              <w:rPr>
                <w:rFonts w:eastAsia="Times New Roman"/>
                <w:color w:val="000000"/>
                <w:lang w:val="en-GB" w:eastAsia="en-GB"/>
              </w:rPr>
              <w:t>0</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59</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43</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1.06</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61</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2.73</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3.5</w:t>
            </w:r>
            <w:r>
              <w:rPr>
                <w:rFonts w:eastAsia="Times New Roman"/>
                <w:color w:val="000000"/>
                <w:lang w:val="en-GB" w:eastAsia="en-GB"/>
              </w:rPr>
              <w:t>0</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60</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2.25</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60</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46</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1.06</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60</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3.48</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4.14</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64</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2.88</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54</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55</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1.1</w:t>
            </w:r>
            <w:r>
              <w:rPr>
                <w:rFonts w:eastAsia="Times New Roman"/>
                <w:color w:val="000000"/>
                <w:lang w:val="en-GB" w:eastAsia="en-GB"/>
              </w:rPr>
              <w:t>0</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64</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3.88</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4.45</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64</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2.95</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60</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43</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1.12</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63</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3.92</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4.48</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64</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3.28</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61</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44</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1.17</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62</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3.98</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4.92</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62</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4.34</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64</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53</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1.24</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60</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4.05</w:t>
            </w: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4.79</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64</w:t>
            </w: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59</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1.25</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63</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4.14</w:t>
            </w: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60</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1.31</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63</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4.7</w:t>
            </w:r>
            <w:r>
              <w:rPr>
                <w:rFonts w:eastAsia="Times New Roman"/>
                <w:color w:val="000000"/>
                <w:lang w:val="en-GB" w:eastAsia="en-GB"/>
              </w:rPr>
              <w:t>0</w:t>
            </w: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60</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1.38</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64</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4.72</w:t>
            </w: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58</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1.44</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64</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4.88</w:t>
            </w: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58</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1.6</w:t>
            </w:r>
            <w:r>
              <w:rPr>
                <w:rFonts w:eastAsia="Times New Roman"/>
                <w:color w:val="000000"/>
                <w:lang w:val="en-GB" w:eastAsia="en-GB"/>
              </w:rPr>
              <w:t>0</w:t>
            </w:r>
          </w:p>
        </w:tc>
        <w:tc>
          <w:tcPr>
            <w:tcW w:w="1638"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64</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4.89</w:t>
            </w: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r>
      <w:tr w:rsidR="00814178" w:rsidRPr="00B70236" w:rsidTr="00425E9A">
        <w:trPr>
          <w:trHeight w:hRule="exact" w:val="284"/>
        </w:trPr>
        <w:tc>
          <w:tcPr>
            <w:tcW w:w="1637"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61</w:t>
            </w:r>
          </w:p>
        </w:tc>
        <w:tc>
          <w:tcPr>
            <w:tcW w:w="709"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1.71</w:t>
            </w:r>
          </w:p>
        </w:tc>
        <w:tc>
          <w:tcPr>
            <w:tcW w:w="1638" w:type="dxa"/>
            <w:shd w:val="clear" w:color="000000" w:fill="FFFFFF"/>
            <w:noWrap/>
            <w:vAlign w:val="bottom"/>
            <w:hideMark/>
          </w:tcPr>
          <w:p w:rsidR="00A35CA0" w:rsidRDefault="00FF6740"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64</w:t>
            </w:r>
          </w:p>
        </w:tc>
        <w:tc>
          <w:tcPr>
            <w:tcW w:w="710" w:type="dxa"/>
            <w:shd w:val="clear" w:color="000000" w:fill="FFFFFF"/>
            <w:noWrap/>
            <w:vAlign w:val="bottom"/>
            <w:hideMark/>
          </w:tcPr>
          <w:p w:rsidR="00A35CA0" w:rsidRDefault="00814178" w:rsidP="00CA5FBB">
            <w:pPr>
              <w:spacing w:before="0" w:line="240" w:lineRule="auto"/>
              <w:jc w:val="center"/>
              <w:rPr>
                <w:rFonts w:eastAsia="Times New Roman"/>
                <w:color w:val="000000"/>
                <w:sz w:val="24"/>
                <w:szCs w:val="24"/>
                <w:lang w:val="en-GB" w:eastAsia="en-GB"/>
              </w:rPr>
            </w:pPr>
            <w:r w:rsidRPr="00B70236">
              <w:rPr>
                <w:rFonts w:eastAsia="Times New Roman"/>
                <w:color w:val="000000"/>
                <w:lang w:val="en-GB" w:eastAsia="en-GB"/>
              </w:rPr>
              <w:t>4.94</w:t>
            </w: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163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71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r>
    </w:tbl>
    <w:p w:rsidR="00814178" w:rsidRPr="0073687D" w:rsidRDefault="00814178" w:rsidP="00814178">
      <w:pPr>
        <w:rPr>
          <w:b/>
          <w:i/>
          <w:noProof/>
        </w:rPr>
      </w:pPr>
      <w:r>
        <w:rPr>
          <w:b/>
          <w:i/>
          <w:noProof/>
        </w:rPr>
        <w:t>4.2.1e</w:t>
      </w:r>
      <w:r w:rsidRPr="0073687D">
        <w:rPr>
          <w:b/>
          <w:i/>
          <w:noProof/>
        </w:rPr>
        <w:t xml:space="preserve"> Summary</w:t>
      </w:r>
      <w:r>
        <w:rPr>
          <w:b/>
          <w:i/>
          <w:noProof/>
        </w:rPr>
        <w:t xml:space="preserve"> of fusion event comparisons to dental score</w:t>
      </w:r>
    </w:p>
    <w:p w:rsidR="00814178" w:rsidRDefault="00814178" w:rsidP="00814178">
      <w:pPr>
        <w:rPr>
          <w:noProof/>
        </w:rPr>
      </w:pPr>
      <w:r w:rsidRPr="0073687D">
        <w:rPr>
          <w:noProof/>
        </w:rPr>
        <w:t xml:space="preserve">A pattern of </w:t>
      </w:r>
      <w:r w:rsidR="005E6E2A">
        <w:rPr>
          <w:noProof/>
        </w:rPr>
        <w:t>fusion</w:t>
      </w:r>
      <w:r w:rsidRPr="0073687D">
        <w:rPr>
          <w:noProof/>
        </w:rPr>
        <w:t xml:space="preserve"> was visible when fusion events were compared to </w:t>
      </w:r>
      <w:r w:rsidR="00C01F73">
        <w:rPr>
          <w:noProof/>
        </w:rPr>
        <w:t xml:space="preserve">both </w:t>
      </w:r>
      <w:r w:rsidRPr="0073687D">
        <w:rPr>
          <w:noProof/>
        </w:rPr>
        <w:t xml:space="preserve">dental score and generated dental score.  </w:t>
      </w:r>
      <w:r w:rsidR="006C6C5F">
        <w:rPr>
          <w:noProof/>
        </w:rPr>
        <w:t>Differences between</w:t>
      </w:r>
      <w:r>
        <w:rPr>
          <w:noProof/>
        </w:rPr>
        <w:t xml:space="preserve"> </w:t>
      </w:r>
      <w:r w:rsidR="006C6C5F">
        <w:rPr>
          <w:noProof/>
        </w:rPr>
        <w:t xml:space="preserve">the </w:t>
      </w:r>
      <w:r>
        <w:rPr>
          <w:noProof/>
        </w:rPr>
        <w:t>sex</w:t>
      </w:r>
      <w:r w:rsidR="006C6C5F">
        <w:rPr>
          <w:noProof/>
        </w:rPr>
        <w:t>es</w:t>
      </w:r>
      <w:r>
        <w:rPr>
          <w:noProof/>
        </w:rPr>
        <w:t xml:space="preserve"> were not found, although the data </w:t>
      </w:r>
      <w:r w:rsidR="00D04430">
        <w:rPr>
          <w:noProof/>
        </w:rPr>
        <w:t xml:space="preserve">suitable </w:t>
      </w:r>
      <w:r>
        <w:rPr>
          <w:noProof/>
        </w:rPr>
        <w:t>fo</w:t>
      </w:r>
      <w:r w:rsidR="008117EC">
        <w:rPr>
          <w:noProof/>
        </w:rPr>
        <w:t>r this comparison were limited</w:t>
      </w:r>
      <w:r w:rsidRPr="0073687D">
        <w:rPr>
          <w:noProof/>
        </w:rPr>
        <w:t xml:space="preserve">.  This comparison demonstrates </w:t>
      </w:r>
      <w:r w:rsidR="008E2EA9">
        <w:rPr>
          <w:noProof/>
        </w:rPr>
        <w:t xml:space="preserve">clearly that at least several </w:t>
      </w:r>
      <w:r w:rsidRPr="0073687D">
        <w:rPr>
          <w:noProof/>
        </w:rPr>
        <w:t xml:space="preserve">fusion events </w:t>
      </w:r>
      <w:r w:rsidR="00907FB8">
        <w:rPr>
          <w:noProof/>
        </w:rPr>
        <w:t xml:space="preserve">begin union </w:t>
      </w:r>
      <w:r w:rsidRPr="0073687D">
        <w:rPr>
          <w:noProof/>
        </w:rPr>
        <w:t>beyond DS64.</w:t>
      </w:r>
    </w:p>
    <w:p w:rsidR="0073687D" w:rsidRDefault="00317FF1" w:rsidP="00D263E8">
      <w:pPr>
        <w:pStyle w:val="Heading3"/>
      </w:pPr>
      <w:bookmarkStart w:id="497" w:name="_Toc373477798"/>
      <w:bookmarkStart w:id="498" w:name="_Toc373480796"/>
      <w:r>
        <w:t>Producing a seriation of epiphyseal fusion sequences</w:t>
      </w:r>
      <w:bookmarkEnd w:id="497"/>
      <w:bookmarkEnd w:id="498"/>
    </w:p>
    <w:p w:rsidR="004F7E85" w:rsidRPr="004F7E85" w:rsidRDefault="004F7E85" w:rsidP="002E17E6">
      <w:pPr>
        <w:tabs>
          <w:tab w:val="left" w:pos="360"/>
        </w:tabs>
        <w:spacing w:line="240" w:lineRule="auto"/>
        <w:rPr>
          <w:b/>
          <w:i/>
          <w:noProof/>
        </w:rPr>
      </w:pPr>
      <w:r w:rsidRPr="004F7E85">
        <w:rPr>
          <w:b/>
          <w:i/>
          <w:noProof/>
        </w:rPr>
        <w:t>4.2.</w:t>
      </w:r>
      <w:r w:rsidR="003027E5">
        <w:rPr>
          <w:b/>
          <w:i/>
          <w:noProof/>
        </w:rPr>
        <w:t>2a</w:t>
      </w:r>
      <w:r w:rsidRPr="004F7E85">
        <w:rPr>
          <w:b/>
          <w:i/>
          <w:noProof/>
        </w:rPr>
        <w:t xml:space="preserve"> Seriation</w:t>
      </w:r>
      <w:r w:rsidR="0073687D">
        <w:rPr>
          <w:b/>
          <w:i/>
          <w:noProof/>
        </w:rPr>
        <w:t xml:space="preserve"> using </w:t>
      </w:r>
      <w:r w:rsidR="0049032E">
        <w:rPr>
          <w:b/>
          <w:i/>
          <w:noProof/>
        </w:rPr>
        <w:t>contingency tables to produce a modular sequence</w:t>
      </w:r>
      <w:r w:rsidR="00DD5CD2">
        <w:rPr>
          <w:b/>
          <w:i/>
          <w:noProof/>
        </w:rPr>
        <w:t xml:space="preserve"> for fusion</w:t>
      </w:r>
    </w:p>
    <w:p w:rsidR="008117EC" w:rsidRDefault="00803BD2">
      <w:pPr>
        <w:rPr>
          <w:noProof/>
        </w:rPr>
      </w:pPr>
      <w:r>
        <w:rPr>
          <w:noProof/>
        </w:rPr>
        <w:t xml:space="preserve">Given the limitations for </w:t>
      </w:r>
      <w:r>
        <w:rPr>
          <w:i/>
          <w:noProof/>
        </w:rPr>
        <w:t xml:space="preserve">Pan paniscus </w:t>
      </w:r>
      <w:r>
        <w:rPr>
          <w:noProof/>
        </w:rPr>
        <w:t>epiphyseal fusion data o</w:t>
      </w:r>
      <w:r w:rsidR="0034344C">
        <w:rPr>
          <w:noProof/>
        </w:rPr>
        <w:t xml:space="preserve">bserved in the previous section </w:t>
      </w:r>
      <w:r>
        <w:rPr>
          <w:noProof/>
        </w:rPr>
        <w:t>it was decided to begin t</w:t>
      </w:r>
      <w:r w:rsidR="006C302B">
        <w:rPr>
          <w:noProof/>
        </w:rPr>
        <w:t>his analysis b</w:t>
      </w:r>
      <w:r>
        <w:rPr>
          <w:noProof/>
        </w:rPr>
        <w:t>y considering</w:t>
      </w:r>
      <w:r w:rsidR="006C302B">
        <w:rPr>
          <w:noProof/>
        </w:rPr>
        <w:t xml:space="preserve"> </w:t>
      </w:r>
      <w:r w:rsidR="006C302B">
        <w:rPr>
          <w:i/>
          <w:noProof/>
        </w:rPr>
        <w:t xml:space="preserve">Pan </w:t>
      </w:r>
      <w:r w:rsidR="006C302B" w:rsidRPr="00D262CB">
        <w:rPr>
          <w:i/>
          <w:noProof/>
        </w:rPr>
        <w:t>troglodytes</w:t>
      </w:r>
      <w:r>
        <w:rPr>
          <w:noProof/>
        </w:rPr>
        <w:t xml:space="preserve"> only</w:t>
      </w:r>
      <w:r w:rsidR="006C302B">
        <w:rPr>
          <w:noProof/>
        </w:rPr>
        <w:t xml:space="preserve">.  </w:t>
      </w:r>
      <w:r w:rsidR="006C302B" w:rsidRPr="006C302B">
        <w:rPr>
          <w:noProof/>
        </w:rPr>
        <w:t>Contigency</w:t>
      </w:r>
      <w:r w:rsidR="006C302B">
        <w:rPr>
          <w:noProof/>
        </w:rPr>
        <w:t xml:space="preserve"> tables</w:t>
      </w:r>
      <w:r w:rsidR="00E965AB">
        <w:rPr>
          <w:noProof/>
        </w:rPr>
        <w:t xml:space="preserve"> for mid-fusion values</w:t>
      </w:r>
      <w:r w:rsidR="006C302B">
        <w:rPr>
          <w:noProof/>
        </w:rPr>
        <w:t xml:space="preserve"> comparing each epiphysis were produced</w:t>
      </w:r>
      <w:r w:rsidR="009C22F6">
        <w:rPr>
          <w:noProof/>
        </w:rPr>
        <w:t xml:space="preserve"> </w:t>
      </w:r>
      <w:r w:rsidR="007C73FC">
        <w:rPr>
          <w:noProof/>
        </w:rPr>
        <w:t>using SPSS 21</w:t>
      </w:r>
      <w:r w:rsidR="001B5F65" w:rsidRPr="001B5F65">
        <w:rPr>
          <w:noProof/>
        </w:rPr>
        <w:t xml:space="preserve"> </w:t>
      </w:r>
      <w:r w:rsidR="001B5F65">
        <w:rPr>
          <w:noProof/>
        </w:rPr>
        <w:t>for</w:t>
      </w:r>
      <w:r w:rsidR="00163C8D">
        <w:rPr>
          <w:noProof/>
        </w:rPr>
        <w:t xml:space="preserve"> both </w:t>
      </w:r>
      <w:r w:rsidR="001B5F65">
        <w:rPr>
          <w:noProof/>
        </w:rPr>
        <w:t>male and females.</w:t>
      </w:r>
      <w:r w:rsidR="006C302B">
        <w:rPr>
          <w:noProof/>
        </w:rPr>
        <w:t xml:space="preserve">  </w:t>
      </w:r>
      <w:r w:rsidR="00E67491">
        <w:rPr>
          <w:noProof/>
        </w:rPr>
        <w:t xml:space="preserve">An example of such </w:t>
      </w:r>
      <w:r w:rsidR="008140A6">
        <w:rPr>
          <w:noProof/>
        </w:rPr>
        <w:t>a table</w:t>
      </w:r>
      <w:r w:rsidR="00D57411">
        <w:rPr>
          <w:noProof/>
        </w:rPr>
        <w:t xml:space="preserve"> </w:t>
      </w:r>
      <w:r w:rsidR="008140A6">
        <w:rPr>
          <w:noProof/>
        </w:rPr>
        <w:t xml:space="preserve">is </w:t>
      </w:r>
      <w:r w:rsidR="0001745C">
        <w:rPr>
          <w:noProof/>
        </w:rPr>
        <w:t xml:space="preserve">provided in </w:t>
      </w:r>
      <w:r w:rsidR="00D3183F">
        <w:rPr>
          <w:noProof/>
        </w:rPr>
        <w:t>T</w:t>
      </w:r>
      <w:r w:rsidR="0001745C">
        <w:rPr>
          <w:noProof/>
        </w:rPr>
        <w:t>able 4.11</w:t>
      </w:r>
      <w:r w:rsidR="00E67491">
        <w:rPr>
          <w:noProof/>
        </w:rPr>
        <w:t xml:space="preserve">.  </w:t>
      </w:r>
      <w:r w:rsidR="006428B7">
        <w:rPr>
          <w:noProof/>
        </w:rPr>
        <w:t>Tables 4.</w:t>
      </w:r>
      <w:r w:rsidR="0001745C">
        <w:rPr>
          <w:noProof/>
        </w:rPr>
        <w:t>12 and 4.13</w:t>
      </w:r>
      <w:r w:rsidR="006428B7">
        <w:rPr>
          <w:noProof/>
        </w:rPr>
        <w:t xml:space="preserve"> below </w:t>
      </w:r>
      <w:r w:rsidR="00D57411">
        <w:rPr>
          <w:noProof/>
        </w:rPr>
        <w:t xml:space="preserve">demonstrate </w:t>
      </w:r>
      <w:r w:rsidR="006428B7">
        <w:rPr>
          <w:noProof/>
        </w:rPr>
        <w:t xml:space="preserve">the modular sequence order produced for male and female </w:t>
      </w:r>
      <w:r w:rsidR="006428B7">
        <w:rPr>
          <w:i/>
          <w:noProof/>
        </w:rPr>
        <w:t>Pan troglodytes</w:t>
      </w:r>
      <w:r w:rsidR="006428B7">
        <w:rPr>
          <w:noProof/>
        </w:rPr>
        <w:t xml:space="preserve">.  Some sequence could not be established.  These are </w:t>
      </w:r>
      <w:r w:rsidR="00D57411">
        <w:rPr>
          <w:noProof/>
        </w:rPr>
        <w:t xml:space="preserve">highlighted by </w:t>
      </w:r>
      <w:r w:rsidR="006428B7">
        <w:rPr>
          <w:noProof/>
        </w:rPr>
        <w:t>boldface</w:t>
      </w:r>
      <w:r w:rsidR="00D57411">
        <w:rPr>
          <w:noProof/>
        </w:rPr>
        <w:t xml:space="preserve"> lettering</w:t>
      </w:r>
      <w:r w:rsidR="006428B7">
        <w:rPr>
          <w:noProof/>
        </w:rPr>
        <w:t xml:space="preserve">. </w:t>
      </w:r>
      <w:r w:rsidR="00067929">
        <w:rPr>
          <w:noProof/>
        </w:rPr>
        <w:t xml:space="preserve"> The lateral clavicle and anterior inferior iliac spine were not included in this analysis due to suspected problems with reliability</w:t>
      </w:r>
      <w:r w:rsidR="00C85417">
        <w:rPr>
          <w:noProof/>
        </w:rPr>
        <w:t xml:space="preserve"> in measurement</w:t>
      </w:r>
      <w:r w:rsidR="00067929">
        <w:rPr>
          <w:noProof/>
        </w:rPr>
        <w:t>.  The range of variation in fusion timing of these sites was too unpredictable.</w:t>
      </w:r>
    </w:p>
    <w:p w:rsidR="00E67491" w:rsidRPr="00E67491" w:rsidRDefault="00CB6B11" w:rsidP="00556B5B">
      <w:pPr>
        <w:tabs>
          <w:tab w:val="left" w:pos="360"/>
        </w:tabs>
        <w:spacing w:before="0" w:after="120" w:line="240" w:lineRule="auto"/>
        <w:rPr>
          <w:i/>
          <w:noProof/>
          <w:color w:val="000000" w:themeColor="text1"/>
        </w:rPr>
      </w:pPr>
      <w:bookmarkStart w:id="499" w:name="_Toc373180155"/>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11</w:t>
      </w:r>
      <w:r w:rsidR="008943E4">
        <w:rPr>
          <w:b/>
        </w:rPr>
        <w:fldChar w:fldCharType="end"/>
      </w:r>
      <w:r>
        <w:rPr>
          <w:noProof/>
        </w:rPr>
        <w:t xml:space="preserve"> </w:t>
      </w:r>
      <w:r w:rsidR="00E67491">
        <w:rPr>
          <w:noProof/>
          <w:color w:val="000000" w:themeColor="text1"/>
        </w:rPr>
        <w:t xml:space="preserve">Example of contingency table comparing the coracoid with the distal ulna in </w:t>
      </w:r>
      <w:r w:rsidR="00E67491">
        <w:rPr>
          <w:i/>
          <w:noProof/>
          <w:color w:val="000000" w:themeColor="text1"/>
        </w:rPr>
        <w:t xml:space="preserve">Pan troglodytes </w:t>
      </w:r>
      <w:r w:rsidR="00E67491" w:rsidRPr="00E67491">
        <w:rPr>
          <w:noProof/>
          <w:color w:val="000000" w:themeColor="text1"/>
        </w:rPr>
        <w:t>males</w:t>
      </w:r>
      <w:r w:rsidR="00E67491">
        <w:rPr>
          <w:noProof/>
          <w:color w:val="000000" w:themeColor="text1"/>
        </w:rPr>
        <w:t>.</w:t>
      </w:r>
      <w:bookmarkEnd w:id="499"/>
    </w:p>
    <w:tbl>
      <w:tblPr>
        <w:tblW w:w="6284" w:type="dxa"/>
        <w:jc w:val="center"/>
        <w:tblBorders>
          <w:top w:val="single" w:sz="4" w:space="0" w:color="auto"/>
          <w:bottom w:val="single" w:sz="4" w:space="0" w:color="auto"/>
        </w:tblBorders>
        <w:tblLook w:val="04A0" w:firstRow="1" w:lastRow="0" w:firstColumn="1" w:lastColumn="0" w:noHBand="0" w:noVBand="1"/>
      </w:tblPr>
      <w:tblGrid>
        <w:gridCol w:w="1498"/>
        <w:gridCol w:w="957"/>
        <w:gridCol w:w="957"/>
        <w:gridCol w:w="957"/>
        <w:gridCol w:w="957"/>
        <w:gridCol w:w="958"/>
      </w:tblGrid>
      <w:tr w:rsidR="00D87D65" w:rsidRPr="00D87D65" w:rsidTr="009C29D1">
        <w:trPr>
          <w:trHeight w:hRule="exact" w:val="284"/>
          <w:jc w:val="center"/>
        </w:trPr>
        <w:tc>
          <w:tcPr>
            <w:tcW w:w="2455" w:type="dxa"/>
            <w:gridSpan w:val="2"/>
            <w:vMerge w:val="restart"/>
            <w:tcBorders>
              <w:top w:val="single" w:sz="4" w:space="0" w:color="auto"/>
            </w:tcBorders>
            <w:shd w:val="clear" w:color="000000" w:fill="FFFFFF"/>
            <w:vAlign w:val="center"/>
            <w:hideMark/>
          </w:tcPr>
          <w:p w:rsidR="00A35CA0" w:rsidRDefault="00D87D65" w:rsidP="00CA5FBB">
            <w:pPr>
              <w:spacing w:before="0" w:line="240" w:lineRule="auto"/>
              <w:rPr>
                <w:rFonts w:eastAsia="Times New Roman"/>
                <w:b/>
                <w:bCs/>
                <w:color w:val="000000"/>
                <w:sz w:val="28"/>
                <w:szCs w:val="28"/>
                <w:lang w:val="en-GB" w:eastAsia="en-GB"/>
              </w:rPr>
            </w:pPr>
            <w:r w:rsidRPr="00D87D65">
              <w:rPr>
                <w:rFonts w:eastAsia="Times New Roman"/>
                <w:color w:val="000000"/>
                <w:lang w:eastAsia="en-GB"/>
              </w:rPr>
              <w:t> </w:t>
            </w:r>
          </w:p>
        </w:tc>
        <w:tc>
          <w:tcPr>
            <w:tcW w:w="2871" w:type="dxa"/>
            <w:gridSpan w:val="3"/>
            <w:tcBorders>
              <w:top w:val="single" w:sz="4" w:space="0" w:color="auto"/>
              <w:bottom w:val="single" w:sz="4" w:space="0" w:color="auto"/>
            </w:tcBorders>
            <w:shd w:val="clear" w:color="000000" w:fill="FFFFFF"/>
            <w:vAlign w:val="center"/>
            <w:hideMark/>
          </w:tcPr>
          <w:p w:rsidR="00A35CA0" w:rsidRPr="00CA5FBB" w:rsidRDefault="009C29D1" w:rsidP="00CA5FBB">
            <w:pPr>
              <w:spacing w:before="0" w:line="240" w:lineRule="auto"/>
              <w:jc w:val="center"/>
              <w:rPr>
                <w:rFonts w:eastAsia="Times New Roman"/>
                <w:b/>
                <w:color w:val="000000"/>
                <w:lang w:val="en-GB" w:eastAsia="en-GB"/>
              </w:rPr>
            </w:pPr>
            <w:r>
              <w:rPr>
                <w:rFonts w:eastAsia="Times New Roman"/>
                <w:b/>
                <w:color w:val="000000"/>
                <w:lang w:eastAsia="en-GB"/>
              </w:rPr>
              <w:t>d</w:t>
            </w:r>
            <w:r w:rsidR="008943E4" w:rsidRPr="00CA5FBB">
              <w:rPr>
                <w:rFonts w:eastAsia="Times New Roman"/>
                <w:b/>
                <w:color w:val="000000"/>
                <w:lang w:eastAsia="en-GB"/>
              </w:rPr>
              <w:t xml:space="preserve">istal </w:t>
            </w:r>
            <w:r>
              <w:rPr>
                <w:rFonts w:eastAsia="Times New Roman"/>
                <w:b/>
                <w:color w:val="000000"/>
                <w:lang w:eastAsia="en-GB"/>
              </w:rPr>
              <w:t>u</w:t>
            </w:r>
            <w:r w:rsidR="008943E4" w:rsidRPr="00CA5FBB">
              <w:rPr>
                <w:rFonts w:eastAsia="Times New Roman"/>
                <w:b/>
                <w:color w:val="000000"/>
                <w:lang w:eastAsia="en-GB"/>
              </w:rPr>
              <w:t xml:space="preserve">lna </w:t>
            </w:r>
            <w:r>
              <w:rPr>
                <w:rFonts w:eastAsia="Times New Roman"/>
                <w:b/>
                <w:color w:val="000000"/>
                <w:lang w:eastAsia="en-GB"/>
              </w:rPr>
              <w:t>s</w:t>
            </w:r>
            <w:r w:rsidR="008943E4" w:rsidRPr="00CA5FBB">
              <w:rPr>
                <w:rFonts w:eastAsia="Times New Roman"/>
                <w:b/>
                <w:color w:val="000000"/>
                <w:lang w:eastAsia="en-GB"/>
              </w:rPr>
              <w:t>tage</w:t>
            </w:r>
          </w:p>
        </w:tc>
        <w:tc>
          <w:tcPr>
            <w:tcW w:w="958" w:type="dxa"/>
            <w:vMerge w:val="restart"/>
            <w:tcBorders>
              <w:top w:val="single" w:sz="4" w:space="0" w:color="auto"/>
            </w:tcBorders>
            <w:shd w:val="clear" w:color="000000" w:fill="FFFFFF"/>
            <w:vAlign w:val="center"/>
            <w:hideMark/>
          </w:tcPr>
          <w:p w:rsidR="00A35CA0" w:rsidRPr="00CA5FBB" w:rsidRDefault="009C29D1" w:rsidP="00CA5FBB">
            <w:pPr>
              <w:spacing w:before="0" w:line="240" w:lineRule="auto"/>
              <w:jc w:val="center"/>
              <w:rPr>
                <w:rFonts w:eastAsia="Times New Roman"/>
                <w:b/>
                <w:color w:val="000000"/>
                <w:lang w:val="en-GB" w:eastAsia="en-GB"/>
              </w:rPr>
            </w:pPr>
            <w:r>
              <w:rPr>
                <w:rFonts w:eastAsia="Times New Roman"/>
                <w:b/>
                <w:color w:val="000000"/>
                <w:lang w:eastAsia="en-GB"/>
              </w:rPr>
              <w:t>t</w:t>
            </w:r>
            <w:r w:rsidR="008943E4" w:rsidRPr="00CA5FBB">
              <w:rPr>
                <w:rFonts w:eastAsia="Times New Roman"/>
                <w:b/>
                <w:color w:val="000000"/>
                <w:lang w:eastAsia="en-GB"/>
              </w:rPr>
              <w:t>otal</w:t>
            </w:r>
          </w:p>
        </w:tc>
      </w:tr>
      <w:tr w:rsidR="00D87D65" w:rsidRPr="00D87D65" w:rsidTr="009C29D1">
        <w:trPr>
          <w:trHeight w:hRule="exact" w:val="284"/>
          <w:jc w:val="center"/>
        </w:trPr>
        <w:tc>
          <w:tcPr>
            <w:tcW w:w="2455" w:type="dxa"/>
            <w:gridSpan w:val="2"/>
            <w:vMerge/>
            <w:tcBorders>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957" w:type="dxa"/>
            <w:tcBorders>
              <w:top w:val="single" w:sz="4" w:space="0" w:color="auto"/>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b/>
                <w:color w:val="000000"/>
                <w:sz w:val="24"/>
                <w:szCs w:val="24"/>
                <w:lang w:val="en-GB" w:eastAsia="en-GB"/>
              </w:rPr>
            </w:pPr>
            <w:r w:rsidRPr="00D87D65">
              <w:rPr>
                <w:rFonts w:eastAsia="Times New Roman"/>
                <w:b/>
                <w:color w:val="000000"/>
                <w:lang w:eastAsia="en-GB"/>
              </w:rPr>
              <w:t>1</w:t>
            </w:r>
          </w:p>
        </w:tc>
        <w:tc>
          <w:tcPr>
            <w:tcW w:w="957" w:type="dxa"/>
            <w:tcBorders>
              <w:top w:val="single" w:sz="4" w:space="0" w:color="auto"/>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b/>
                <w:color w:val="000000"/>
                <w:sz w:val="24"/>
                <w:szCs w:val="24"/>
                <w:lang w:val="en-GB" w:eastAsia="en-GB"/>
              </w:rPr>
            </w:pPr>
            <w:r w:rsidRPr="00D87D65">
              <w:rPr>
                <w:rFonts w:eastAsia="Times New Roman"/>
                <w:b/>
                <w:color w:val="000000"/>
                <w:lang w:eastAsia="en-GB"/>
              </w:rPr>
              <w:t>2</w:t>
            </w:r>
          </w:p>
        </w:tc>
        <w:tc>
          <w:tcPr>
            <w:tcW w:w="957" w:type="dxa"/>
            <w:tcBorders>
              <w:top w:val="single" w:sz="4" w:space="0" w:color="auto"/>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b/>
                <w:color w:val="000000"/>
                <w:sz w:val="24"/>
                <w:szCs w:val="24"/>
                <w:lang w:val="en-GB" w:eastAsia="en-GB"/>
              </w:rPr>
            </w:pPr>
            <w:r w:rsidRPr="00D87D65">
              <w:rPr>
                <w:rFonts w:eastAsia="Times New Roman"/>
                <w:b/>
                <w:color w:val="000000"/>
                <w:lang w:eastAsia="en-GB"/>
              </w:rPr>
              <w:t>3</w:t>
            </w:r>
          </w:p>
        </w:tc>
        <w:tc>
          <w:tcPr>
            <w:tcW w:w="958" w:type="dxa"/>
            <w:vMerge/>
            <w:tcBorders>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r>
      <w:tr w:rsidR="00D87D65" w:rsidRPr="00D87D65" w:rsidTr="009C29D1">
        <w:trPr>
          <w:trHeight w:hRule="exact" w:val="284"/>
          <w:jc w:val="center"/>
        </w:trPr>
        <w:tc>
          <w:tcPr>
            <w:tcW w:w="1498" w:type="dxa"/>
            <w:vMerge w:val="restart"/>
            <w:tcBorders>
              <w:top w:val="single" w:sz="4" w:space="0" w:color="auto"/>
            </w:tcBorders>
            <w:shd w:val="clear" w:color="000000" w:fill="FFFFFF"/>
            <w:vAlign w:val="center"/>
            <w:hideMark/>
          </w:tcPr>
          <w:p w:rsidR="00A35CA0" w:rsidRDefault="00D87D65" w:rsidP="00CA5FBB">
            <w:pPr>
              <w:spacing w:before="0" w:line="240" w:lineRule="auto"/>
              <w:rPr>
                <w:rFonts w:eastAsia="Times New Roman"/>
                <w:color w:val="000000"/>
                <w:lang w:val="en-GB" w:eastAsia="en-GB"/>
              </w:rPr>
            </w:pPr>
            <w:r w:rsidRPr="00D87D65">
              <w:rPr>
                <w:rFonts w:eastAsia="Times New Roman"/>
                <w:color w:val="000000"/>
                <w:lang w:eastAsia="en-GB"/>
              </w:rPr>
              <w:t>coracoid</w:t>
            </w:r>
            <w:r>
              <w:rPr>
                <w:rFonts w:eastAsia="Times New Roman"/>
                <w:color w:val="000000"/>
                <w:lang w:eastAsia="en-GB"/>
              </w:rPr>
              <w:t xml:space="preserve"> stage </w:t>
            </w:r>
          </w:p>
        </w:tc>
        <w:tc>
          <w:tcPr>
            <w:tcW w:w="957" w:type="dxa"/>
            <w:tcBorders>
              <w:top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CE580C">
              <w:rPr>
                <w:rFonts w:eastAsia="Times New Roman"/>
                <w:color w:val="000000"/>
                <w:lang w:eastAsia="en-GB"/>
              </w:rPr>
              <w:t>1</w:t>
            </w:r>
          </w:p>
        </w:tc>
        <w:tc>
          <w:tcPr>
            <w:tcW w:w="957" w:type="dxa"/>
            <w:tcBorders>
              <w:top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37</w:t>
            </w:r>
          </w:p>
        </w:tc>
        <w:tc>
          <w:tcPr>
            <w:tcW w:w="957" w:type="dxa"/>
            <w:tcBorders>
              <w:top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0</w:t>
            </w:r>
          </w:p>
        </w:tc>
        <w:tc>
          <w:tcPr>
            <w:tcW w:w="957" w:type="dxa"/>
            <w:tcBorders>
              <w:top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0</w:t>
            </w:r>
          </w:p>
        </w:tc>
        <w:tc>
          <w:tcPr>
            <w:tcW w:w="958" w:type="dxa"/>
            <w:tcBorders>
              <w:top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37</w:t>
            </w:r>
          </w:p>
        </w:tc>
      </w:tr>
      <w:tr w:rsidR="00D87D65" w:rsidRPr="00D87D65" w:rsidTr="009C29D1">
        <w:trPr>
          <w:trHeight w:hRule="exact" w:val="284"/>
          <w:jc w:val="center"/>
        </w:trPr>
        <w:tc>
          <w:tcPr>
            <w:tcW w:w="1498" w:type="dxa"/>
            <w:vMerge/>
            <w:vAlign w:val="center"/>
            <w:hideMark/>
          </w:tcPr>
          <w:p w:rsidR="00A35CA0" w:rsidRDefault="00A35CA0" w:rsidP="00CA5FBB">
            <w:pPr>
              <w:spacing w:before="0" w:line="240" w:lineRule="auto"/>
              <w:rPr>
                <w:rFonts w:eastAsia="Times New Roman"/>
                <w:color w:val="000000"/>
                <w:lang w:val="en-GB" w:eastAsia="en-GB"/>
              </w:rPr>
            </w:pPr>
          </w:p>
        </w:tc>
        <w:tc>
          <w:tcPr>
            <w:tcW w:w="957" w:type="dxa"/>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CE580C">
              <w:rPr>
                <w:rFonts w:eastAsia="Times New Roman"/>
                <w:color w:val="000000"/>
                <w:lang w:eastAsia="en-GB"/>
              </w:rPr>
              <w:t>2</w:t>
            </w:r>
          </w:p>
        </w:tc>
        <w:tc>
          <w:tcPr>
            <w:tcW w:w="957" w:type="dxa"/>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8</w:t>
            </w:r>
          </w:p>
        </w:tc>
        <w:tc>
          <w:tcPr>
            <w:tcW w:w="957" w:type="dxa"/>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0</w:t>
            </w:r>
          </w:p>
        </w:tc>
        <w:tc>
          <w:tcPr>
            <w:tcW w:w="957" w:type="dxa"/>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0</w:t>
            </w:r>
          </w:p>
        </w:tc>
        <w:tc>
          <w:tcPr>
            <w:tcW w:w="958" w:type="dxa"/>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8</w:t>
            </w:r>
          </w:p>
        </w:tc>
      </w:tr>
      <w:tr w:rsidR="00D87D65" w:rsidRPr="00D87D65" w:rsidTr="001B3CB8">
        <w:trPr>
          <w:trHeight w:hRule="exact" w:val="284"/>
          <w:jc w:val="center"/>
        </w:trPr>
        <w:tc>
          <w:tcPr>
            <w:tcW w:w="1498" w:type="dxa"/>
            <w:vMerge/>
            <w:tcBorders>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957" w:type="dxa"/>
            <w:tcBorders>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CE580C">
              <w:rPr>
                <w:rFonts w:eastAsia="Times New Roman"/>
                <w:color w:val="000000"/>
                <w:lang w:eastAsia="en-GB"/>
              </w:rPr>
              <w:t>3</w:t>
            </w:r>
          </w:p>
        </w:tc>
        <w:tc>
          <w:tcPr>
            <w:tcW w:w="957" w:type="dxa"/>
            <w:tcBorders>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17</w:t>
            </w:r>
          </w:p>
        </w:tc>
        <w:tc>
          <w:tcPr>
            <w:tcW w:w="957" w:type="dxa"/>
            <w:tcBorders>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16</w:t>
            </w:r>
          </w:p>
        </w:tc>
        <w:tc>
          <w:tcPr>
            <w:tcW w:w="957" w:type="dxa"/>
            <w:tcBorders>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11</w:t>
            </w:r>
          </w:p>
        </w:tc>
        <w:tc>
          <w:tcPr>
            <w:tcW w:w="958" w:type="dxa"/>
            <w:tcBorders>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44</w:t>
            </w:r>
          </w:p>
        </w:tc>
      </w:tr>
      <w:tr w:rsidR="00D87D65" w:rsidRPr="00D87D65" w:rsidTr="001B3CB8">
        <w:trPr>
          <w:trHeight w:hRule="exact" w:val="284"/>
          <w:jc w:val="center"/>
        </w:trPr>
        <w:tc>
          <w:tcPr>
            <w:tcW w:w="2455" w:type="dxa"/>
            <w:gridSpan w:val="2"/>
            <w:tcBorders>
              <w:top w:val="single" w:sz="4" w:space="0" w:color="auto"/>
              <w:bottom w:val="single" w:sz="4" w:space="0" w:color="auto"/>
            </w:tcBorders>
            <w:shd w:val="clear" w:color="000000" w:fill="FFFFFF"/>
            <w:vAlign w:val="center"/>
            <w:hideMark/>
          </w:tcPr>
          <w:p w:rsidR="00A35CA0" w:rsidRDefault="00D87D65" w:rsidP="00CA5FBB">
            <w:pPr>
              <w:spacing w:before="0" w:line="240" w:lineRule="auto"/>
              <w:rPr>
                <w:rFonts w:eastAsia="Times New Roman"/>
                <w:color w:val="000000"/>
                <w:sz w:val="24"/>
                <w:szCs w:val="24"/>
                <w:lang w:val="en-GB" w:eastAsia="en-GB"/>
              </w:rPr>
            </w:pPr>
            <w:r w:rsidRPr="00D87D65">
              <w:rPr>
                <w:rFonts w:eastAsia="Times New Roman"/>
                <w:color w:val="000000"/>
                <w:lang w:eastAsia="en-GB"/>
              </w:rPr>
              <w:t>total</w:t>
            </w:r>
          </w:p>
        </w:tc>
        <w:tc>
          <w:tcPr>
            <w:tcW w:w="957" w:type="dxa"/>
            <w:tcBorders>
              <w:top w:val="single" w:sz="4" w:space="0" w:color="auto"/>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62</w:t>
            </w:r>
          </w:p>
        </w:tc>
        <w:tc>
          <w:tcPr>
            <w:tcW w:w="957" w:type="dxa"/>
            <w:tcBorders>
              <w:top w:val="single" w:sz="4" w:space="0" w:color="auto"/>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16</w:t>
            </w:r>
          </w:p>
        </w:tc>
        <w:tc>
          <w:tcPr>
            <w:tcW w:w="957" w:type="dxa"/>
            <w:tcBorders>
              <w:top w:val="single" w:sz="4" w:space="0" w:color="auto"/>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11</w:t>
            </w:r>
          </w:p>
        </w:tc>
        <w:tc>
          <w:tcPr>
            <w:tcW w:w="958" w:type="dxa"/>
            <w:tcBorders>
              <w:top w:val="single" w:sz="4" w:space="0" w:color="auto"/>
              <w:bottom w:val="single" w:sz="4" w:space="0" w:color="auto"/>
            </w:tcBorders>
            <w:shd w:val="clear" w:color="000000" w:fill="FFFFFF"/>
            <w:vAlign w:val="center"/>
            <w:hideMark/>
          </w:tcPr>
          <w:p w:rsidR="00A35CA0" w:rsidRDefault="00D87D65" w:rsidP="00CA5FBB">
            <w:pPr>
              <w:spacing w:before="0" w:line="240" w:lineRule="auto"/>
              <w:jc w:val="center"/>
              <w:rPr>
                <w:rFonts w:eastAsia="Times New Roman"/>
                <w:color w:val="000000"/>
                <w:sz w:val="24"/>
                <w:szCs w:val="24"/>
                <w:lang w:val="en-GB" w:eastAsia="en-GB"/>
              </w:rPr>
            </w:pPr>
            <w:r w:rsidRPr="00D87D65">
              <w:rPr>
                <w:rFonts w:eastAsia="Times New Roman"/>
                <w:color w:val="000000"/>
                <w:lang w:eastAsia="en-GB"/>
              </w:rPr>
              <w:t>89</w:t>
            </w:r>
          </w:p>
        </w:tc>
      </w:tr>
    </w:tbl>
    <w:p w:rsidR="006428B7" w:rsidRDefault="00D87D65" w:rsidP="0011215A">
      <w:pPr>
        <w:tabs>
          <w:tab w:val="left" w:pos="360"/>
        </w:tabs>
        <w:spacing w:before="100" w:line="276" w:lineRule="auto"/>
        <w:ind w:firstLine="1414"/>
        <w:rPr>
          <w:noProof/>
          <w:color w:val="000000" w:themeColor="text1"/>
        </w:rPr>
      </w:pPr>
      <w:r>
        <w:rPr>
          <w:noProof/>
          <w:color w:val="000000" w:themeColor="text1"/>
        </w:rPr>
        <w:t>Stage 1: unfused</w:t>
      </w:r>
    </w:p>
    <w:p w:rsidR="00D87D65" w:rsidRDefault="00D87D65" w:rsidP="0011215A">
      <w:pPr>
        <w:tabs>
          <w:tab w:val="left" w:pos="360"/>
        </w:tabs>
        <w:spacing w:before="0" w:line="276" w:lineRule="auto"/>
        <w:ind w:firstLine="1414"/>
        <w:rPr>
          <w:noProof/>
          <w:color w:val="000000" w:themeColor="text1"/>
        </w:rPr>
      </w:pPr>
      <w:r>
        <w:rPr>
          <w:noProof/>
          <w:color w:val="000000" w:themeColor="text1"/>
        </w:rPr>
        <w:t>Stage 2: mid-fusion</w:t>
      </w:r>
    </w:p>
    <w:p w:rsidR="00067929" w:rsidRDefault="00D87D65" w:rsidP="0011215A">
      <w:pPr>
        <w:tabs>
          <w:tab w:val="left" w:pos="360"/>
        </w:tabs>
        <w:spacing w:before="0" w:line="240" w:lineRule="auto"/>
        <w:ind w:firstLine="1414"/>
        <w:rPr>
          <w:noProof/>
          <w:color w:val="000000" w:themeColor="text1"/>
        </w:rPr>
      </w:pPr>
      <w:r>
        <w:rPr>
          <w:noProof/>
          <w:color w:val="000000" w:themeColor="text1"/>
        </w:rPr>
        <w:t>Stage 3: complete fusion</w:t>
      </w:r>
    </w:p>
    <w:p w:rsidR="006428B7" w:rsidRPr="006428B7" w:rsidRDefault="00962671" w:rsidP="00556B5B">
      <w:pPr>
        <w:tabs>
          <w:tab w:val="left" w:pos="360"/>
        </w:tabs>
        <w:spacing w:before="120" w:after="200" w:line="240" w:lineRule="auto"/>
        <w:rPr>
          <w:noProof/>
          <w:color w:val="000000" w:themeColor="text1"/>
        </w:rPr>
      </w:pPr>
      <w:bookmarkStart w:id="500" w:name="_Toc373180156"/>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12</w:t>
      </w:r>
      <w:r w:rsidR="008943E4">
        <w:rPr>
          <w:b/>
        </w:rPr>
        <w:fldChar w:fldCharType="end"/>
      </w:r>
      <w:r w:rsidR="006428B7">
        <w:rPr>
          <w:noProof/>
          <w:color w:val="000000" w:themeColor="text1"/>
        </w:rPr>
        <w:t xml:space="preserve"> Modular sequence of fusion for </w:t>
      </w:r>
      <w:r w:rsidR="006428B7">
        <w:rPr>
          <w:i/>
          <w:noProof/>
          <w:color w:val="000000" w:themeColor="text1"/>
        </w:rPr>
        <w:t>Pan troglodytes</w:t>
      </w:r>
      <w:r w:rsidR="006428B7">
        <w:rPr>
          <w:noProof/>
          <w:color w:val="000000" w:themeColor="text1"/>
        </w:rPr>
        <w:t xml:space="preserve"> females.</w:t>
      </w:r>
      <w:bookmarkEnd w:id="500"/>
    </w:p>
    <w:tbl>
      <w:tblPr>
        <w:tblW w:w="7863" w:type="dxa"/>
        <w:jc w:val="center"/>
        <w:tblBorders>
          <w:top w:val="single" w:sz="4" w:space="0" w:color="auto"/>
          <w:bottom w:val="single" w:sz="4" w:space="0" w:color="auto"/>
        </w:tblBorders>
        <w:tblLook w:val="04A0" w:firstRow="1" w:lastRow="0" w:firstColumn="1" w:lastColumn="0" w:noHBand="0" w:noVBand="1"/>
      </w:tblPr>
      <w:tblGrid>
        <w:gridCol w:w="1963"/>
        <w:gridCol w:w="5900"/>
      </w:tblGrid>
      <w:tr w:rsidR="00001438" w:rsidRPr="00001438" w:rsidTr="00CA5FBB">
        <w:trPr>
          <w:trHeight w:hRule="exact" w:val="284"/>
          <w:jc w:val="center"/>
        </w:trPr>
        <w:tc>
          <w:tcPr>
            <w:tcW w:w="1963" w:type="dxa"/>
            <w:tcBorders>
              <w:top w:val="single" w:sz="4" w:space="0" w:color="auto"/>
              <w:bottom w:val="single" w:sz="4" w:space="0" w:color="auto"/>
            </w:tcBorders>
            <w:shd w:val="clear" w:color="auto" w:fill="auto"/>
            <w:noWrap/>
            <w:vAlign w:val="center"/>
            <w:hideMark/>
          </w:tcPr>
          <w:p w:rsidR="00A35CA0" w:rsidRPr="00CA5FBB" w:rsidRDefault="001B3CB8"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equence number</w:t>
            </w:r>
          </w:p>
        </w:tc>
        <w:tc>
          <w:tcPr>
            <w:tcW w:w="5900" w:type="dxa"/>
            <w:tcBorders>
              <w:top w:val="single" w:sz="4" w:space="0" w:color="auto"/>
              <w:bottom w:val="single" w:sz="4" w:space="0" w:color="auto"/>
            </w:tcBorders>
            <w:shd w:val="clear" w:color="auto" w:fill="auto"/>
            <w:noWrap/>
            <w:vAlign w:val="center"/>
            <w:hideMark/>
          </w:tcPr>
          <w:p w:rsidR="00A35CA0" w:rsidRPr="00CA5FBB" w:rsidRDefault="001B3CB8" w:rsidP="00CA5FBB">
            <w:pPr>
              <w:spacing w:before="0" w:line="240" w:lineRule="auto"/>
              <w:jc w:val="center"/>
              <w:rPr>
                <w:rFonts w:eastAsia="Times New Roman"/>
                <w:b/>
                <w:color w:val="000000"/>
                <w:lang w:val="en-GB" w:eastAsia="en-GB"/>
              </w:rPr>
            </w:pPr>
            <w:r>
              <w:rPr>
                <w:rFonts w:eastAsia="Times New Roman"/>
                <w:b/>
                <w:iCs/>
                <w:color w:val="000000"/>
                <w:lang w:val="en-GB" w:eastAsia="en-GB"/>
              </w:rPr>
              <w:t>e</w:t>
            </w:r>
            <w:r w:rsidR="008943E4" w:rsidRPr="00CA5FBB">
              <w:rPr>
                <w:rFonts w:eastAsia="Times New Roman"/>
                <w:b/>
                <w:iCs/>
                <w:color w:val="000000"/>
                <w:lang w:val="en-GB" w:eastAsia="en-GB"/>
              </w:rPr>
              <w:t>piphysis</w:t>
            </w:r>
          </w:p>
        </w:tc>
      </w:tr>
      <w:tr w:rsidR="00001438" w:rsidRPr="00001438" w:rsidTr="00CA5FBB">
        <w:trPr>
          <w:trHeight w:hRule="exact" w:val="284"/>
          <w:jc w:val="center"/>
        </w:trPr>
        <w:tc>
          <w:tcPr>
            <w:tcW w:w="1963" w:type="dxa"/>
            <w:tcBorders>
              <w:top w:val="single" w:sz="4" w:space="0" w:color="auto"/>
            </w:tcBorders>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1</w:t>
            </w:r>
          </w:p>
        </w:tc>
        <w:tc>
          <w:tcPr>
            <w:tcW w:w="5900"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2</w:t>
            </w:r>
          </w:p>
        </w:tc>
        <w:tc>
          <w:tcPr>
            <w:tcW w:w="5900" w:type="dxa"/>
            <w:shd w:val="clear" w:color="auto" w:fill="auto"/>
            <w:noWrap/>
            <w:vAlign w:val="center"/>
            <w:hideMark/>
          </w:tcPr>
          <w:p w:rsidR="00A35CA0" w:rsidRDefault="00AA6F1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001438" w:rsidRPr="00001438">
              <w:rPr>
                <w:rFonts w:eastAsia="Times New Roman"/>
                <w:color w:val="000000"/>
                <w:lang w:val="en-GB" w:eastAsia="en-GB"/>
              </w:rPr>
              <w:t>medial epicondyle</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3</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sub-coracoid and glenoid</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4</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coracoid</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5</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triradiate</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6</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distal phalanges hand</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7</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proximal ulna</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8</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talus</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8</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 xml:space="preserve">distal phalanges, middle phalanges, metatarsal heads 2-5 </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9</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calcaneus</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10</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proximal and middle phalanges of hand</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11</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proximal radius</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11</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greater trochanter</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11</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proximal phalanges</w:t>
            </w:r>
            <w:r>
              <w:rPr>
                <w:rFonts w:eastAsia="Times New Roman"/>
                <w:b/>
                <w:bCs/>
                <w:color w:val="000000"/>
                <w:lang w:val="en-GB" w:eastAsia="en-GB"/>
              </w:rPr>
              <w:t xml:space="preserve"> (foot)</w:t>
            </w:r>
            <w:r w:rsidRPr="00001438">
              <w:rPr>
                <w:rFonts w:eastAsia="Times New Roman"/>
                <w:b/>
                <w:bCs/>
                <w:color w:val="000000"/>
                <w:lang w:val="en-GB" w:eastAsia="en-GB"/>
              </w:rPr>
              <w:t xml:space="preserve"> and base of metatarsal 1</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12</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lesser trochanter</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13</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base of metacarpal 1</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14</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femoral head</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15</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heads of metacarpals 2-5</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16</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distal fibula</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17</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proximal tibia</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17</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distal tibia</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18</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distal femur</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b/>
                <w:bCs/>
                <w:color w:val="000000"/>
                <w:lang w:val="en-GB" w:eastAsia="en-GB"/>
              </w:rPr>
            </w:pPr>
            <w:r w:rsidRPr="00001438">
              <w:rPr>
                <w:rFonts w:eastAsia="Times New Roman"/>
                <w:b/>
                <w:bCs/>
                <w:color w:val="000000"/>
                <w:lang w:val="en-GB" w:eastAsia="en-GB"/>
              </w:rPr>
              <w:t>18</w:t>
            </w:r>
          </w:p>
        </w:tc>
        <w:tc>
          <w:tcPr>
            <w:tcW w:w="5900" w:type="dxa"/>
            <w:shd w:val="clear" w:color="auto" w:fill="auto"/>
            <w:noWrap/>
            <w:vAlign w:val="center"/>
            <w:hideMark/>
          </w:tcPr>
          <w:p w:rsidR="00A35CA0" w:rsidRDefault="00001438" w:rsidP="00CA5FBB">
            <w:pPr>
              <w:spacing w:before="0" w:line="240" w:lineRule="auto"/>
              <w:jc w:val="center"/>
              <w:rPr>
                <w:rFonts w:eastAsia="Times New Roman"/>
                <w:b/>
                <w:bCs/>
                <w:color w:val="000000"/>
                <w:sz w:val="24"/>
                <w:szCs w:val="24"/>
                <w:lang w:val="en-GB" w:eastAsia="en-GB"/>
              </w:rPr>
            </w:pPr>
            <w:r w:rsidRPr="00001438">
              <w:rPr>
                <w:rFonts w:eastAsia="Times New Roman"/>
                <w:b/>
                <w:bCs/>
                <w:color w:val="000000"/>
                <w:lang w:val="en-GB" w:eastAsia="en-GB"/>
              </w:rPr>
              <w:t>proximal fibula</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19</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proximal humerus</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20</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ischial epiphysis</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21</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distal radius</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22</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distal ulna</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23</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acromium</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24</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iliac crest</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25</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medial border of scapula</w:t>
            </w:r>
          </w:p>
        </w:tc>
      </w:tr>
      <w:tr w:rsidR="00001438" w:rsidRPr="00001438" w:rsidTr="00CA5FBB">
        <w:trPr>
          <w:trHeight w:hRule="exact" w:val="284"/>
          <w:jc w:val="center"/>
        </w:trPr>
        <w:tc>
          <w:tcPr>
            <w:tcW w:w="1963" w:type="dxa"/>
            <w:shd w:val="clear" w:color="auto" w:fill="auto"/>
            <w:noWrap/>
            <w:vAlign w:val="center"/>
            <w:hideMark/>
          </w:tcPr>
          <w:p w:rsidR="00A35CA0" w:rsidRDefault="00001438" w:rsidP="00CA5FBB">
            <w:pPr>
              <w:spacing w:before="0" w:line="240" w:lineRule="auto"/>
              <w:jc w:val="center"/>
              <w:rPr>
                <w:rFonts w:eastAsia="Times New Roman"/>
                <w:color w:val="000000"/>
                <w:lang w:val="en-GB" w:eastAsia="en-GB"/>
              </w:rPr>
            </w:pPr>
            <w:r w:rsidRPr="00001438">
              <w:rPr>
                <w:rFonts w:eastAsia="Times New Roman"/>
                <w:color w:val="000000"/>
                <w:lang w:val="en-GB" w:eastAsia="en-GB"/>
              </w:rPr>
              <w:t>26</w:t>
            </w:r>
          </w:p>
        </w:tc>
        <w:tc>
          <w:tcPr>
            <w:tcW w:w="5900" w:type="dxa"/>
            <w:shd w:val="clear" w:color="auto" w:fill="auto"/>
            <w:noWrap/>
            <w:vAlign w:val="center"/>
            <w:hideMark/>
          </w:tcPr>
          <w:p w:rsidR="00A35CA0" w:rsidRDefault="00001438" w:rsidP="00CA5FBB">
            <w:pPr>
              <w:spacing w:before="0" w:line="240" w:lineRule="auto"/>
              <w:jc w:val="center"/>
              <w:rPr>
                <w:rFonts w:eastAsia="Times New Roman"/>
                <w:color w:val="000000"/>
                <w:sz w:val="24"/>
                <w:szCs w:val="24"/>
                <w:lang w:val="en-GB" w:eastAsia="en-GB"/>
              </w:rPr>
            </w:pPr>
            <w:r w:rsidRPr="00001438">
              <w:rPr>
                <w:rFonts w:eastAsia="Times New Roman"/>
                <w:color w:val="000000"/>
                <w:lang w:val="en-GB" w:eastAsia="en-GB"/>
              </w:rPr>
              <w:t>medial clavicle</w:t>
            </w:r>
          </w:p>
        </w:tc>
      </w:tr>
    </w:tbl>
    <w:p w:rsidR="000B106D" w:rsidRDefault="00962671" w:rsidP="00556B5B">
      <w:pPr>
        <w:tabs>
          <w:tab w:val="left" w:pos="360"/>
        </w:tabs>
        <w:spacing w:after="120" w:line="240" w:lineRule="auto"/>
        <w:rPr>
          <w:noProof/>
          <w:color w:val="000000" w:themeColor="text1"/>
        </w:rPr>
      </w:pPr>
      <w:bookmarkStart w:id="501" w:name="_Toc373180157"/>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13</w:t>
      </w:r>
      <w:r w:rsidR="008943E4">
        <w:rPr>
          <w:b/>
        </w:rPr>
        <w:fldChar w:fldCharType="end"/>
      </w:r>
      <w:r>
        <w:rPr>
          <w:noProof/>
        </w:rPr>
        <w:t xml:space="preserve"> </w:t>
      </w:r>
      <w:r w:rsidR="007F3464">
        <w:rPr>
          <w:noProof/>
          <w:color w:val="000000" w:themeColor="text1"/>
        </w:rPr>
        <w:t xml:space="preserve">Modular sequence of fusion for </w:t>
      </w:r>
      <w:r w:rsidR="007F3464">
        <w:rPr>
          <w:i/>
          <w:noProof/>
          <w:color w:val="000000" w:themeColor="text1"/>
        </w:rPr>
        <w:t>Pan troglodytes</w:t>
      </w:r>
      <w:r w:rsidR="007F3464">
        <w:rPr>
          <w:noProof/>
          <w:color w:val="000000" w:themeColor="text1"/>
        </w:rPr>
        <w:t xml:space="preserve"> males.</w:t>
      </w:r>
      <w:bookmarkEnd w:id="501"/>
    </w:p>
    <w:tbl>
      <w:tblPr>
        <w:tblW w:w="7480" w:type="dxa"/>
        <w:jc w:val="center"/>
        <w:tblBorders>
          <w:top w:val="single" w:sz="4" w:space="0" w:color="auto"/>
          <w:bottom w:val="single" w:sz="4" w:space="0" w:color="auto"/>
        </w:tblBorders>
        <w:tblLook w:val="04A0" w:firstRow="1" w:lastRow="0" w:firstColumn="1" w:lastColumn="0" w:noHBand="0" w:noVBand="1"/>
      </w:tblPr>
      <w:tblGrid>
        <w:gridCol w:w="2015"/>
        <w:gridCol w:w="5465"/>
      </w:tblGrid>
      <w:tr w:rsidR="000B106D" w:rsidRPr="000B106D" w:rsidTr="00777773">
        <w:trPr>
          <w:trHeight w:hRule="exact" w:val="284"/>
          <w:jc w:val="center"/>
        </w:trPr>
        <w:tc>
          <w:tcPr>
            <w:tcW w:w="2015" w:type="dxa"/>
            <w:tcBorders>
              <w:top w:val="single" w:sz="4" w:space="0" w:color="auto"/>
              <w:bottom w:val="single" w:sz="4" w:space="0" w:color="auto"/>
            </w:tcBorders>
            <w:shd w:val="clear" w:color="auto" w:fill="auto"/>
            <w:noWrap/>
            <w:vAlign w:val="center"/>
            <w:hideMark/>
          </w:tcPr>
          <w:p w:rsidR="00A35CA0" w:rsidRPr="00CA5FBB" w:rsidRDefault="00777773"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equence number</w:t>
            </w:r>
          </w:p>
        </w:tc>
        <w:tc>
          <w:tcPr>
            <w:tcW w:w="5465" w:type="dxa"/>
            <w:tcBorders>
              <w:top w:val="single" w:sz="4" w:space="0" w:color="auto"/>
              <w:bottom w:val="single" w:sz="4" w:space="0" w:color="auto"/>
            </w:tcBorders>
            <w:shd w:val="clear" w:color="auto" w:fill="auto"/>
            <w:noWrap/>
            <w:vAlign w:val="center"/>
            <w:hideMark/>
          </w:tcPr>
          <w:p w:rsidR="00A35CA0" w:rsidRPr="00CA5FBB" w:rsidRDefault="00777773" w:rsidP="00CA5FBB">
            <w:pPr>
              <w:spacing w:before="0" w:line="240" w:lineRule="auto"/>
              <w:jc w:val="center"/>
              <w:rPr>
                <w:rFonts w:eastAsia="Times New Roman"/>
                <w:b/>
                <w:iCs/>
                <w:color w:val="000000"/>
                <w:lang w:val="en-GB" w:eastAsia="en-GB"/>
              </w:rPr>
            </w:pPr>
            <w:r>
              <w:rPr>
                <w:rFonts w:eastAsia="Times New Roman"/>
                <w:b/>
                <w:iCs/>
                <w:color w:val="000000"/>
                <w:lang w:val="en-GB" w:eastAsia="en-GB"/>
              </w:rPr>
              <w:t>e</w:t>
            </w:r>
            <w:r w:rsidR="008943E4" w:rsidRPr="00CA5FBB">
              <w:rPr>
                <w:rFonts w:eastAsia="Times New Roman"/>
                <w:b/>
                <w:iCs/>
                <w:color w:val="000000"/>
                <w:lang w:val="en-GB" w:eastAsia="en-GB"/>
              </w:rPr>
              <w:t>piphysis</w:t>
            </w:r>
          </w:p>
        </w:tc>
      </w:tr>
      <w:tr w:rsidR="000B106D" w:rsidRPr="000B106D" w:rsidTr="00777773">
        <w:trPr>
          <w:trHeight w:hRule="exact" w:val="284"/>
          <w:jc w:val="center"/>
        </w:trPr>
        <w:tc>
          <w:tcPr>
            <w:tcW w:w="2015" w:type="dxa"/>
            <w:tcBorders>
              <w:top w:val="single" w:sz="4" w:space="0" w:color="auto"/>
            </w:tcBorders>
            <w:shd w:val="clear" w:color="auto" w:fill="auto"/>
            <w:noWrap/>
            <w:vAlign w:val="center"/>
            <w:hideMark/>
          </w:tcPr>
          <w:p w:rsidR="00A35CA0" w:rsidRDefault="000B106D" w:rsidP="00CA5FBB">
            <w:pPr>
              <w:spacing w:before="0" w:line="240" w:lineRule="auto"/>
              <w:jc w:val="center"/>
              <w:rPr>
                <w:rFonts w:eastAsia="Times New Roman"/>
                <w:b/>
                <w:bCs/>
                <w:color w:val="000000"/>
                <w:sz w:val="28"/>
                <w:szCs w:val="28"/>
                <w:lang w:val="en-GB" w:eastAsia="en-GB"/>
              </w:rPr>
            </w:pPr>
            <w:r w:rsidRPr="000B106D">
              <w:rPr>
                <w:rFonts w:eastAsia="Times New Roman"/>
                <w:color w:val="000000"/>
                <w:lang w:val="en-GB" w:eastAsia="en-GB"/>
              </w:rPr>
              <w:t>1</w:t>
            </w:r>
          </w:p>
        </w:tc>
        <w:tc>
          <w:tcPr>
            <w:tcW w:w="5465"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distal humerus</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2</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sub-coracoid and glenoid</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3</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distal phalanges hand</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3</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triradiate</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4</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talus</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5</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coracoid</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6</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base of metacarpal 1</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7</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proximal ulna</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8</w:t>
            </w:r>
          </w:p>
        </w:tc>
        <w:tc>
          <w:tcPr>
            <w:tcW w:w="5465" w:type="dxa"/>
            <w:shd w:val="clear" w:color="auto" w:fill="auto"/>
            <w:noWrap/>
            <w:vAlign w:val="center"/>
            <w:hideMark/>
          </w:tcPr>
          <w:p w:rsidR="00A35CA0" w:rsidRDefault="0016180A"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d</w:t>
            </w:r>
            <w:r w:rsidR="000B106D" w:rsidRPr="000B106D">
              <w:rPr>
                <w:rFonts w:eastAsia="Times New Roman"/>
                <w:color w:val="000000"/>
                <w:lang w:val="en-GB" w:eastAsia="en-GB"/>
              </w:rPr>
              <w:t>istal</w:t>
            </w:r>
            <w:r>
              <w:rPr>
                <w:rFonts w:eastAsia="Times New Roman"/>
                <w:color w:val="000000"/>
                <w:lang w:val="en-GB" w:eastAsia="en-GB"/>
              </w:rPr>
              <w:t xml:space="preserve"> </w:t>
            </w:r>
            <w:r w:rsidR="000B106D" w:rsidRPr="000B106D">
              <w:rPr>
                <w:rFonts w:eastAsia="Times New Roman"/>
                <w:color w:val="000000"/>
                <w:lang w:val="en-GB" w:eastAsia="en-GB"/>
              </w:rPr>
              <w:t>phalanges</w:t>
            </w:r>
            <w:r>
              <w:rPr>
                <w:rFonts w:eastAsia="Times New Roman"/>
                <w:color w:val="000000"/>
                <w:lang w:val="en-GB" w:eastAsia="en-GB"/>
              </w:rPr>
              <w:t xml:space="preserve">, </w:t>
            </w:r>
            <w:r w:rsidR="000B106D" w:rsidRPr="000B106D">
              <w:rPr>
                <w:rFonts w:eastAsia="Times New Roman"/>
                <w:color w:val="000000"/>
                <w:lang w:val="en-GB" w:eastAsia="en-GB"/>
              </w:rPr>
              <w:t>middle</w:t>
            </w:r>
            <w:r>
              <w:rPr>
                <w:rFonts w:eastAsia="Times New Roman"/>
                <w:color w:val="000000"/>
                <w:lang w:val="en-GB" w:eastAsia="en-GB"/>
              </w:rPr>
              <w:t xml:space="preserve"> </w:t>
            </w:r>
            <w:r w:rsidR="000B106D" w:rsidRPr="000B106D">
              <w:rPr>
                <w:rFonts w:eastAsia="Times New Roman"/>
                <w:color w:val="000000"/>
                <w:lang w:val="en-GB" w:eastAsia="en-GB"/>
              </w:rPr>
              <w:t>phalanges</w:t>
            </w:r>
            <w:r>
              <w:rPr>
                <w:rFonts w:eastAsia="Times New Roman"/>
                <w:color w:val="000000"/>
                <w:lang w:val="en-GB" w:eastAsia="en-GB"/>
              </w:rPr>
              <w:t xml:space="preserve">, </w:t>
            </w:r>
            <w:r w:rsidR="000B106D" w:rsidRPr="000B106D">
              <w:rPr>
                <w:rFonts w:eastAsia="Times New Roman"/>
                <w:color w:val="000000"/>
                <w:lang w:val="en-GB" w:eastAsia="en-GB"/>
              </w:rPr>
              <w:t>metatarsal</w:t>
            </w:r>
            <w:r>
              <w:rPr>
                <w:rFonts w:eastAsia="Times New Roman"/>
                <w:color w:val="000000"/>
                <w:lang w:val="en-GB" w:eastAsia="en-GB"/>
              </w:rPr>
              <w:t xml:space="preserve"> </w:t>
            </w:r>
            <w:r w:rsidR="000B106D" w:rsidRPr="000B106D">
              <w:rPr>
                <w:rFonts w:eastAsia="Times New Roman"/>
                <w:color w:val="000000"/>
                <w:lang w:val="en-GB" w:eastAsia="en-GB"/>
              </w:rPr>
              <w:t>heads</w:t>
            </w:r>
            <w:r>
              <w:rPr>
                <w:rFonts w:eastAsia="Times New Roman"/>
                <w:color w:val="000000"/>
                <w:lang w:val="en-GB" w:eastAsia="en-GB"/>
              </w:rPr>
              <w:t xml:space="preserve"> </w:t>
            </w:r>
            <w:r w:rsidR="000B106D" w:rsidRPr="000B106D">
              <w:rPr>
                <w:rFonts w:eastAsia="Times New Roman"/>
                <w:color w:val="000000"/>
                <w:lang w:val="en-GB" w:eastAsia="en-GB"/>
              </w:rPr>
              <w:t>2</w:t>
            </w:r>
            <w:r>
              <w:rPr>
                <w:rFonts w:eastAsia="Times New Roman"/>
                <w:color w:val="000000"/>
                <w:lang w:val="en-GB" w:eastAsia="en-GB"/>
              </w:rPr>
              <w:t>-</w:t>
            </w:r>
            <w:r w:rsidR="000B106D" w:rsidRPr="000B106D">
              <w:rPr>
                <w:rFonts w:eastAsia="Times New Roman"/>
                <w:color w:val="000000"/>
                <w:lang w:val="en-GB" w:eastAsia="en-GB"/>
              </w:rPr>
              <w:t xml:space="preserve">5 </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9</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calcaneus</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10</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proximal and middle phalanges of hand</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11</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lesser trochanter</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12</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femoral head</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13</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proximal radius</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13</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greater trochanter</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13</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proximal</w:t>
            </w:r>
            <w:r w:rsidR="0016180A">
              <w:rPr>
                <w:rFonts w:eastAsia="Times New Roman"/>
                <w:b/>
                <w:bCs/>
                <w:color w:val="000000"/>
                <w:lang w:val="en-GB" w:eastAsia="en-GB"/>
              </w:rPr>
              <w:t xml:space="preserve"> </w:t>
            </w:r>
            <w:r w:rsidRPr="000B106D">
              <w:rPr>
                <w:rFonts w:eastAsia="Times New Roman"/>
                <w:b/>
                <w:bCs/>
                <w:color w:val="000000"/>
                <w:lang w:val="en-GB" w:eastAsia="en-GB"/>
              </w:rPr>
              <w:t>phalanges</w:t>
            </w:r>
            <w:r w:rsidR="00E228ED">
              <w:rPr>
                <w:rFonts w:eastAsia="Times New Roman"/>
                <w:b/>
                <w:bCs/>
                <w:color w:val="000000"/>
                <w:lang w:val="en-GB" w:eastAsia="en-GB"/>
              </w:rPr>
              <w:t xml:space="preserve"> (foot)</w:t>
            </w:r>
            <w:r w:rsidR="0016180A">
              <w:rPr>
                <w:rFonts w:eastAsia="Times New Roman"/>
                <w:b/>
                <w:bCs/>
                <w:color w:val="000000"/>
                <w:lang w:val="en-GB" w:eastAsia="en-GB"/>
              </w:rPr>
              <w:t xml:space="preserve"> </w:t>
            </w:r>
            <w:r w:rsidRPr="000B106D">
              <w:rPr>
                <w:rFonts w:eastAsia="Times New Roman"/>
                <w:b/>
                <w:bCs/>
                <w:color w:val="000000"/>
                <w:lang w:val="en-GB" w:eastAsia="en-GB"/>
              </w:rPr>
              <w:t>and</w:t>
            </w:r>
            <w:r w:rsidR="0016180A">
              <w:rPr>
                <w:rFonts w:eastAsia="Times New Roman"/>
                <w:b/>
                <w:bCs/>
                <w:color w:val="000000"/>
                <w:lang w:val="en-GB" w:eastAsia="en-GB"/>
              </w:rPr>
              <w:t xml:space="preserve"> </w:t>
            </w:r>
            <w:r w:rsidRPr="000B106D">
              <w:rPr>
                <w:rFonts w:eastAsia="Times New Roman"/>
                <w:b/>
                <w:bCs/>
                <w:color w:val="000000"/>
                <w:lang w:val="en-GB" w:eastAsia="en-GB"/>
              </w:rPr>
              <w:t>base</w:t>
            </w:r>
            <w:r w:rsidR="0016180A">
              <w:rPr>
                <w:rFonts w:eastAsia="Times New Roman"/>
                <w:b/>
                <w:bCs/>
                <w:color w:val="000000"/>
                <w:lang w:val="en-GB" w:eastAsia="en-GB"/>
              </w:rPr>
              <w:t xml:space="preserve"> </w:t>
            </w:r>
            <w:r w:rsidRPr="000B106D">
              <w:rPr>
                <w:rFonts w:eastAsia="Times New Roman"/>
                <w:b/>
                <w:bCs/>
                <w:color w:val="000000"/>
                <w:lang w:val="en-GB" w:eastAsia="en-GB"/>
              </w:rPr>
              <w:t>of</w:t>
            </w:r>
            <w:r w:rsidR="0016180A">
              <w:rPr>
                <w:rFonts w:eastAsia="Times New Roman"/>
                <w:b/>
                <w:bCs/>
                <w:color w:val="000000"/>
                <w:lang w:val="en-GB" w:eastAsia="en-GB"/>
              </w:rPr>
              <w:t xml:space="preserve"> </w:t>
            </w:r>
            <w:r w:rsidRPr="000B106D">
              <w:rPr>
                <w:rFonts w:eastAsia="Times New Roman"/>
                <w:b/>
                <w:bCs/>
                <w:color w:val="000000"/>
                <w:lang w:val="en-GB" w:eastAsia="en-GB"/>
              </w:rPr>
              <w:t>metatarsal</w:t>
            </w:r>
            <w:r w:rsidR="0016180A">
              <w:rPr>
                <w:rFonts w:eastAsia="Times New Roman"/>
                <w:b/>
                <w:bCs/>
                <w:color w:val="000000"/>
                <w:lang w:val="en-GB" w:eastAsia="en-GB"/>
              </w:rPr>
              <w:t xml:space="preserve"> </w:t>
            </w:r>
            <w:r w:rsidRPr="000B106D">
              <w:rPr>
                <w:rFonts w:eastAsia="Times New Roman"/>
                <w:b/>
                <w:bCs/>
                <w:color w:val="000000"/>
                <w:lang w:val="en-GB" w:eastAsia="en-GB"/>
              </w:rPr>
              <w:t>1</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14</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heads of metacarpals 2-5</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14</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distal fibula</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15</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distal tibia</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16</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distal femur</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17</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proximal tibia</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18</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distal radius</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19</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proximal fibula</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19</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ischial epiphysis</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20</w:t>
            </w:r>
          </w:p>
        </w:tc>
        <w:tc>
          <w:tcPr>
            <w:tcW w:w="5465" w:type="dxa"/>
            <w:shd w:val="clear" w:color="auto" w:fill="auto"/>
            <w:noWrap/>
            <w:vAlign w:val="center"/>
            <w:hideMark/>
          </w:tcPr>
          <w:p w:rsidR="00A35CA0" w:rsidRDefault="00AA6F14"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 xml:space="preserve">humeral </w:t>
            </w:r>
            <w:r w:rsidR="000B106D" w:rsidRPr="000B106D">
              <w:rPr>
                <w:rFonts w:eastAsia="Times New Roman"/>
                <w:color w:val="000000"/>
                <w:lang w:val="en-GB" w:eastAsia="en-GB"/>
              </w:rPr>
              <w:t>medial epicondyle</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21</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distal ulna</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22</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proximal humerus</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23</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color w:val="000000"/>
                <w:lang w:val="en-GB" w:eastAsia="en-GB"/>
              </w:rPr>
              <w:t>acromium</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24</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iliac crest</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24</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medial clavicle</w:t>
            </w:r>
          </w:p>
        </w:tc>
      </w:tr>
      <w:tr w:rsidR="000B106D" w:rsidRPr="000B106D" w:rsidTr="00777773">
        <w:trPr>
          <w:trHeight w:hRule="exact" w:val="284"/>
          <w:jc w:val="center"/>
        </w:trPr>
        <w:tc>
          <w:tcPr>
            <w:tcW w:w="201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24</w:t>
            </w:r>
          </w:p>
        </w:tc>
        <w:tc>
          <w:tcPr>
            <w:tcW w:w="5465" w:type="dxa"/>
            <w:shd w:val="clear" w:color="auto" w:fill="auto"/>
            <w:noWrap/>
            <w:vAlign w:val="center"/>
            <w:hideMark/>
          </w:tcPr>
          <w:p w:rsidR="00A35CA0" w:rsidRDefault="000B106D" w:rsidP="00CA5FBB">
            <w:pPr>
              <w:spacing w:before="0" w:line="240" w:lineRule="auto"/>
              <w:jc w:val="center"/>
              <w:rPr>
                <w:rFonts w:eastAsia="Times New Roman"/>
                <w:b/>
                <w:bCs/>
                <w:color w:val="000000"/>
                <w:sz w:val="24"/>
                <w:szCs w:val="24"/>
                <w:lang w:val="en-GB" w:eastAsia="en-GB"/>
              </w:rPr>
            </w:pPr>
            <w:r w:rsidRPr="000B106D">
              <w:rPr>
                <w:rFonts w:eastAsia="Times New Roman"/>
                <w:b/>
                <w:bCs/>
                <w:color w:val="000000"/>
                <w:lang w:val="en-GB" w:eastAsia="en-GB"/>
              </w:rPr>
              <w:t>medial border of scapula</w:t>
            </w:r>
          </w:p>
        </w:tc>
      </w:tr>
    </w:tbl>
    <w:p w:rsidR="00A35CA0" w:rsidRDefault="001D44D2" w:rsidP="00CA5FBB">
      <w:pPr>
        <w:rPr>
          <w:noProof/>
        </w:rPr>
      </w:pPr>
      <w:r w:rsidRPr="001D44D2">
        <w:rPr>
          <w:noProof/>
        </w:rPr>
        <w:t xml:space="preserve">These </w:t>
      </w:r>
      <w:r>
        <w:rPr>
          <w:noProof/>
        </w:rPr>
        <w:t xml:space="preserve">sequences are similar but not </w:t>
      </w:r>
      <w:r w:rsidR="00C03D81">
        <w:rPr>
          <w:noProof/>
        </w:rPr>
        <w:t>identical</w:t>
      </w:r>
      <w:r>
        <w:rPr>
          <w:noProof/>
        </w:rPr>
        <w:t xml:space="preserve">.  </w:t>
      </w:r>
      <w:r w:rsidR="00A671FF">
        <w:rPr>
          <w:noProof/>
        </w:rPr>
        <w:t xml:space="preserve">Differences found </w:t>
      </w:r>
      <w:r w:rsidR="002920FE">
        <w:rPr>
          <w:noProof/>
        </w:rPr>
        <w:t xml:space="preserve">are the likely result of </w:t>
      </w:r>
      <w:r w:rsidR="00FE5468">
        <w:rPr>
          <w:noProof/>
        </w:rPr>
        <w:t xml:space="preserve">the </w:t>
      </w:r>
      <w:r w:rsidR="006E2818">
        <w:rPr>
          <w:noProof/>
        </w:rPr>
        <w:t>smaller sample size</w:t>
      </w:r>
      <w:r w:rsidR="002920FE">
        <w:rPr>
          <w:noProof/>
        </w:rPr>
        <w:t xml:space="preserve"> for males.  Contingency tables </w:t>
      </w:r>
      <w:r w:rsidR="00572D9B">
        <w:rPr>
          <w:noProof/>
        </w:rPr>
        <w:t xml:space="preserve">inherently </w:t>
      </w:r>
      <w:r w:rsidR="002920FE">
        <w:rPr>
          <w:noProof/>
        </w:rPr>
        <w:t xml:space="preserve">require </w:t>
      </w:r>
      <w:r w:rsidR="006E2818">
        <w:rPr>
          <w:noProof/>
        </w:rPr>
        <w:t xml:space="preserve">measurements from </w:t>
      </w:r>
      <w:r w:rsidR="002920FE">
        <w:rPr>
          <w:noProof/>
        </w:rPr>
        <w:t xml:space="preserve">both </w:t>
      </w:r>
      <w:r w:rsidR="006E2818">
        <w:rPr>
          <w:noProof/>
        </w:rPr>
        <w:t xml:space="preserve">epiphyses </w:t>
      </w:r>
      <w:r w:rsidR="002920FE">
        <w:rPr>
          <w:noProof/>
        </w:rPr>
        <w:t xml:space="preserve">to be present for each individual.  For many epiphyses in males this </w:t>
      </w:r>
      <w:r w:rsidR="00913AC2">
        <w:rPr>
          <w:noProof/>
        </w:rPr>
        <w:t xml:space="preserve">requirement </w:t>
      </w:r>
      <w:r w:rsidR="002920FE">
        <w:rPr>
          <w:noProof/>
        </w:rPr>
        <w:t xml:space="preserve">meant </w:t>
      </w:r>
      <w:r w:rsidR="00931E0C">
        <w:rPr>
          <w:noProof/>
        </w:rPr>
        <w:t xml:space="preserve">that </w:t>
      </w:r>
      <w:r w:rsidR="002920FE">
        <w:rPr>
          <w:noProof/>
        </w:rPr>
        <w:t xml:space="preserve">only </w:t>
      </w:r>
      <w:r w:rsidR="00913AC2">
        <w:rPr>
          <w:noProof/>
        </w:rPr>
        <w:t xml:space="preserve">a single fusion event </w:t>
      </w:r>
      <w:r w:rsidR="00931E0C">
        <w:rPr>
          <w:noProof/>
        </w:rPr>
        <w:t xml:space="preserve">was </w:t>
      </w:r>
      <w:r w:rsidR="00913AC2">
        <w:rPr>
          <w:noProof/>
        </w:rPr>
        <w:t>present.</w:t>
      </w:r>
      <w:r w:rsidR="00833E72">
        <w:rPr>
          <w:noProof/>
        </w:rPr>
        <w:t xml:space="preserve">  </w:t>
      </w:r>
      <w:r w:rsidR="00C55BED">
        <w:rPr>
          <w:noProof/>
        </w:rPr>
        <w:t>Order changes of closely fusing</w:t>
      </w:r>
      <w:r w:rsidR="00BA4761">
        <w:rPr>
          <w:noProof/>
        </w:rPr>
        <w:t xml:space="preserve"> fusion events were frequent.</w:t>
      </w:r>
      <w:r w:rsidR="00913AC2">
        <w:rPr>
          <w:noProof/>
        </w:rPr>
        <w:t xml:space="preserve">  </w:t>
      </w:r>
      <w:r w:rsidR="00BF0314">
        <w:rPr>
          <w:noProof/>
        </w:rPr>
        <w:t>For e</w:t>
      </w:r>
      <w:r w:rsidR="00913AC2">
        <w:rPr>
          <w:noProof/>
        </w:rPr>
        <w:t xml:space="preserve">piphyses where </w:t>
      </w:r>
      <w:r w:rsidR="00067929">
        <w:rPr>
          <w:noProof/>
        </w:rPr>
        <w:t>difficulty in observation due to cartilage was a frequent problem</w:t>
      </w:r>
      <w:r w:rsidR="00BF0314">
        <w:rPr>
          <w:noProof/>
        </w:rPr>
        <w:t xml:space="preserve"> during data collection,</w:t>
      </w:r>
      <w:r w:rsidR="00067929">
        <w:rPr>
          <w:noProof/>
        </w:rPr>
        <w:t xml:space="preserve"> </w:t>
      </w:r>
      <w:r w:rsidR="009C65B5">
        <w:rPr>
          <w:noProof/>
        </w:rPr>
        <w:t xml:space="preserve">such order changes </w:t>
      </w:r>
      <w:r w:rsidR="00197D66">
        <w:rPr>
          <w:noProof/>
        </w:rPr>
        <w:t>we</w:t>
      </w:r>
      <w:r w:rsidR="00067929">
        <w:rPr>
          <w:noProof/>
        </w:rPr>
        <w:t xml:space="preserve">re more common.  </w:t>
      </w:r>
      <w:r w:rsidR="00AC4282">
        <w:rPr>
          <w:noProof/>
        </w:rPr>
        <w:t xml:space="preserve">Occasionally more large sequence changes occurred.  </w:t>
      </w:r>
      <w:r w:rsidR="00067929">
        <w:rPr>
          <w:noProof/>
        </w:rPr>
        <w:t>For example, the pr</w:t>
      </w:r>
      <w:r w:rsidR="001926ED">
        <w:rPr>
          <w:noProof/>
        </w:rPr>
        <w:t>oximal humerus is a late</w:t>
      </w:r>
      <w:r w:rsidR="007B0BD7">
        <w:rPr>
          <w:noProof/>
        </w:rPr>
        <w:t>r</w:t>
      </w:r>
      <w:r w:rsidR="001926ED">
        <w:rPr>
          <w:noProof/>
        </w:rPr>
        <w:t>-fusing</w:t>
      </w:r>
      <w:r w:rsidR="00067929">
        <w:rPr>
          <w:noProof/>
        </w:rPr>
        <w:t xml:space="preserve"> epiphyses but for a small number of individuals, fusion at this site deviates much earlier</w:t>
      </w:r>
      <w:r w:rsidR="00261D72">
        <w:rPr>
          <w:noProof/>
        </w:rPr>
        <w:t xml:space="preserve"> in sequence</w:t>
      </w:r>
      <w:r w:rsidR="002C72E6">
        <w:rPr>
          <w:noProof/>
        </w:rPr>
        <w:t>.  It is likely these values we</w:t>
      </w:r>
      <w:r w:rsidR="00067929">
        <w:rPr>
          <w:noProof/>
        </w:rPr>
        <w:t>re erroneus.  This observation may also be made for the talus</w:t>
      </w:r>
      <w:r w:rsidR="003D60A7">
        <w:rPr>
          <w:noProof/>
        </w:rPr>
        <w:t xml:space="preserve">, </w:t>
      </w:r>
      <w:r w:rsidR="00067929">
        <w:rPr>
          <w:noProof/>
        </w:rPr>
        <w:t xml:space="preserve">the </w:t>
      </w:r>
      <w:r w:rsidR="00BF0314">
        <w:rPr>
          <w:noProof/>
        </w:rPr>
        <w:t>base of metacarpal 1</w:t>
      </w:r>
      <w:r w:rsidR="003D60A7">
        <w:rPr>
          <w:noProof/>
        </w:rPr>
        <w:t xml:space="preserve"> and </w:t>
      </w:r>
      <w:r w:rsidR="006D2A40">
        <w:rPr>
          <w:noProof/>
        </w:rPr>
        <w:t xml:space="preserve">the </w:t>
      </w:r>
      <w:r w:rsidR="003D60A7">
        <w:rPr>
          <w:noProof/>
        </w:rPr>
        <w:t>distal phalanges</w:t>
      </w:r>
      <w:r w:rsidR="00B0592D">
        <w:rPr>
          <w:noProof/>
        </w:rPr>
        <w:t xml:space="preserve"> of both </w:t>
      </w:r>
      <w:r w:rsidR="00B0592D">
        <w:rPr>
          <w:noProof/>
        </w:rPr>
        <w:lastRenderedPageBreak/>
        <w:t>hands and feet</w:t>
      </w:r>
      <w:r w:rsidR="00BF0314">
        <w:rPr>
          <w:noProof/>
        </w:rPr>
        <w:t xml:space="preserve">.  </w:t>
      </w:r>
      <w:r w:rsidR="00913AC2" w:rsidRPr="00913AC2">
        <w:rPr>
          <w:noProof/>
        </w:rPr>
        <w:t>In</w:t>
      </w:r>
      <w:r w:rsidR="00913AC2">
        <w:rPr>
          <w:noProof/>
        </w:rPr>
        <w:t xml:space="preserve"> theory, </w:t>
      </w:r>
      <w:r w:rsidR="00FA2F4A">
        <w:rPr>
          <w:noProof/>
        </w:rPr>
        <w:t>t</w:t>
      </w:r>
      <w:r w:rsidR="00913AC2">
        <w:rPr>
          <w:noProof/>
        </w:rPr>
        <w:t>esting for significan</w:t>
      </w:r>
      <w:r w:rsidR="009F5102">
        <w:rPr>
          <w:noProof/>
        </w:rPr>
        <w:t xml:space="preserve">t difference in sequence </w:t>
      </w:r>
      <w:r w:rsidR="00E43AFC">
        <w:rPr>
          <w:noProof/>
        </w:rPr>
        <w:t xml:space="preserve"> between sexes </w:t>
      </w:r>
      <w:r w:rsidR="009F5102">
        <w:rPr>
          <w:noProof/>
        </w:rPr>
        <w:t>would</w:t>
      </w:r>
      <w:r w:rsidR="00913AC2">
        <w:rPr>
          <w:noProof/>
        </w:rPr>
        <w:t xml:space="preserve"> requires chi-squared tests for each shift in sequence order.</w:t>
      </w:r>
      <w:r w:rsidR="004358A5">
        <w:rPr>
          <w:noProof/>
        </w:rPr>
        <w:t xml:space="preserve">  Sample size for males was deemed too small for this analysis to reliably be conducted.  </w:t>
      </w:r>
      <w:r w:rsidR="00063D6C">
        <w:rPr>
          <w:noProof/>
        </w:rPr>
        <w:t>Given the level of variability observed for m</w:t>
      </w:r>
      <w:r w:rsidR="002B1E68">
        <w:rPr>
          <w:noProof/>
        </w:rPr>
        <w:t xml:space="preserve">odular sequence analysis </w:t>
      </w:r>
      <w:r w:rsidR="00063D6C">
        <w:rPr>
          <w:noProof/>
        </w:rPr>
        <w:t xml:space="preserve">in </w:t>
      </w:r>
      <w:r w:rsidR="00063D6C">
        <w:rPr>
          <w:i/>
          <w:noProof/>
        </w:rPr>
        <w:t xml:space="preserve">Pan troglodytes, </w:t>
      </w:r>
      <w:r w:rsidR="00063D6C">
        <w:rPr>
          <w:noProof/>
        </w:rPr>
        <w:t>it was decided not to</w:t>
      </w:r>
      <w:r w:rsidR="002B1E68">
        <w:rPr>
          <w:noProof/>
        </w:rPr>
        <w:t xml:space="preserve"> conducted </w:t>
      </w:r>
      <w:r w:rsidR="00063D6C">
        <w:rPr>
          <w:noProof/>
        </w:rPr>
        <w:t xml:space="preserve">this analysis for </w:t>
      </w:r>
      <w:r w:rsidR="002B1E68">
        <w:rPr>
          <w:i/>
          <w:noProof/>
        </w:rPr>
        <w:t xml:space="preserve">Pan </w:t>
      </w:r>
      <w:r w:rsidR="002B1E68" w:rsidRPr="002B1E68">
        <w:rPr>
          <w:i/>
          <w:noProof/>
        </w:rPr>
        <w:t>paniscus</w:t>
      </w:r>
      <w:r w:rsidR="002B1E68">
        <w:rPr>
          <w:noProof/>
        </w:rPr>
        <w:t>.</w:t>
      </w:r>
    </w:p>
    <w:p w:rsidR="0030761F" w:rsidRPr="0030761F" w:rsidRDefault="00CE5B24" w:rsidP="002E17E6">
      <w:pPr>
        <w:tabs>
          <w:tab w:val="left" w:pos="360"/>
        </w:tabs>
        <w:spacing w:line="240" w:lineRule="auto"/>
        <w:rPr>
          <w:b/>
          <w:i/>
          <w:noProof/>
        </w:rPr>
      </w:pPr>
      <w:r>
        <w:rPr>
          <w:b/>
          <w:i/>
          <w:noProof/>
        </w:rPr>
        <w:t>4.2.2</w:t>
      </w:r>
      <w:r w:rsidR="003027E5">
        <w:rPr>
          <w:b/>
          <w:i/>
          <w:noProof/>
        </w:rPr>
        <w:t>b</w:t>
      </w:r>
      <w:r w:rsidR="0030761F" w:rsidRPr="0030761F">
        <w:rPr>
          <w:b/>
          <w:i/>
          <w:noProof/>
        </w:rPr>
        <w:t>: Seriating sequence order by assessing mean epiphyseal fusion score in males and females</w:t>
      </w:r>
      <w:r w:rsidR="0030761F">
        <w:rPr>
          <w:b/>
          <w:i/>
          <w:noProof/>
        </w:rPr>
        <w:t xml:space="preserve"> independently</w:t>
      </w:r>
    </w:p>
    <w:p w:rsidR="00A35CA0" w:rsidRPr="00CA5FBB" w:rsidRDefault="00B12592" w:rsidP="00CA5FBB">
      <w:pPr>
        <w:rPr>
          <w:noProof/>
          <w:color w:val="000000" w:themeColor="text1"/>
        </w:rPr>
      </w:pPr>
      <w:r>
        <w:rPr>
          <w:noProof/>
        </w:rPr>
        <w:t xml:space="preserve">The use of mean epiphyseal fusion score for ordering fusion events is an alternative to the </w:t>
      </w:r>
      <w:r w:rsidR="005F3C5D">
        <w:rPr>
          <w:noProof/>
        </w:rPr>
        <w:t xml:space="preserve">the application </w:t>
      </w:r>
      <w:r>
        <w:rPr>
          <w:noProof/>
        </w:rPr>
        <w:t>of contingency tables</w:t>
      </w:r>
      <w:r w:rsidR="009A424B">
        <w:rPr>
          <w:noProof/>
        </w:rPr>
        <w:t>.  T</w:t>
      </w:r>
      <w:r w:rsidR="001E6AB2">
        <w:rPr>
          <w:noProof/>
        </w:rPr>
        <w:t>he utility of this method will be assessed in this section</w:t>
      </w:r>
      <w:r w:rsidR="00DF70B1">
        <w:rPr>
          <w:noProof/>
        </w:rPr>
        <w:t>.</w:t>
      </w:r>
      <w:r w:rsidR="00A802CA">
        <w:rPr>
          <w:noProof/>
        </w:rPr>
        <w:t xml:space="preserve">  </w:t>
      </w:r>
      <w:r w:rsidR="002A6708" w:rsidRPr="000C4EB4">
        <w:rPr>
          <w:noProof/>
        </w:rPr>
        <w:t xml:space="preserve">In theory, if all individuals underwent fusion in exactly the same order then simply ordering these individuals based on their mean epiphyseal fusion score would produce a clear pattern. </w:t>
      </w:r>
      <w:r w:rsidR="002A6708">
        <w:rPr>
          <w:noProof/>
        </w:rPr>
        <w:t xml:space="preserve"> </w:t>
      </w:r>
      <w:r w:rsidR="002A6708" w:rsidRPr="00C40481">
        <w:rPr>
          <w:noProof/>
        </w:rPr>
        <w:t>Figure 4.</w:t>
      </w:r>
      <w:r w:rsidR="00957AB3">
        <w:rPr>
          <w:noProof/>
        </w:rPr>
        <w:t xml:space="preserve">12 </w:t>
      </w:r>
      <w:r w:rsidR="002A6708" w:rsidRPr="00C40481">
        <w:rPr>
          <w:noProof/>
        </w:rPr>
        <w:t xml:space="preserve">demonstrates how an epiphyseal seriation would </w:t>
      </w:r>
      <w:r w:rsidR="002A6708">
        <w:rPr>
          <w:noProof/>
        </w:rPr>
        <w:t xml:space="preserve">appear </w:t>
      </w:r>
      <w:r w:rsidR="008D2550">
        <w:rPr>
          <w:noProof/>
        </w:rPr>
        <w:t>under ideal conditions</w:t>
      </w:r>
      <w:r w:rsidR="004112B1">
        <w:rPr>
          <w:noProof/>
        </w:rPr>
        <w:t>.  Figure 4.</w:t>
      </w:r>
      <w:r w:rsidR="00957AB3">
        <w:rPr>
          <w:noProof/>
        </w:rPr>
        <w:t>13</w:t>
      </w:r>
      <w:r w:rsidR="002A6708" w:rsidRPr="00C40481">
        <w:rPr>
          <w:noProof/>
        </w:rPr>
        <w:t xml:space="preserve"> shows deviations more typically observed</w:t>
      </w:r>
      <w:r w:rsidR="002A6708">
        <w:rPr>
          <w:noProof/>
        </w:rPr>
        <w:t xml:space="preserve"> in the present study</w:t>
      </w:r>
      <w:r w:rsidR="002A6708" w:rsidRPr="00C40481">
        <w:rPr>
          <w:noProof/>
        </w:rPr>
        <w:t>.  ‘0’ is defined as unfused and ‘1’ as fused.  Epiphys</w:t>
      </w:r>
      <w:r w:rsidR="000317D5">
        <w:rPr>
          <w:noProof/>
        </w:rPr>
        <w:t xml:space="preserve">eal fusion events in </w:t>
      </w:r>
      <w:r w:rsidR="00A919D2">
        <w:rPr>
          <w:noProof/>
        </w:rPr>
        <w:t>F</w:t>
      </w:r>
      <w:r w:rsidR="000317D5">
        <w:rPr>
          <w:noProof/>
        </w:rPr>
        <w:t>igure 4.</w:t>
      </w:r>
      <w:r w:rsidR="00161199">
        <w:rPr>
          <w:noProof/>
        </w:rPr>
        <w:t>7</w:t>
      </w:r>
      <w:r w:rsidR="002A6708" w:rsidRPr="00C40481">
        <w:rPr>
          <w:noProof/>
        </w:rPr>
        <w:t xml:space="preserve"> follow a progression of E1, E2, E3 … Ex.  In </w:t>
      </w:r>
      <w:r w:rsidR="007C0A76">
        <w:rPr>
          <w:noProof/>
        </w:rPr>
        <w:t>F</w:t>
      </w:r>
      <w:r w:rsidR="002A6708" w:rsidRPr="00C40481">
        <w:rPr>
          <w:noProof/>
        </w:rPr>
        <w:t>igure 4.</w:t>
      </w:r>
      <w:r w:rsidR="00957AB3">
        <w:rPr>
          <w:noProof/>
        </w:rPr>
        <w:t>13</w:t>
      </w:r>
      <w:r w:rsidR="002A6708" w:rsidRPr="00C40481">
        <w:rPr>
          <w:noProof/>
        </w:rPr>
        <w:t xml:space="preserve"> </w:t>
      </w:r>
      <w:r w:rsidR="008C5BE3">
        <w:rPr>
          <w:noProof/>
        </w:rPr>
        <w:t xml:space="preserve">the order of these events is far less clear.  </w:t>
      </w:r>
      <w:r w:rsidR="003477D5">
        <w:rPr>
          <w:noProof/>
        </w:rPr>
        <w:t xml:space="preserve">Variations in sequence are </w:t>
      </w:r>
      <w:r w:rsidR="00AF676A">
        <w:rPr>
          <w:noProof/>
        </w:rPr>
        <w:t xml:space="preserve">to be </w:t>
      </w:r>
      <w:r w:rsidR="003477D5">
        <w:rPr>
          <w:noProof/>
        </w:rPr>
        <w:t xml:space="preserve">expected.  </w:t>
      </w:r>
      <w:r w:rsidR="004F12FD">
        <w:rPr>
          <w:noProof/>
        </w:rPr>
        <w:t xml:space="preserve">As outlined in Chapter 2, </w:t>
      </w:r>
      <w:r w:rsidR="00C864DA">
        <w:rPr>
          <w:noProof/>
        </w:rPr>
        <w:t xml:space="preserve">for </w:t>
      </w:r>
      <w:r w:rsidR="004F12FD">
        <w:rPr>
          <w:noProof/>
        </w:rPr>
        <w:t>humans sequences of fusion have been determined and reported by studies such as Schaefer and Black (2007).  Specific polymorphic sites are highlighted in texts such as Scheuer and Black (2004)</w:t>
      </w:r>
      <w:r w:rsidR="003634C0">
        <w:rPr>
          <w:noProof/>
        </w:rPr>
        <w:t>.  A more complete picture (e.g., Schaef</w:t>
      </w:r>
      <w:r w:rsidR="008C6040">
        <w:rPr>
          <w:noProof/>
        </w:rPr>
        <w:t>er and Black 2007, Schaefer 2008</w:t>
      </w:r>
      <w:r w:rsidR="003634C0">
        <w:rPr>
          <w:noProof/>
        </w:rPr>
        <w:t>) suggests that</w:t>
      </w:r>
      <w:r w:rsidR="004F12FD">
        <w:rPr>
          <w:noProof/>
        </w:rPr>
        <w:t xml:space="preserve"> many different patterns </w:t>
      </w:r>
      <w:r w:rsidR="003634C0">
        <w:rPr>
          <w:noProof/>
        </w:rPr>
        <w:t xml:space="preserve">occur </w:t>
      </w:r>
      <w:r w:rsidR="004F12FD">
        <w:rPr>
          <w:noProof/>
        </w:rPr>
        <w:t xml:space="preserve">for epiphyses that fuse closely in time </w:t>
      </w:r>
      <w:r w:rsidR="003634C0">
        <w:rPr>
          <w:noProof/>
        </w:rPr>
        <w:t>and that there is simply a pattern</w:t>
      </w:r>
      <w:r w:rsidR="00DE372B">
        <w:rPr>
          <w:noProof/>
        </w:rPr>
        <w:t xml:space="preserve"> that the majority of studies agree with</w:t>
      </w:r>
      <w:r w:rsidR="004F12FD">
        <w:rPr>
          <w:noProof/>
        </w:rPr>
        <w:t xml:space="preserve">.  Larger samples have </w:t>
      </w:r>
      <w:r w:rsidR="00E90A5C">
        <w:rPr>
          <w:noProof/>
        </w:rPr>
        <w:t xml:space="preserve">tended towards the </w:t>
      </w:r>
      <w:r w:rsidR="00F35F80">
        <w:rPr>
          <w:noProof/>
        </w:rPr>
        <w:t xml:space="preserve">most common patterns. </w:t>
      </w:r>
      <w:r w:rsidR="001B526E">
        <w:rPr>
          <w:noProof/>
        </w:rPr>
        <w:t xml:space="preserve"> T</w:t>
      </w:r>
      <w:r w:rsidR="00615E5F">
        <w:rPr>
          <w:noProof/>
        </w:rPr>
        <w:t>here is</w:t>
      </w:r>
      <w:r w:rsidR="002E17E6">
        <w:rPr>
          <w:noProof/>
        </w:rPr>
        <w:t xml:space="preserve"> no reason to believe that chimpanzees and bonobos </w:t>
      </w:r>
      <w:r w:rsidR="001B526E">
        <w:rPr>
          <w:noProof/>
        </w:rPr>
        <w:t xml:space="preserve">show </w:t>
      </w:r>
      <w:r w:rsidR="00F35F80">
        <w:rPr>
          <w:noProof/>
        </w:rPr>
        <w:t xml:space="preserve">any differing levels of </w:t>
      </w:r>
      <w:r w:rsidR="001B526E">
        <w:rPr>
          <w:noProof/>
        </w:rPr>
        <w:t xml:space="preserve">variation </w:t>
      </w:r>
      <w:r w:rsidR="00F35F80">
        <w:rPr>
          <w:noProof/>
        </w:rPr>
        <w:t xml:space="preserve">in sequence </w:t>
      </w:r>
      <w:r w:rsidR="001B526E">
        <w:rPr>
          <w:noProof/>
        </w:rPr>
        <w:t xml:space="preserve">than </w:t>
      </w:r>
      <w:r w:rsidR="008943E4" w:rsidRPr="00CA5FBB">
        <w:rPr>
          <w:noProof/>
          <w:color w:val="000000" w:themeColor="text1"/>
        </w:rPr>
        <w:t>humans.</w:t>
      </w:r>
    </w:p>
    <w:p w:rsidR="00241627" w:rsidRPr="00CA5FBB" w:rsidRDefault="00A35CA0" w:rsidP="00241627">
      <w:pPr>
        <w:tabs>
          <w:tab w:val="left" w:pos="360"/>
        </w:tabs>
        <w:spacing w:line="240" w:lineRule="auto"/>
        <w:jc w:val="center"/>
        <w:rPr>
          <w:noProof/>
          <w:color w:val="000000" w:themeColor="text1"/>
        </w:rPr>
      </w:pPr>
      <w:r w:rsidRPr="00CA5FBB">
        <w:rPr>
          <w:noProof/>
          <w:color w:val="000000" w:themeColor="text1"/>
          <w:lang w:val="en-GB" w:eastAsia="en-GB"/>
        </w:rPr>
        <w:drawing>
          <wp:inline distT="0" distB="0" distL="0" distR="0" wp14:anchorId="3FCBF7E9" wp14:editId="0EF2803C">
            <wp:extent cx="4257675" cy="24471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5642" cy="2451681"/>
                    </a:xfrm>
                    <a:prstGeom prst="rect">
                      <a:avLst/>
                    </a:prstGeom>
                    <a:noFill/>
                    <a:ln>
                      <a:noFill/>
                    </a:ln>
                  </pic:spPr>
                </pic:pic>
              </a:graphicData>
            </a:graphic>
          </wp:inline>
        </w:drawing>
      </w:r>
    </w:p>
    <w:p w:rsidR="00A35CA0" w:rsidRPr="00CA5FBB" w:rsidRDefault="00E7358D" w:rsidP="00CA5FBB">
      <w:pPr>
        <w:pStyle w:val="Caption"/>
      </w:pPr>
      <w:bookmarkStart w:id="502" w:name="_Toc373147472"/>
      <w:proofErr w:type="gramStart"/>
      <w:r w:rsidRPr="00997A01">
        <w:rPr>
          <w:b/>
          <w:color w:val="000000" w:themeColor="text1"/>
        </w:rPr>
        <w:t xml:space="preserve">Figure </w:t>
      </w:r>
      <w:r w:rsidR="008943E4">
        <w:rPr>
          <w:b/>
          <w:color w:val="000000" w:themeColor="text1"/>
        </w:rPr>
        <w:fldChar w:fldCharType="begin"/>
      </w:r>
      <w:r w:rsidR="00A54D06">
        <w:rPr>
          <w:b/>
          <w:color w:val="000000" w:themeColor="text1"/>
        </w:rPr>
        <w:instrText xml:space="preserve"> STYLEREF 1 \s </w:instrText>
      </w:r>
      <w:r w:rsidR="008943E4">
        <w:rPr>
          <w:b/>
          <w:color w:val="000000" w:themeColor="text1"/>
        </w:rPr>
        <w:fldChar w:fldCharType="separate"/>
      </w:r>
      <w:r w:rsidR="00795735">
        <w:rPr>
          <w:b/>
          <w:noProof/>
          <w:color w:val="000000" w:themeColor="text1"/>
        </w:rPr>
        <w:t>4</w:t>
      </w:r>
      <w:r w:rsidR="008943E4">
        <w:rPr>
          <w:b/>
          <w:color w:val="000000" w:themeColor="text1"/>
        </w:rPr>
        <w:fldChar w:fldCharType="end"/>
      </w:r>
      <w:r w:rsidR="00A54D06">
        <w:rPr>
          <w:b/>
          <w:color w:val="000000" w:themeColor="text1"/>
        </w:rPr>
        <w:t>.</w:t>
      </w:r>
      <w:proofErr w:type="gramEnd"/>
      <w:r w:rsidR="008943E4">
        <w:rPr>
          <w:b/>
          <w:color w:val="000000" w:themeColor="text1"/>
        </w:rPr>
        <w:fldChar w:fldCharType="begin"/>
      </w:r>
      <w:r w:rsidR="00A54D06">
        <w:rPr>
          <w:b/>
          <w:color w:val="000000" w:themeColor="text1"/>
        </w:rPr>
        <w:instrText xml:space="preserve"> SEQ Figure \* ARABIC \s 1 </w:instrText>
      </w:r>
      <w:r w:rsidR="008943E4">
        <w:rPr>
          <w:b/>
          <w:color w:val="000000" w:themeColor="text1"/>
        </w:rPr>
        <w:fldChar w:fldCharType="separate"/>
      </w:r>
      <w:r w:rsidR="00795735">
        <w:rPr>
          <w:b/>
          <w:noProof/>
          <w:color w:val="000000" w:themeColor="text1"/>
        </w:rPr>
        <w:t>12</w:t>
      </w:r>
      <w:r w:rsidR="008943E4">
        <w:rPr>
          <w:b/>
          <w:color w:val="000000" w:themeColor="text1"/>
        </w:rPr>
        <w:fldChar w:fldCharType="end"/>
      </w:r>
      <w:r w:rsidRPr="00997A01">
        <w:rPr>
          <w:noProof/>
          <w:color w:val="000000" w:themeColor="text1"/>
        </w:rPr>
        <w:t xml:space="preserve"> Hypothetical perfect seriation of epiphyseal fusion events.</w:t>
      </w:r>
      <w:bookmarkEnd w:id="502"/>
    </w:p>
    <w:p w:rsidR="00E7358D" w:rsidRDefault="002E17E6" w:rsidP="005074FB">
      <w:pPr>
        <w:tabs>
          <w:tab w:val="left" w:pos="360"/>
        </w:tabs>
        <w:spacing w:line="240" w:lineRule="auto"/>
        <w:rPr>
          <w:noProof/>
        </w:rPr>
      </w:pPr>
      <w:bookmarkStart w:id="503" w:name="_Toc373147473"/>
      <w:r>
        <w:rPr>
          <w:noProof/>
          <w:lang w:val="en-GB" w:eastAsia="en-GB"/>
        </w:rPr>
        <w:lastRenderedPageBreak/>
        <w:drawing>
          <wp:anchor distT="0" distB="0" distL="114300" distR="114300" simplePos="0" relativeHeight="251673600" behindDoc="0" locked="1" layoutInCell="1" allowOverlap="0" wp14:anchorId="082E486E" wp14:editId="729D5423">
            <wp:simplePos x="0" y="0"/>
            <wp:positionH relativeFrom="column">
              <wp:posOffset>758825</wp:posOffset>
            </wp:positionH>
            <wp:positionV relativeFrom="paragraph">
              <wp:posOffset>-604520</wp:posOffset>
            </wp:positionV>
            <wp:extent cx="4287520" cy="2530475"/>
            <wp:effectExtent l="0" t="0" r="0" b="317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7520" cy="2530475"/>
                    </a:xfrm>
                    <a:prstGeom prst="rect">
                      <a:avLst/>
                    </a:prstGeom>
                    <a:noFill/>
                    <a:ln>
                      <a:noFill/>
                    </a:ln>
                  </pic:spPr>
                </pic:pic>
              </a:graphicData>
            </a:graphic>
          </wp:anchor>
        </w:drawing>
      </w:r>
      <w:proofErr w:type="gramStart"/>
      <w:r w:rsidR="00E7358D" w:rsidRPr="00997A01">
        <w:rPr>
          <w:b/>
        </w:rPr>
        <w:t xml:space="preserve">Figure </w:t>
      </w:r>
      <w:r w:rsidR="008943E4">
        <w:rPr>
          <w:b/>
        </w:rPr>
        <w:fldChar w:fldCharType="begin"/>
      </w:r>
      <w:r w:rsidR="00A54D06">
        <w:rPr>
          <w:b/>
        </w:rPr>
        <w:instrText xml:space="preserve"> STYLEREF 1 \s </w:instrText>
      </w:r>
      <w:r w:rsidR="008943E4">
        <w:rPr>
          <w:b/>
        </w:rPr>
        <w:fldChar w:fldCharType="separate"/>
      </w:r>
      <w:r w:rsidR="00795735">
        <w:rPr>
          <w:b/>
          <w:noProof/>
        </w:rPr>
        <w:t>4</w:t>
      </w:r>
      <w:r w:rsidR="008943E4">
        <w:rPr>
          <w:b/>
        </w:rPr>
        <w:fldChar w:fldCharType="end"/>
      </w:r>
      <w:r w:rsidR="00A54D06">
        <w:rPr>
          <w:b/>
        </w:rPr>
        <w:t>.</w:t>
      </w:r>
      <w:proofErr w:type="gramEnd"/>
      <w:r w:rsidR="008943E4">
        <w:rPr>
          <w:b/>
        </w:rPr>
        <w:fldChar w:fldCharType="begin"/>
      </w:r>
      <w:r w:rsidR="00A54D06">
        <w:rPr>
          <w:b/>
        </w:rPr>
        <w:instrText xml:space="preserve"> SEQ Figure \* ARABIC \s 1 </w:instrText>
      </w:r>
      <w:r w:rsidR="008943E4">
        <w:rPr>
          <w:b/>
        </w:rPr>
        <w:fldChar w:fldCharType="separate"/>
      </w:r>
      <w:proofErr w:type="gramStart"/>
      <w:r w:rsidR="00795735">
        <w:rPr>
          <w:b/>
          <w:noProof/>
        </w:rPr>
        <w:t>13</w:t>
      </w:r>
      <w:r w:rsidR="008943E4">
        <w:rPr>
          <w:b/>
        </w:rPr>
        <w:fldChar w:fldCharType="end"/>
      </w:r>
      <w:r w:rsidR="00E7358D">
        <w:rPr>
          <w:noProof/>
        </w:rPr>
        <w:t xml:space="preserve"> Typical types of order deviations.</w:t>
      </w:r>
      <w:bookmarkEnd w:id="503"/>
      <w:proofErr w:type="gramEnd"/>
    </w:p>
    <w:p w:rsidR="00A35CA0" w:rsidRDefault="0011743F" w:rsidP="00CA5FBB">
      <w:pPr>
        <w:rPr>
          <w:rFonts w:eastAsia="Times New Roman"/>
          <w:color w:val="000000"/>
          <w:lang w:val="en-GB" w:eastAsia="en-GB"/>
        </w:rPr>
      </w:pPr>
      <w:r>
        <w:rPr>
          <w:noProof/>
        </w:rPr>
        <w:t xml:space="preserve">Due to the contraints previous mentioned only </w:t>
      </w:r>
      <w:r w:rsidR="00FC129F">
        <w:rPr>
          <w:i/>
          <w:noProof/>
        </w:rPr>
        <w:t xml:space="preserve">Pan </w:t>
      </w:r>
      <w:r w:rsidR="00FC129F" w:rsidRPr="00FC129F">
        <w:rPr>
          <w:i/>
          <w:noProof/>
        </w:rPr>
        <w:t>troglodytes</w:t>
      </w:r>
      <w:r>
        <w:rPr>
          <w:noProof/>
        </w:rPr>
        <w:t xml:space="preserve"> will be considered here</w:t>
      </w:r>
      <w:r w:rsidR="00FC129F">
        <w:rPr>
          <w:noProof/>
        </w:rPr>
        <w:t xml:space="preserve">.  </w:t>
      </w:r>
      <w:r w:rsidR="00FC129F" w:rsidRPr="00FC129F">
        <w:rPr>
          <w:noProof/>
        </w:rPr>
        <w:t>Mid</w:t>
      </w:r>
      <w:r w:rsidR="00FC129F">
        <w:rPr>
          <w:noProof/>
        </w:rPr>
        <w:t>-fusion and complete fusion were analysed separately.</w:t>
      </w:r>
      <w:r w:rsidR="005F4EC2">
        <w:rPr>
          <w:noProof/>
        </w:rPr>
        <w:t xml:space="preserve">  All data were </w:t>
      </w:r>
      <w:r w:rsidR="00EE17B6">
        <w:rPr>
          <w:noProof/>
        </w:rPr>
        <w:t>analyz</w:t>
      </w:r>
      <w:r w:rsidR="001D4EEF">
        <w:rPr>
          <w:noProof/>
        </w:rPr>
        <w:t>ed</w:t>
      </w:r>
      <w:r w:rsidR="005E3C30">
        <w:rPr>
          <w:noProof/>
        </w:rPr>
        <w:t xml:space="preserve"> using </w:t>
      </w:r>
      <w:r w:rsidR="005F4EC2">
        <w:rPr>
          <w:noProof/>
        </w:rPr>
        <w:t xml:space="preserve">SPSS 21.  </w:t>
      </w:r>
      <w:r w:rsidR="000A67DD">
        <w:rPr>
          <w:noProof/>
        </w:rPr>
        <w:t>Similar to dental score, m</w:t>
      </w:r>
      <w:r w:rsidR="005F4EC2">
        <w:rPr>
          <w:noProof/>
        </w:rPr>
        <w:t>ean epiphyseal fusion values</w:t>
      </w:r>
      <w:r w:rsidR="007B2C3E">
        <w:rPr>
          <w:noProof/>
        </w:rPr>
        <w:t xml:space="preserve"> are</w:t>
      </w:r>
      <w:r w:rsidR="005F4EC2">
        <w:rPr>
          <w:noProof/>
        </w:rPr>
        <w:t xml:space="preserve"> based on </w:t>
      </w:r>
      <w:r w:rsidR="007B2C3E">
        <w:rPr>
          <w:noProof/>
        </w:rPr>
        <w:t>a series of many</w:t>
      </w:r>
      <w:r w:rsidR="005F4EC2">
        <w:rPr>
          <w:noProof/>
        </w:rPr>
        <w:t xml:space="preserve"> ordinal variables</w:t>
      </w:r>
      <w:r w:rsidR="007B2C3E">
        <w:rPr>
          <w:noProof/>
        </w:rPr>
        <w:t xml:space="preserve"> and </w:t>
      </w:r>
      <w:r w:rsidR="009E78C9">
        <w:rPr>
          <w:noProof/>
        </w:rPr>
        <w:t>by the central limit theorem</w:t>
      </w:r>
      <w:r w:rsidR="005F4EC2">
        <w:rPr>
          <w:noProof/>
        </w:rPr>
        <w:t xml:space="preserve"> </w:t>
      </w:r>
      <w:r w:rsidR="009E78C9">
        <w:rPr>
          <w:noProof/>
        </w:rPr>
        <w:t xml:space="preserve">behave as a continuous variable </w:t>
      </w:r>
      <w:r w:rsidR="00293364">
        <w:rPr>
          <w:noProof/>
        </w:rPr>
        <w:t>(Norman 2010)</w:t>
      </w:r>
      <w:r w:rsidR="007B2C3E">
        <w:rPr>
          <w:noProof/>
        </w:rPr>
        <w:t xml:space="preserve">.  </w:t>
      </w:r>
      <w:r w:rsidR="00B079CD">
        <w:rPr>
          <w:noProof/>
        </w:rPr>
        <w:t>A one-way ANOVA wa</w:t>
      </w:r>
      <w:r w:rsidR="00791AFB">
        <w:rPr>
          <w:noProof/>
        </w:rPr>
        <w:t>s able to distingu</w:t>
      </w:r>
      <w:r w:rsidR="006D2B8A">
        <w:rPr>
          <w:noProof/>
        </w:rPr>
        <w:t xml:space="preserve">ish if any of the ranges of fusion for these epiphyses </w:t>
      </w:r>
      <w:r w:rsidR="003A1885">
        <w:rPr>
          <w:noProof/>
        </w:rPr>
        <w:t xml:space="preserve">were </w:t>
      </w:r>
      <w:r w:rsidR="00791AFB">
        <w:rPr>
          <w:noProof/>
        </w:rPr>
        <w:t>significantly different.  This test as</w:t>
      </w:r>
      <w:r w:rsidR="00CE76B6">
        <w:rPr>
          <w:noProof/>
        </w:rPr>
        <w:t>sumed</w:t>
      </w:r>
      <w:r w:rsidR="00791AFB">
        <w:rPr>
          <w:noProof/>
        </w:rPr>
        <w:t xml:space="preserve"> </w:t>
      </w:r>
      <w:r w:rsidR="00EC4520">
        <w:rPr>
          <w:noProof/>
        </w:rPr>
        <w:t xml:space="preserve">that all variables </w:t>
      </w:r>
      <w:r w:rsidR="00CE76B6">
        <w:rPr>
          <w:noProof/>
        </w:rPr>
        <w:t xml:space="preserve">were </w:t>
      </w:r>
      <w:r w:rsidR="00EC4520">
        <w:rPr>
          <w:noProof/>
        </w:rPr>
        <w:t>normally distributed.</w:t>
      </w:r>
      <w:r w:rsidR="00727015">
        <w:rPr>
          <w:noProof/>
        </w:rPr>
        <w:t xml:space="preserve">  Shapiro-Wilk and </w:t>
      </w:r>
      <w:r w:rsidR="00727015" w:rsidRPr="009B0A36">
        <w:rPr>
          <w:rFonts w:eastAsia="Times New Roman"/>
          <w:color w:val="000000"/>
          <w:lang w:val="en-GB" w:eastAsia="en-GB"/>
        </w:rPr>
        <w:t>Kolmogorov-Smirnov</w:t>
      </w:r>
      <w:r w:rsidR="00727015">
        <w:rPr>
          <w:rFonts w:eastAsia="Times New Roman"/>
          <w:color w:val="000000"/>
          <w:lang w:val="en-GB" w:eastAsia="en-GB"/>
        </w:rPr>
        <w:t xml:space="preserve"> tests were applied</w:t>
      </w:r>
      <w:r w:rsidR="00E84C6C">
        <w:rPr>
          <w:rFonts w:eastAsia="Times New Roman"/>
          <w:color w:val="000000"/>
          <w:lang w:val="en-GB" w:eastAsia="en-GB"/>
        </w:rPr>
        <w:t xml:space="preserve"> to both males and female </w:t>
      </w:r>
      <w:r w:rsidR="00E84C6C">
        <w:rPr>
          <w:rFonts w:eastAsia="Times New Roman"/>
          <w:i/>
          <w:color w:val="000000"/>
          <w:lang w:val="en-GB" w:eastAsia="en-GB"/>
        </w:rPr>
        <w:t xml:space="preserve">Pan </w:t>
      </w:r>
      <w:proofErr w:type="gramStart"/>
      <w:r w:rsidR="00E84C6C">
        <w:rPr>
          <w:rFonts w:eastAsia="Times New Roman"/>
          <w:i/>
          <w:color w:val="000000"/>
          <w:lang w:val="en-GB" w:eastAsia="en-GB"/>
        </w:rPr>
        <w:t>troglodytes</w:t>
      </w:r>
      <w:proofErr w:type="gramEnd"/>
      <w:r w:rsidR="00E84C6C">
        <w:rPr>
          <w:rFonts w:eastAsia="Times New Roman"/>
          <w:color w:val="000000"/>
          <w:lang w:val="en-GB" w:eastAsia="en-GB"/>
        </w:rPr>
        <w:t xml:space="preserve"> for both mid-fusion and complete fusion</w:t>
      </w:r>
      <w:r w:rsidR="00727015">
        <w:rPr>
          <w:rFonts w:eastAsia="Times New Roman"/>
          <w:color w:val="000000"/>
          <w:lang w:val="en-GB" w:eastAsia="en-GB"/>
        </w:rPr>
        <w:t>.  Resul</w:t>
      </w:r>
      <w:r w:rsidR="00056317">
        <w:rPr>
          <w:rFonts w:eastAsia="Times New Roman"/>
          <w:color w:val="000000"/>
          <w:lang w:val="en-GB" w:eastAsia="en-GB"/>
        </w:rPr>
        <w:t>ts are available in</w:t>
      </w:r>
      <w:r w:rsidR="00242337">
        <w:rPr>
          <w:rFonts w:eastAsia="Times New Roman"/>
          <w:color w:val="000000"/>
          <w:lang w:val="en-GB" w:eastAsia="en-GB"/>
        </w:rPr>
        <w:t xml:space="preserve"> </w:t>
      </w:r>
      <w:r w:rsidR="00242337" w:rsidRPr="00953399">
        <w:rPr>
          <w:rFonts w:eastAsia="Times New Roman"/>
          <w:color w:val="000000"/>
          <w:lang w:val="en-GB" w:eastAsia="en-GB"/>
        </w:rPr>
        <w:t>section 8.</w:t>
      </w:r>
      <w:r w:rsidR="00A919D2" w:rsidRPr="00953399">
        <w:rPr>
          <w:rFonts w:eastAsia="Times New Roman"/>
          <w:color w:val="000000"/>
          <w:lang w:val="en-GB" w:eastAsia="en-GB"/>
        </w:rPr>
        <w:t>5</w:t>
      </w:r>
      <w:r w:rsidR="00242337" w:rsidRPr="00953399">
        <w:rPr>
          <w:rFonts w:eastAsia="Times New Roman"/>
          <w:color w:val="000000"/>
          <w:lang w:val="en-GB" w:eastAsia="en-GB"/>
        </w:rPr>
        <w:t xml:space="preserve"> </w:t>
      </w:r>
      <w:r w:rsidR="00242337" w:rsidRPr="00953399">
        <w:rPr>
          <w:rFonts w:eastAsia="Times New Roman"/>
          <w:color w:val="000000" w:themeColor="text1"/>
          <w:lang w:val="en-GB" w:eastAsia="en-GB"/>
        </w:rPr>
        <w:t>of</w:t>
      </w:r>
      <w:r w:rsidR="00B053D6" w:rsidRPr="00953399">
        <w:rPr>
          <w:rFonts w:eastAsia="Times New Roman"/>
          <w:color w:val="000000"/>
          <w:lang w:val="en-GB" w:eastAsia="en-GB"/>
        </w:rPr>
        <w:t xml:space="preserve"> the appendix</w:t>
      </w:r>
      <w:r w:rsidR="00A919D2" w:rsidRPr="00953399">
        <w:rPr>
          <w:rFonts w:eastAsia="Times New Roman"/>
          <w:color w:val="000000"/>
          <w:lang w:val="en-GB" w:eastAsia="en-GB"/>
        </w:rPr>
        <w:t xml:space="preserve"> (Tables 8.21-8.24)</w:t>
      </w:r>
      <w:r w:rsidR="00B053D6" w:rsidRPr="00953399">
        <w:rPr>
          <w:rFonts w:eastAsia="Times New Roman"/>
          <w:color w:val="000000"/>
          <w:lang w:val="en-GB" w:eastAsia="en-GB"/>
        </w:rPr>
        <w:t>.</w:t>
      </w:r>
      <w:r w:rsidR="006D2B8A" w:rsidRPr="00953399">
        <w:rPr>
          <w:rFonts w:eastAsia="Times New Roman"/>
          <w:color w:val="000000"/>
          <w:lang w:val="en-GB" w:eastAsia="en-GB"/>
        </w:rPr>
        <w:t xml:space="preserve">  </w:t>
      </w:r>
      <w:r w:rsidR="005E4140" w:rsidRPr="00953399">
        <w:rPr>
          <w:rFonts w:eastAsia="Times New Roman"/>
          <w:color w:val="000000"/>
          <w:lang w:val="en-GB" w:eastAsia="en-GB"/>
        </w:rPr>
        <w:t>C</w:t>
      </w:r>
      <w:r w:rsidR="00F32BF4" w:rsidRPr="00953399">
        <w:rPr>
          <w:rFonts w:eastAsia="Times New Roman"/>
          <w:color w:val="000000"/>
          <w:lang w:val="en-GB" w:eastAsia="en-GB"/>
        </w:rPr>
        <w:t>o</w:t>
      </w:r>
      <w:r w:rsidR="005E4140" w:rsidRPr="00953399">
        <w:rPr>
          <w:rFonts w:eastAsia="Times New Roman"/>
          <w:color w:val="000000"/>
          <w:lang w:val="en-GB" w:eastAsia="en-GB"/>
        </w:rPr>
        <w:t xml:space="preserve">mplete fusion </w:t>
      </w:r>
      <w:r w:rsidR="00F32BF4" w:rsidRPr="00953399">
        <w:rPr>
          <w:rFonts w:eastAsia="Times New Roman"/>
          <w:color w:val="000000"/>
          <w:lang w:val="en-GB" w:eastAsia="en-GB"/>
        </w:rPr>
        <w:t>represents a permanent stable state after fusion</w:t>
      </w:r>
      <w:r w:rsidR="00953399" w:rsidRPr="00953399">
        <w:rPr>
          <w:rFonts w:eastAsia="Times New Roman"/>
          <w:color w:val="000000"/>
          <w:lang w:val="en-GB" w:eastAsia="en-GB"/>
        </w:rPr>
        <w:t xml:space="preserve"> has occurred.  A</w:t>
      </w:r>
      <w:r w:rsidR="00F32BF4" w:rsidRPr="00953399">
        <w:rPr>
          <w:rFonts w:eastAsia="Times New Roman"/>
          <w:color w:val="000000"/>
          <w:lang w:val="en-GB" w:eastAsia="en-GB"/>
        </w:rPr>
        <w:t>s such</w:t>
      </w:r>
      <w:r w:rsidR="00953399" w:rsidRPr="00953399">
        <w:rPr>
          <w:rFonts w:eastAsia="Times New Roman"/>
          <w:color w:val="000000"/>
          <w:lang w:val="en-GB" w:eastAsia="en-GB"/>
        </w:rPr>
        <w:t>,</w:t>
      </w:r>
      <w:r w:rsidR="00F32BF4" w:rsidRPr="00953399">
        <w:rPr>
          <w:rFonts w:eastAsia="Times New Roman"/>
          <w:color w:val="000000"/>
          <w:lang w:val="en-GB" w:eastAsia="en-GB"/>
        </w:rPr>
        <w:t xml:space="preserve"> ranges for complete fusion </w:t>
      </w:r>
      <w:r w:rsidR="00CB62CE">
        <w:rPr>
          <w:rFonts w:eastAsia="Times New Roman"/>
          <w:color w:val="000000"/>
          <w:lang w:val="en-GB" w:eastAsia="en-GB"/>
        </w:rPr>
        <w:t>might be</w:t>
      </w:r>
      <w:r w:rsidR="00953399" w:rsidRPr="00953399">
        <w:rPr>
          <w:rFonts w:eastAsia="Times New Roman"/>
          <w:color w:val="000000"/>
          <w:lang w:val="en-GB" w:eastAsia="en-GB"/>
        </w:rPr>
        <w:t xml:space="preserve"> </w:t>
      </w:r>
      <w:r w:rsidR="005E4140" w:rsidRPr="00953399">
        <w:rPr>
          <w:rFonts w:eastAsia="Times New Roman"/>
          <w:color w:val="000000"/>
          <w:lang w:val="en-GB" w:eastAsia="en-GB"/>
        </w:rPr>
        <w:t>assumed that</w:t>
      </w:r>
      <w:r w:rsidR="00CB62CE">
        <w:rPr>
          <w:rFonts w:eastAsia="Times New Roman"/>
          <w:color w:val="000000"/>
          <w:lang w:val="en-GB" w:eastAsia="en-GB"/>
        </w:rPr>
        <w:t xml:space="preserve"> </w:t>
      </w:r>
      <w:r w:rsidR="00953399" w:rsidRPr="00953399">
        <w:rPr>
          <w:rFonts w:eastAsia="Times New Roman"/>
          <w:color w:val="000000"/>
          <w:lang w:val="en-GB" w:eastAsia="en-GB"/>
        </w:rPr>
        <w:t xml:space="preserve">to </w:t>
      </w:r>
      <w:r w:rsidR="00F32BF4" w:rsidRPr="00953399">
        <w:rPr>
          <w:rFonts w:eastAsia="Times New Roman"/>
          <w:color w:val="000000"/>
          <w:lang w:val="en-GB" w:eastAsia="en-GB"/>
        </w:rPr>
        <w:t xml:space="preserve">be less likely to </w:t>
      </w:r>
      <w:r w:rsidR="00953399" w:rsidRPr="00953399">
        <w:rPr>
          <w:rFonts w:eastAsia="Times New Roman"/>
          <w:color w:val="000000"/>
          <w:lang w:val="en-GB" w:eastAsia="en-GB"/>
        </w:rPr>
        <w:t xml:space="preserve">demonstrate </w:t>
      </w:r>
      <w:r w:rsidR="00F32BF4" w:rsidRPr="00953399">
        <w:rPr>
          <w:rFonts w:eastAsia="Times New Roman"/>
          <w:color w:val="000000"/>
          <w:lang w:val="en-GB" w:eastAsia="en-GB"/>
        </w:rPr>
        <w:t>normal</w:t>
      </w:r>
      <w:r w:rsidR="00953399" w:rsidRPr="00953399">
        <w:rPr>
          <w:rFonts w:eastAsia="Times New Roman"/>
          <w:color w:val="000000"/>
          <w:lang w:val="en-GB" w:eastAsia="en-GB"/>
        </w:rPr>
        <w:t>ity</w:t>
      </w:r>
      <w:r w:rsidR="00F32BF4" w:rsidRPr="00953399">
        <w:rPr>
          <w:rFonts w:eastAsia="Times New Roman"/>
          <w:color w:val="000000"/>
          <w:lang w:val="en-GB" w:eastAsia="en-GB"/>
        </w:rPr>
        <w:t xml:space="preserve"> due to the fact that these ranges will have no central tendency. </w:t>
      </w:r>
      <w:r w:rsidR="00F32BF4" w:rsidRPr="00CB62CE">
        <w:rPr>
          <w:rFonts w:eastAsia="Times New Roman"/>
          <w:color w:val="000000"/>
          <w:lang w:val="en-GB" w:eastAsia="en-GB"/>
        </w:rPr>
        <w:t xml:space="preserve"> </w:t>
      </w:r>
      <w:r w:rsidR="003C11F5">
        <w:rPr>
          <w:rFonts w:eastAsia="Times New Roman"/>
          <w:color w:val="000000"/>
          <w:lang w:val="en-GB" w:eastAsia="en-GB"/>
        </w:rPr>
        <w:t>T</w:t>
      </w:r>
      <w:r w:rsidR="005E4140">
        <w:rPr>
          <w:rFonts w:eastAsia="Times New Roman"/>
          <w:color w:val="000000"/>
          <w:lang w:val="en-GB" w:eastAsia="en-GB"/>
        </w:rPr>
        <w:t>h</w:t>
      </w:r>
      <w:r w:rsidR="007579F3">
        <w:rPr>
          <w:rFonts w:eastAsia="Times New Roman"/>
          <w:color w:val="000000"/>
          <w:lang w:val="en-GB" w:eastAsia="en-GB"/>
        </w:rPr>
        <w:t>is was not the case</w:t>
      </w:r>
      <w:r w:rsidR="005E4140">
        <w:rPr>
          <w:rFonts w:eastAsia="Times New Roman"/>
          <w:color w:val="000000"/>
          <w:lang w:val="en-GB" w:eastAsia="en-GB"/>
        </w:rPr>
        <w:t xml:space="preserve"> and the</w:t>
      </w:r>
      <w:r w:rsidR="003C11F5">
        <w:rPr>
          <w:rFonts w:eastAsia="Times New Roman"/>
          <w:color w:val="000000"/>
          <w:lang w:val="en-GB" w:eastAsia="en-GB"/>
        </w:rPr>
        <w:t xml:space="preserve"> vast majority of epiphyses were n</w:t>
      </w:r>
      <w:r w:rsidR="00C116C1">
        <w:rPr>
          <w:rFonts w:eastAsia="Times New Roman"/>
          <w:color w:val="000000"/>
          <w:lang w:val="en-GB" w:eastAsia="en-GB"/>
        </w:rPr>
        <w:t>ormally distributed.  Table 4.14</w:t>
      </w:r>
      <w:r w:rsidR="003C11F5">
        <w:rPr>
          <w:rFonts w:eastAsia="Times New Roman"/>
          <w:color w:val="000000"/>
          <w:lang w:val="en-GB" w:eastAsia="en-GB"/>
        </w:rPr>
        <w:t xml:space="preserve"> summarises epiphyses that were non-normal and </w:t>
      </w:r>
      <w:r w:rsidR="00117C01">
        <w:rPr>
          <w:rFonts w:eastAsia="Times New Roman"/>
          <w:color w:val="000000"/>
          <w:lang w:val="en-GB" w:eastAsia="en-GB"/>
        </w:rPr>
        <w:t xml:space="preserve">those that were excluded from analysis due to limited sample </w:t>
      </w:r>
      <w:r w:rsidR="00012BCB">
        <w:rPr>
          <w:rFonts w:eastAsia="Times New Roman"/>
          <w:color w:val="000000"/>
          <w:lang w:val="en-GB" w:eastAsia="en-GB"/>
        </w:rPr>
        <w:t>size (</w:t>
      </w:r>
      <w:r w:rsidR="00702766">
        <w:rPr>
          <w:rFonts w:eastAsia="Times New Roman"/>
          <w:color w:val="000000"/>
          <w:lang w:val="en-GB" w:eastAsia="en-GB"/>
        </w:rPr>
        <w:t>3 or fewer individuals present).</w:t>
      </w:r>
    </w:p>
    <w:p w:rsidR="00012BCB" w:rsidRDefault="00D03397" w:rsidP="00556B5B">
      <w:pPr>
        <w:tabs>
          <w:tab w:val="left" w:pos="360"/>
        </w:tabs>
        <w:spacing w:before="120" w:after="120" w:line="240" w:lineRule="auto"/>
        <w:rPr>
          <w:rFonts w:eastAsia="Times New Roman"/>
          <w:color w:val="000000"/>
          <w:lang w:val="en-GB" w:eastAsia="en-GB"/>
        </w:rPr>
      </w:pPr>
      <w:bookmarkStart w:id="504" w:name="_Toc373180158"/>
      <w:proofErr w:type="gramStart"/>
      <w:r w:rsidRPr="00997A01">
        <w:rPr>
          <w:b/>
        </w:rPr>
        <w:t xml:space="preserve">Table </w:t>
      </w:r>
      <w:r w:rsidR="008943E4">
        <w:rPr>
          <w:b/>
        </w:rPr>
        <w:fldChar w:fldCharType="begin"/>
      </w:r>
      <w:r>
        <w:rPr>
          <w:b/>
        </w:rPr>
        <w:instrText xml:space="preserve"> STYLEREF 1 \s </w:instrText>
      </w:r>
      <w:r w:rsidR="008943E4">
        <w:rPr>
          <w:b/>
        </w:rPr>
        <w:fldChar w:fldCharType="separate"/>
      </w:r>
      <w:r w:rsidR="00795735">
        <w:rPr>
          <w:b/>
          <w:noProof/>
        </w:rPr>
        <w:t>4</w:t>
      </w:r>
      <w:r w:rsidR="008943E4">
        <w:rPr>
          <w:b/>
        </w:rPr>
        <w:fldChar w:fldCharType="end"/>
      </w:r>
      <w:r>
        <w:rPr>
          <w:b/>
        </w:rPr>
        <w:t>.</w:t>
      </w:r>
      <w:proofErr w:type="gramEnd"/>
      <w:r w:rsidR="008943E4">
        <w:rPr>
          <w:b/>
        </w:rPr>
        <w:fldChar w:fldCharType="begin"/>
      </w:r>
      <w:r>
        <w:rPr>
          <w:b/>
        </w:rPr>
        <w:instrText xml:space="preserve"> SEQ Table \* ARABIC \s 1 </w:instrText>
      </w:r>
      <w:r w:rsidR="008943E4">
        <w:rPr>
          <w:b/>
        </w:rPr>
        <w:fldChar w:fldCharType="separate"/>
      </w:r>
      <w:r w:rsidR="00795735">
        <w:rPr>
          <w:b/>
          <w:noProof/>
        </w:rPr>
        <w:t>14</w:t>
      </w:r>
      <w:r w:rsidR="008943E4">
        <w:rPr>
          <w:b/>
        </w:rPr>
        <w:fldChar w:fldCharType="end"/>
      </w:r>
      <w:r>
        <w:rPr>
          <w:noProof/>
        </w:rPr>
        <w:t xml:space="preserve"> </w:t>
      </w:r>
      <w:r>
        <w:rPr>
          <w:rFonts w:eastAsia="Times New Roman"/>
          <w:color w:val="000000"/>
          <w:lang w:val="en-GB" w:eastAsia="en-GB"/>
        </w:rPr>
        <w:t xml:space="preserve">Summary of non-normal ranges of mean epiphyseal fusion score for mid-fusion and complete fusion in </w:t>
      </w:r>
      <w:r>
        <w:rPr>
          <w:rFonts w:eastAsia="Times New Roman"/>
          <w:i/>
          <w:color w:val="000000"/>
          <w:lang w:val="en-GB" w:eastAsia="en-GB"/>
        </w:rPr>
        <w:t xml:space="preserve">Pan </w:t>
      </w:r>
      <w:proofErr w:type="gramStart"/>
      <w:r>
        <w:rPr>
          <w:rFonts w:eastAsia="Times New Roman"/>
          <w:i/>
          <w:color w:val="000000"/>
          <w:lang w:val="en-GB" w:eastAsia="en-GB"/>
        </w:rPr>
        <w:t>troglodytes</w:t>
      </w:r>
      <w:proofErr w:type="gramEnd"/>
      <w:r>
        <w:rPr>
          <w:rFonts w:eastAsia="Times New Roman"/>
          <w:color w:val="000000"/>
          <w:lang w:val="en-GB" w:eastAsia="en-GB"/>
        </w:rPr>
        <w:t xml:space="preserve"> males and females.</w:t>
      </w:r>
      <w:bookmarkEnd w:id="504"/>
    </w:p>
    <w:tbl>
      <w:tblPr>
        <w:tblW w:w="9184" w:type="dxa"/>
        <w:tblInd w:w="93" w:type="dxa"/>
        <w:tblBorders>
          <w:top w:val="single" w:sz="4" w:space="0" w:color="auto"/>
          <w:bottom w:val="single" w:sz="4" w:space="0" w:color="auto"/>
        </w:tblBorders>
        <w:tblLook w:val="04A0" w:firstRow="1" w:lastRow="0" w:firstColumn="1" w:lastColumn="0" w:noHBand="0" w:noVBand="1"/>
      </w:tblPr>
      <w:tblGrid>
        <w:gridCol w:w="1535"/>
        <w:gridCol w:w="1740"/>
        <w:gridCol w:w="3403"/>
        <w:gridCol w:w="2506"/>
      </w:tblGrid>
      <w:tr w:rsidR="003C11F5" w:rsidRPr="003C11F5" w:rsidTr="00B66255">
        <w:trPr>
          <w:trHeight w:hRule="exact" w:val="284"/>
        </w:trPr>
        <w:tc>
          <w:tcPr>
            <w:tcW w:w="1535" w:type="dxa"/>
            <w:tcBorders>
              <w:top w:val="single" w:sz="4" w:space="0" w:color="auto"/>
              <w:bottom w:val="single" w:sz="4" w:space="0" w:color="auto"/>
            </w:tcBorders>
            <w:shd w:val="clear" w:color="auto" w:fill="auto"/>
            <w:noWrap/>
            <w:vAlign w:val="center"/>
            <w:hideMark/>
          </w:tcPr>
          <w:p w:rsidR="00A35CA0" w:rsidRDefault="00B66255"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3C11F5" w:rsidRPr="003C11F5">
              <w:rPr>
                <w:rFonts w:eastAsia="Times New Roman"/>
                <w:b/>
                <w:bCs/>
                <w:color w:val="000000"/>
                <w:lang w:val="en-GB" w:eastAsia="en-GB"/>
              </w:rPr>
              <w:t>ex</w:t>
            </w:r>
          </w:p>
        </w:tc>
        <w:tc>
          <w:tcPr>
            <w:tcW w:w="1740" w:type="dxa"/>
            <w:tcBorders>
              <w:top w:val="single" w:sz="4" w:space="0" w:color="auto"/>
              <w:bottom w:val="single" w:sz="4" w:space="0" w:color="auto"/>
            </w:tcBorders>
            <w:shd w:val="clear" w:color="auto" w:fill="auto"/>
            <w:noWrap/>
            <w:vAlign w:val="center"/>
            <w:hideMark/>
          </w:tcPr>
          <w:p w:rsidR="00A35CA0" w:rsidRDefault="00B66255"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f</w:t>
            </w:r>
            <w:r w:rsidR="003C11F5" w:rsidRPr="003C11F5">
              <w:rPr>
                <w:rFonts w:eastAsia="Times New Roman"/>
                <w:b/>
                <w:bCs/>
                <w:color w:val="000000"/>
                <w:lang w:val="en-GB" w:eastAsia="en-GB"/>
              </w:rPr>
              <w:t>usion state</w:t>
            </w:r>
          </w:p>
        </w:tc>
        <w:tc>
          <w:tcPr>
            <w:tcW w:w="3403" w:type="dxa"/>
            <w:tcBorders>
              <w:top w:val="single" w:sz="4" w:space="0" w:color="auto"/>
              <w:bottom w:val="single" w:sz="4" w:space="0" w:color="auto"/>
            </w:tcBorders>
            <w:shd w:val="clear" w:color="auto" w:fill="auto"/>
            <w:noWrap/>
            <w:vAlign w:val="center"/>
            <w:hideMark/>
          </w:tcPr>
          <w:p w:rsidR="00A35CA0" w:rsidRDefault="00B66255"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n</w:t>
            </w:r>
            <w:r w:rsidR="003C11F5" w:rsidRPr="003C11F5">
              <w:rPr>
                <w:rFonts w:eastAsia="Times New Roman"/>
                <w:b/>
                <w:bCs/>
                <w:color w:val="000000"/>
                <w:lang w:val="en-GB" w:eastAsia="en-GB"/>
              </w:rPr>
              <w:t>on-normal epiphyses</w:t>
            </w:r>
          </w:p>
        </w:tc>
        <w:tc>
          <w:tcPr>
            <w:tcW w:w="2506" w:type="dxa"/>
            <w:tcBorders>
              <w:top w:val="single" w:sz="4" w:space="0" w:color="auto"/>
              <w:bottom w:val="single" w:sz="4" w:space="0" w:color="auto"/>
            </w:tcBorders>
            <w:shd w:val="clear" w:color="auto" w:fill="auto"/>
            <w:noWrap/>
            <w:vAlign w:val="center"/>
            <w:hideMark/>
          </w:tcPr>
          <w:p w:rsidR="00A35CA0" w:rsidRDefault="00B66255"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3C11F5" w:rsidRPr="003C11F5">
              <w:rPr>
                <w:rFonts w:eastAsia="Times New Roman"/>
                <w:b/>
                <w:bCs/>
                <w:color w:val="000000"/>
                <w:lang w:val="en-GB" w:eastAsia="en-GB"/>
              </w:rPr>
              <w:t>xcluded epiphyses</w:t>
            </w:r>
          </w:p>
        </w:tc>
      </w:tr>
      <w:tr w:rsidR="003C11F5" w:rsidRPr="003C11F5" w:rsidTr="00B66255">
        <w:trPr>
          <w:trHeight w:hRule="exact" w:val="284"/>
        </w:trPr>
        <w:tc>
          <w:tcPr>
            <w:tcW w:w="1535" w:type="dxa"/>
            <w:tcBorders>
              <w:top w:val="single" w:sz="4" w:space="0" w:color="auto"/>
              <w:bottom w:val="single" w:sz="4" w:space="0" w:color="auto"/>
            </w:tcBorders>
            <w:shd w:val="clear" w:color="auto" w:fill="auto"/>
            <w:noWrap/>
            <w:vAlign w:val="center"/>
            <w:hideMark/>
          </w:tcPr>
          <w:p w:rsidR="00A35CA0" w:rsidRDefault="003C11F5" w:rsidP="00CA5FBB">
            <w:pPr>
              <w:spacing w:before="0" w:line="240" w:lineRule="auto"/>
              <w:jc w:val="center"/>
              <w:rPr>
                <w:rFonts w:eastAsia="Times New Roman"/>
                <w:b/>
                <w:bCs/>
                <w:color w:val="000000"/>
                <w:sz w:val="28"/>
                <w:szCs w:val="28"/>
                <w:lang w:val="en-GB" w:eastAsia="en-GB"/>
              </w:rPr>
            </w:pPr>
            <w:r w:rsidRPr="003C11F5">
              <w:rPr>
                <w:rFonts w:eastAsia="Times New Roman"/>
                <w:color w:val="000000"/>
                <w:lang w:val="en-GB" w:eastAsia="en-GB"/>
              </w:rPr>
              <w:t>female</w:t>
            </w:r>
          </w:p>
        </w:tc>
        <w:tc>
          <w:tcPr>
            <w:tcW w:w="1740" w:type="dxa"/>
            <w:tcBorders>
              <w:top w:val="single" w:sz="4" w:space="0" w:color="auto"/>
              <w:bottom w:val="single" w:sz="4" w:space="0" w:color="auto"/>
            </w:tcBorders>
            <w:shd w:val="clear" w:color="auto" w:fill="auto"/>
            <w:noWrap/>
            <w:vAlign w:val="center"/>
            <w:hideMark/>
          </w:tcPr>
          <w:p w:rsidR="00A35CA0" w:rsidRDefault="003C11F5" w:rsidP="00CA5FBB">
            <w:pPr>
              <w:spacing w:before="0" w:line="240" w:lineRule="auto"/>
              <w:jc w:val="center"/>
              <w:rPr>
                <w:rFonts w:eastAsia="Times New Roman"/>
                <w:b/>
                <w:bCs/>
                <w:color w:val="000000"/>
                <w:sz w:val="24"/>
                <w:szCs w:val="24"/>
                <w:lang w:val="en-GB" w:eastAsia="en-GB"/>
              </w:rPr>
            </w:pPr>
            <w:r w:rsidRPr="003C11F5">
              <w:rPr>
                <w:rFonts w:eastAsia="Times New Roman"/>
                <w:color w:val="000000"/>
                <w:lang w:val="en-GB" w:eastAsia="en-GB"/>
              </w:rPr>
              <w:t>mid-fusion</w:t>
            </w:r>
          </w:p>
        </w:tc>
        <w:tc>
          <w:tcPr>
            <w:tcW w:w="3403" w:type="dxa"/>
            <w:tcBorders>
              <w:top w:val="single" w:sz="4" w:space="0" w:color="auto"/>
              <w:bottom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distal humerus</w:t>
            </w:r>
            <w:r w:rsidR="003C11F5" w:rsidRPr="003C11F5">
              <w:rPr>
                <w:rFonts w:eastAsia="Times New Roman"/>
                <w:color w:val="000000"/>
                <w:lang w:val="en-GB" w:eastAsia="en-GB"/>
              </w:rPr>
              <w:t xml:space="preserve"> (p=0.03)</w:t>
            </w:r>
          </w:p>
        </w:tc>
        <w:tc>
          <w:tcPr>
            <w:tcW w:w="2506" w:type="dxa"/>
            <w:tcBorders>
              <w:top w:val="single" w:sz="4" w:space="0" w:color="auto"/>
              <w:bottom w:val="single" w:sz="4" w:space="0" w:color="auto"/>
            </w:tcBorders>
            <w:shd w:val="clear" w:color="auto" w:fill="auto"/>
            <w:noWrap/>
            <w:vAlign w:val="center"/>
            <w:hideMark/>
          </w:tcPr>
          <w:p w:rsidR="00A35CA0" w:rsidRDefault="003C11F5" w:rsidP="00CA5FBB">
            <w:pPr>
              <w:spacing w:before="0" w:line="240" w:lineRule="auto"/>
              <w:jc w:val="center"/>
              <w:rPr>
                <w:rFonts w:eastAsia="Times New Roman"/>
                <w:b/>
                <w:bCs/>
                <w:color w:val="000000"/>
                <w:sz w:val="24"/>
                <w:szCs w:val="24"/>
                <w:lang w:val="en-GB" w:eastAsia="en-GB"/>
              </w:rPr>
            </w:pPr>
            <w:r w:rsidRPr="003C11F5">
              <w:rPr>
                <w:rFonts w:eastAsia="Times New Roman"/>
                <w:color w:val="000000"/>
                <w:lang w:val="en-GB" w:eastAsia="en-GB"/>
              </w:rPr>
              <w:t>none</w:t>
            </w:r>
          </w:p>
        </w:tc>
      </w:tr>
      <w:tr w:rsidR="007A4CBE" w:rsidRPr="003C11F5" w:rsidTr="00B66255">
        <w:trPr>
          <w:trHeight w:hRule="exact" w:val="284"/>
        </w:trPr>
        <w:tc>
          <w:tcPr>
            <w:tcW w:w="1535" w:type="dxa"/>
            <w:vMerge w:val="restart"/>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female</w:t>
            </w:r>
          </w:p>
        </w:tc>
        <w:tc>
          <w:tcPr>
            <w:tcW w:w="1740" w:type="dxa"/>
            <w:vMerge w:val="restart"/>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complete fusion</w:t>
            </w:r>
          </w:p>
        </w:tc>
        <w:tc>
          <w:tcPr>
            <w:tcW w:w="3403" w:type="dxa"/>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proxima</w:t>
            </w:r>
            <w:r w:rsidR="002A2F25">
              <w:rPr>
                <w:rFonts w:eastAsia="Times New Roman"/>
                <w:color w:val="000000"/>
                <w:lang w:val="en-GB" w:eastAsia="en-GB"/>
              </w:rPr>
              <w:t>l</w:t>
            </w:r>
            <w:r w:rsidRPr="003C11F5">
              <w:rPr>
                <w:rFonts w:eastAsia="Times New Roman"/>
                <w:color w:val="000000"/>
                <w:lang w:val="en-GB" w:eastAsia="en-GB"/>
              </w:rPr>
              <w:t xml:space="preserve"> humerus (p=0.002)</w:t>
            </w:r>
          </w:p>
        </w:tc>
        <w:tc>
          <w:tcPr>
            <w:tcW w:w="2506" w:type="dxa"/>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iliac crest</w:t>
            </w:r>
          </w:p>
        </w:tc>
      </w:tr>
      <w:tr w:rsidR="007A4CBE" w:rsidRPr="003C11F5" w:rsidTr="00B66255">
        <w:trPr>
          <w:trHeight w:hRule="exact" w:val="284"/>
        </w:trPr>
        <w:tc>
          <w:tcPr>
            <w:tcW w:w="1535"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174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403" w:type="dxa"/>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proximal fibula (p=0.034)</w:t>
            </w:r>
          </w:p>
        </w:tc>
        <w:tc>
          <w:tcPr>
            <w:tcW w:w="2506" w:type="dxa"/>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medial border of scapula</w:t>
            </w:r>
          </w:p>
        </w:tc>
      </w:tr>
      <w:tr w:rsidR="007A4CBE" w:rsidRPr="003C11F5" w:rsidTr="00B66255">
        <w:trPr>
          <w:trHeight w:hRule="exact" w:val="284"/>
        </w:trPr>
        <w:tc>
          <w:tcPr>
            <w:tcW w:w="1535"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174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403" w:type="dxa"/>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proximal phalanges (foot) (p=0.04)</w:t>
            </w:r>
          </w:p>
        </w:tc>
        <w:tc>
          <w:tcPr>
            <w:tcW w:w="2506" w:type="dxa"/>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 </w:t>
            </w:r>
          </w:p>
        </w:tc>
      </w:tr>
      <w:tr w:rsidR="007A4CBE" w:rsidRPr="003C11F5" w:rsidTr="00B66255">
        <w:trPr>
          <w:trHeight w:hRule="exact" w:val="284"/>
        </w:trPr>
        <w:tc>
          <w:tcPr>
            <w:tcW w:w="1535"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1740"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403" w:type="dxa"/>
            <w:tcBorders>
              <w:bottom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sub-coracoid and glenoid (p=0.028)</w:t>
            </w:r>
          </w:p>
        </w:tc>
        <w:tc>
          <w:tcPr>
            <w:tcW w:w="2506" w:type="dxa"/>
            <w:tcBorders>
              <w:bottom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 </w:t>
            </w:r>
          </w:p>
        </w:tc>
      </w:tr>
      <w:tr w:rsidR="007A4CBE" w:rsidRPr="003C11F5" w:rsidTr="00B66255">
        <w:trPr>
          <w:trHeight w:hRule="exact" w:val="284"/>
        </w:trPr>
        <w:tc>
          <w:tcPr>
            <w:tcW w:w="1535" w:type="dxa"/>
            <w:vMerge w:val="restart"/>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male</w:t>
            </w:r>
          </w:p>
        </w:tc>
        <w:tc>
          <w:tcPr>
            <w:tcW w:w="1740" w:type="dxa"/>
            <w:vMerge w:val="restart"/>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mid-fusion</w:t>
            </w:r>
          </w:p>
        </w:tc>
        <w:tc>
          <w:tcPr>
            <w:tcW w:w="3403"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r w:rsidR="007A4CBE" w:rsidRPr="003C11F5">
              <w:rPr>
                <w:rFonts w:eastAsia="Times New Roman"/>
                <w:color w:val="000000"/>
                <w:lang w:val="en-GB" w:eastAsia="en-GB"/>
              </w:rPr>
              <w:t xml:space="preserve"> (p=0.000)</w:t>
            </w:r>
          </w:p>
        </w:tc>
        <w:tc>
          <w:tcPr>
            <w:tcW w:w="2506" w:type="dxa"/>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anterior inferior iliac spine</w:t>
            </w:r>
          </w:p>
        </w:tc>
      </w:tr>
      <w:tr w:rsidR="007A4CBE" w:rsidRPr="003C11F5" w:rsidTr="00B66255">
        <w:trPr>
          <w:trHeight w:hRule="exact" w:val="284"/>
        </w:trPr>
        <w:tc>
          <w:tcPr>
            <w:tcW w:w="1535"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174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403" w:type="dxa"/>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sub-coracoid and glenoid (p=0.000)</w:t>
            </w:r>
          </w:p>
        </w:tc>
        <w:tc>
          <w:tcPr>
            <w:tcW w:w="2506" w:type="dxa"/>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lateral clavicle</w:t>
            </w:r>
          </w:p>
        </w:tc>
      </w:tr>
      <w:tr w:rsidR="007A4CBE" w:rsidRPr="003C11F5" w:rsidTr="00B66255">
        <w:trPr>
          <w:trHeight w:hRule="exact" w:val="284"/>
        </w:trPr>
        <w:tc>
          <w:tcPr>
            <w:tcW w:w="1535"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1740"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403" w:type="dxa"/>
            <w:tcBorders>
              <w:bottom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 </w:t>
            </w:r>
          </w:p>
        </w:tc>
        <w:tc>
          <w:tcPr>
            <w:tcW w:w="2506" w:type="dxa"/>
            <w:tcBorders>
              <w:bottom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talus</w:t>
            </w:r>
          </w:p>
        </w:tc>
      </w:tr>
      <w:tr w:rsidR="007A4CBE" w:rsidRPr="003C11F5" w:rsidTr="00B66255">
        <w:trPr>
          <w:trHeight w:hRule="exact" w:val="284"/>
        </w:trPr>
        <w:tc>
          <w:tcPr>
            <w:tcW w:w="1535" w:type="dxa"/>
            <w:vMerge w:val="restart"/>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mal</w:t>
            </w:r>
            <w:r>
              <w:rPr>
                <w:rFonts w:eastAsia="Times New Roman"/>
                <w:color w:val="000000"/>
                <w:lang w:val="en-GB" w:eastAsia="en-GB"/>
              </w:rPr>
              <w:t>e</w:t>
            </w:r>
          </w:p>
        </w:tc>
        <w:tc>
          <w:tcPr>
            <w:tcW w:w="1740" w:type="dxa"/>
            <w:vMerge w:val="restart"/>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complete fusion</w:t>
            </w:r>
          </w:p>
        </w:tc>
        <w:tc>
          <w:tcPr>
            <w:tcW w:w="3403" w:type="dxa"/>
            <w:vMerge w:val="restart"/>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none</w:t>
            </w:r>
          </w:p>
        </w:tc>
        <w:tc>
          <w:tcPr>
            <w:tcW w:w="2506" w:type="dxa"/>
            <w:tcBorders>
              <w:top w:val="single" w:sz="4" w:space="0" w:color="auto"/>
            </w:tcBorders>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iliac crest</w:t>
            </w:r>
          </w:p>
        </w:tc>
      </w:tr>
      <w:tr w:rsidR="007A4CBE" w:rsidRPr="003C11F5" w:rsidTr="00B66255">
        <w:trPr>
          <w:trHeight w:hRule="exact" w:val="284"/>
        </w:trPr>
        <w:tc>
          <w:tcPr>
            <w:tcW w:w="1535"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174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403"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506" w:type="dxa"/>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medial clavicle</w:t>
            </w:r>
          </w:p>
        </w:tc>
      </w:tr>
      <w:tr w:rsidR="007A4CBE" w:rsidRPr="003C11F5" w:rsidTr="00B66255">
        <w:trPr>
          <w:trHeight w:hRule="exact" w:val="284"/>
        </w:trPr>
        <w:tc>
          <w:tcPr>
            <w:tcW w:w="1535"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174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3403"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506" w:type="dxa"/>
            <w:shd w:val="clear" w:color="auto" w:fill="auto"/>
            <w:noWrap/>
            <w:vAlign w:val="center"/>
            <w:hideMark/>
          </w:tcPr>
          <w:p w:rsidR="00A35CA0" w:rsidRDefault="007A4CBE" w:rsidP="00CA5FBB">
            <w:pPr>
              <w:spacing w:before="0" w:line="240" w:lineRule="auto"/>
              <w:jc w:val="center"/>
              <w:rPr>
                <w:rFonts w:eastAsia="Times New Roman"/>
                <w:color w:val="000000"/>
                <w:sz w:val="24"/>
                <w:szCs w:val="24"/>
                <w:lang w:val="en-GB" w:eastAsia="en-GB"/>
              </w:rPr>
            </w:pPr>
            <w:r w:rsidRPr="003C11F5">
              <w:rPr>
                <w:rFonts w:eastAsia="Times New Roman"/>
                <w:color w:val="000000"/>
                <w:lang w:val="en-GB" w:eastAsia="en-GB"/>
              </w:rPr>
              <w:t>medial border of scapula</w:t>
            </w:r>
          </w:p>
        </w:tc>
      </w:tr>
    </w:tbl>
    <w:p w:rsidR="00A35CA0" w:rsidRDefault="006D2B8A" w:rsidP="00CA5FBB">
      <w:pPr>
        <w:rPr>
          <w:lang w:val="en-GB" w:eastAsia="en-GB"/>
        </w:rPr>
      </w:pPr>
      <w:r>
        <w:rPr>
          <w:lang w:val="en-GB" w:eastAsia="en-GB"/>
        </w:rPr>
        <w:lastRenderedPageBreak/>
        <w:t xml:space="preserve">For </w:t>
      </w:r>
      <w:r w:rsidR="00DC64E6">
        <w:rPr>
          <w:lang w:val="en-GB" w:eastAsia="en-GB"/>
        </w:rPr>
        <w:t xml:space="preserve">epiphysis in </w:t>
      </w:r>
      <w:r>
        <w:rPr>
          <w:lang w:val="en-GB" w:eastAsia="en-GB"/>
        </w:rPr>
        <w:t xml:space="preserve">mid-fusion </w:t>
      </w:r>
      <w:r w:rsidR="00DC64E6">
        <w:rPr>
          <w:lang w:val="en-GB" w:eastAsia="en-GB"/>
        </w:rPr>
        <w:t>for</w:t>
      </w:r>
      <w:r>
        <w:rPr>
          <w:lang w:val="en-GB" w:eastAsia="en-GB"/>
        </w:rPr>
        <w:t xml:space="preserve"> females, only the </w:t>
      </w:r>
      <w:r w:rsidR="00FB5ED4">
        <w:rPr>
          <w:rFonts w:eastAsia="Times New Roman"/>
          <w:color w:val="000000"/>
          <w:lang w:val="en-GB" w:eastAsia="en-GB"/>
        </w:rPr>
        <w:t>distal humerus</w:t>
      </w:r>
      <w:r>
        <w:rPr>
          <w:lang w:val="en-GB" w:eastAsia="en-GB"/>
        </w:rPr>
        <w:t xml:space="preserve"> was not normally distributed.</w:t>
      </w:r>
      <w:r w:rsidR="00B053D6">
        <w:rPr>
          <w:lang w:val="en-GB" w:eastAsia="en-GB"/>
        </w:rPr>
        <w:t xml:space="preserve">  </w:t>
      </w:r>
      <w:r>
        <w:rPr>
          <w:lang w:val="en-GB" w:eastAsia="en-GB"/>
        </w:rPr>
        <w:t>For mid-fusion</w:t>
      </w:r>
      <w:r w:rsidR="00BD7012">
        <w:rPr>
          <w:lang w:val="en-GB" w:eastAsia="en-GB"/>
        </w:rPr>
        <w:t>,</w:t>
      </w:r>
      <w:r>
        <w:rPr>
          <w:lang w:val="en-GB" w:eastAsia="en-GB"/>
        </w:rPr>
        <w:t xml:space="preserve"> in males the trochea and sub-coracoid and glenoid were not normally distributed.  </w:t>
      </w:r>
      <w:r w:rsidR="00DB588F">
        <w:rPr>
          <w:lang w:val="en-GB" w:eastAsia="en-GB"/>
        </w:rPr>
        <w:t>Tests of normality for complete fusion in females indicated that the proximal humerus, proximal fibula, pr</w:t>
      </w:r>
      <w:r w:rsidR="00B81D60">
        <w:rPr>
          <w:lang w:val="en-GB" w:eastAsia="en-GB"/>
        </w:rPr>
        <w:t>oximal phalanges (foot)</w:t>
      </w:r>
      <w:r w:rsidR="00DB588F">
        <w:rPr>
          <w:lang w:val="en-GB" w:eastAsia="en-GB"/>
        </w:rPr>
        <w:t xml:space="preserve"> and the sub-coracoid and glenoid</w:t>
      </w:r>
      <w:r w:rsidR="00A1289D">
        <w:rPr>
          <w:lang w:val="en-GB" w:eastAsia="en-GB"/>
        </w:rPr>
        <w:t xml:space="preserve"> </w:t>
      </w:r>
      <w:r w:rsidR="00B81D60">
        <w:rPr>
          <w:lang w:val="en-GB" w:eastAsia="en-GB"/>
        </w:rPr>
        <w:t xml:space="preserve">were not </w:t>
      </w:r>
      <w:r w:rsidR="00DB588F">
        <w:rPr>
          <w:lang w:val="en-GB" w:eastAsia="en-GB"/>
        </w:rPr>
        <w:t>normal</w:t>
      </w:r>
      <w:r w:rsidR="00B81D60">
        <w:rPr>
          <w:lang w:val="en-GB" w:eastAsia="en-GB"/>
        </w:rPr>
        <w:t>ly distributed</w:t>
      </w:r>
      <w:r w:rsidR="00DB588F">
        <w:rPr>
          <w:lang w:val="en-GB" w:eastAsia="en-GB"/>
        </w:rPr>
        <w:t xml:space="preserve">.  For </w:t>
      </w:r>
      <w:r w:rsidR="004D376E">
        <w:rPr>
          <w:lang w:val="en-GB" w:eastAsia="en-GB"/>
        </w:rPr>
        <w:t xml:space="preserve">complete fusion in </w:t>
      </w:r>
      <w:r w:rsidR="00DB588F">
        <w:rPr>
          <w:lang w:val="en-GB" w:eastAsia="en-GB"/>
        </w:rPr>
        <w:t>males, all epiphyse</w:t>
      </w:r>
      <w:r w:rsidR="004D376E">
        <w:rPr>
          <w:lang w:val="en-GB" w:eastAsia="en-GB"/>
        </w:rPr>
        <w:t>al fusion ranges were normal</w:t>
      </w:r>
      <w:r w:rsidR="00DB588F">
        <w:rPr>
          <w:lang w:val="en-GB" w:eastAsia="en-GB"/>
        </w:rPr>
        <w:t>.</w:t>
      </w:r>
      <w:r w:rsidR="00FA0B52">
        <w:rPr>
          <w:lang w:val="en-GB" w:eastAsia="en-GB"/>
        </w:rPr>
        <w:t xml:space="preserve"> </w:t>
      </w:r>
      <w:r w:rsidR="00343520">
        <w:rPr>
          <w:lang w:val="en-GB" w:eastAsia="en-GB"/>
        </w:rPr>
        <w:t xml:space="preserve"> </w:t>
      </w:r>
      <w:r w:rsidR="00FA0B52">
        <w:rPr>
          <w:lang w:val="en-GB" w:eastAsia="en-GB"/>
        </w:rPr>
        <w:t xml:space="preserve">Of greater concern in this analysis is mid-fusion as this represents </w:t>
      </w:r>
      <w:r w:rsidR="00426CB1">
        <w:rPr>
          <w:lang w:val="en-GB" w:eastAsia="en-GB"/>
        </w:rPr>
        <w:t>the process of fusion</w:t>
      </w:r>
      <w:r w:rsidR="00FA0B52">
        <w:rPr>
          <w:lang w:val="en-GB" w:eastAsia="en-GB"/>
        </w:rPr>
        <w:t xml:space="preserve">.  </w:t>
      </w:r>
      <w:r w:rsidR="00E51884">
        <w:rPr>
          <w:lang w:val="en-GB" w:eastAsia="en-GB"/>
        </w:rPr>
        <w:t>For mid-fusion, t</w:t>
      </w:r>
      <w:r w:rsidR="00FA0B52">
        <w:rPr>
          <w:lang w:val="en-GB" w:eastAsia="en-GB"/>
        </w:rPr>
        <w:t xml:space="preserve">here were </w:t>
      </w:r>
      <w:r w:rsidR="00E51884">
        <w:rPr>
          <w:lang w:val="en-GB" w:eastAsia="en-GB"/>
        </w:rPr>
        <w:t xml:space="preserve">3 </w:t>
      </w:r>
      <w:r w:rsidR="00CA3BB8">
        <w:rPr>
          <w:lang w:val="en-GB" w:eastAsia="en-GB"/>
        </w:rPr>
        <w:t xml:space="preserve">epiphyses </w:t>
      </w:r>
      <w:r w:rsidR="00E51884">
        <w:rPr>
          <w:lang w:val="en-GB" w:eastAsia="en-GB"/>
        </w:rPr>
        <w:t xml:space="preserve">out of a total of </w:t>
      </w:r>
      <w:r w:rsidR="00FA0B52">
        <w:rPr>
          <w:lang w:val="en-GB" w:eastAsia="en-GB"/>
        </w:rPr>
        <w:t xml:space="preserve">69 </w:t>
      </w:r>
      <w:r w:rsidR="002825F1">
        <w:rPr>
          <w:lang w:val="en-GB" w:eastAsia="en-GB"/>
        </w:rPr>
        <w:t>that were no</w:t>
      </w:r>
      <w:r w:rsidR="005B488B">
        <w:rPr>
          <w:lang w:val="en-GB" w:eastAsia="en-GB"/>
        </w:rPr>
        <w:t xml:space="preserve">t </w:t>
      </w:r>
      <w:r w:rsidR="002825F1">
        <w:rPr>
          <w:lang w:val="en-GB" w:eastAsia="en-GB"/>
        </w:rPr>
        <w:t>n</w:t>
      </w:r>
      <w:r w:rsidR="00FA0B52">
        <w:rPr>
          <w:lang w:val="en-GB" w:eastAsia="en-GB"/>
        </w:rPr>
        <w:t>ormal</w:t>
      </w:r>
      <w:r w:rsidR="005B488B">
        <w:rPr>
          <w:lang w:val="en-GB" w:eastAsia="en-GB"/>
        </w:rPr>
        <w:t>ly distributed</w:t>
      </w:r>
      <w:r w:rsidR="00FA0B52">
        <w:rPr>
          <w:lang w:val="en-GB" w:eastAsia="en-GB"/>
        </w:rPr>
        <w:t xml:space="preserve">.  </w:t>
      </w:r>
      <w:r w:rsidR="00395582">
        <w:rPr>
          <w:lang w:val="en-GB" w:eastAsia="en-GB"/>
        </w:rPr>
        <w:t>A one-way ANOVA was performed with, and without these epiphyses.  Both returned p-values of 0.000, indicating that the presence of these epiphyses does not affect the dif</w:t>
      </w:r>
      <w:r w:rsidR="00773D69">
        <w:rPr>
          <w:lang w:val="en-GB" w:eastAsia="en-GB"/>
        </w:rPr>
        <w:t>ference in overlap of ranges</w:t>
      </w:r>
      <w:r w:rsidR="0022224A">
        <w:rPr>
          <w:lang w:val="en-GB" w:eastAsia="en-GB"/>
        </w:rPr>
        <w:t xml:space="preserve"> and there is a significant difference for at least one range of fusion values</w:t>
      </w:r>
      <w:r w:rsidR="00773D69">
        <w:rPr>
          <w:lang w:val="en-GB" w:eastAsia="en-GB"/>
        </w:rPr>
        <w:t xml:space="preserve">.  </w:t>
      </w:r>
      <w:r w:rsidR="00331EFD">
        <w:rPr>
          <w:lang w:val="en-GB" w:eastAsia="en-GB"/>
        </w:rPr>
        <w:t xml:space="preserve">Subsequent post-hoc Bonferroni tests were used to distinguish which epiphyses differed from each other.  </w:t>
      </w:r>
      <w:r w:rsidR="00DD0963">
        <w:rPr>
          <w:lang w:val="en-GB" w:eastAsia="en-GB"/>
        </w:rPr>
        <w:t>R</w:t>
      </w:r>
      <w:r w:rsidR="003A34BF">
        <w:rPr>
          <w:lang w:val="en-GB" w:eastAsia="en-GB"/>
        </w:rPr>
        <w:t>ather than excluding these from analysis, i</w:t>
      </w:r>
      <w:r w:rsidR="00FA0B52">
        <w:rPr>
          <w:lang w:val="en-GB" w:eastAsia="en-GB"/>
        </w:rPr>
        <w:t xml:space="preserve">t was decided to continue </w:t>
      </w:r>
      <w:r w:rsidR="00773D69">
        <w:rPr>
          <w:lang w:val="en-GB" w:eastAsia="en-GB"/>
        </w:rPr>
        <w:t>analysis with these epiphyses</w:t>
      </w:r>
      <w:r w:rsidR="00DD0963">
        <w:rPr>
          <w:lang w:val="en-GB" w:eastAsia="en-GB"/>
        </w:rPr>
        <w:t xml:space="preserve"> present</w:t>
      </w:r>
      <w:r w:rsidR="00FA0B52">
        <w:rPr>
          <w:lang w:val="en-GB" w:eastAsia="en-GB"/>
        </w:rPr>
        <w:t xml:space="preserve">.  </w:t>
      </w:r>
      <w:r w:rsidR="00DD0963">
        <w:rPr>
          <w:lang w:val="en-GB" w:eastAsia="en-GB"/>
        </w:rPr>
        <w:t xml:space="preserve">Post-hoc Bonferroni comparisons with these epiphyses may simply be accepted as less robust.  </w:t>
      </w:r>
      <w:r w:rsidR="00FA0B52">
        <w:rPr>
          <w:lang w:val="en-GB" w:eastAsia="en-GB"/>
        </w:rPr>
        <w:t>Non-parametric tests may subsequently be performed</w:t>
      </w:r>
      <w:r w:rsidR="00DD0963">
        <w:rPr>
          <w:lang w:val="en-GB" w:eastAsia="en-GB"/>
        </w:rPr>
        <w:t xml:space="preserve"> if necessary</w:t>
      </w:r>
      <w:r w:rsidR="00FA0B52">
        <w:rPr>
          <w:lang w:val="en-GB" w:eastAsia="en-GB"/>
        </w:rPr>
        <w:t xml:space="preserve">.  </w:t>
      </w:r>
      <w:r w:rsidR="007C4295">
        <w:rPr>
          <w:lang w:val="en-GB" w:eastAsia="en-GB"/>
        </w:rPr>
        <w:t>Figures 4.</w:t>
      </w:r>
      <w:r w:rsidR="00BF04B2">
        <w:rPr>
          <w:lang w:val="en-GB" w:eastAsia="en-GB"/>
        </w:rPr>
        <w:t>1</w:t>
      </w:r>
      <w:r w:rsidR="00C116C1">
        <w:rPr>
          <w:lang w:val="en-GB" w:eastAsia="en-GB"/>
        </w:rPr>
        <w:t>4</w:t>
      </w:r>
      <w:r w:rsidR="004001DB">
        <w:rPr>
          <w:lang w:val="en-GB" w:eastAsia="en-GB"/>
        </w:rPr>
        <w:t xml:space="preserve"> and 4.1</w:t>
      </w:r>
      <w:r w:rsidR="00C116C1">
        <w:rPr>
          <w:lang w:val="en-GB" w:eastAsia="en-GB"/>
        </w:rPr>
        <w:t>5</w:t>
      </w:r>
      <w:r w:rsidR="007C4295">
        <w:rPr>
          <w:lang w:val="en-GB" w:eastAsia="en-GB"/>
        </w:rPr>
        <w:t xml:space="preserve"> show mean values for all mid-fusion epiphyses in male and female </w:t>
      </w:r>
      <w:r w:rsidR="007C4295">
        <w:rPr>
          <w:i/>
          <w:lang w:val="en-GB" w:eastAsia="en-GB"/>
        </w:rPr>
        <w:t xml:space="preserve">Pan </w:t>
      </w:r>
      <w:proofErr w:type="gramStart"/>
      <w:r w:rsidR="007C4295">
        <w:rPr>
          <w:i/>
          <w:lang w:val="en-GB" w:eastAsia="en-GB"/>
        </w:rPr>
        <w:t>troglodytes</w:t>
      </w:r>
      <w:proofErr w:type="gramEnd"/>
      <w:r w:rsidR="007C4295">
        <w:rPr>
          <w:lang w:val="en-GB" w:eastAsia="en-GB"/>
        </w:rPr>
        <w:t>.</w:t>
      </w:r>
    </w:p>
    <w:p w:rsidR="00A35CA0" w:rsidRDefault="00930937" w:rsidP="00CA5FBB">
      <w:pPr>
        <w:rPr>
          <w:noProof/>
        </w:rPr>
      </w:pPr>
      <w:r>
        <w:rPr>
          <w:noProof/>
        </w:rPr>
        <w:t xml:space="preserve">It may be observed in </w:t>
      </w:r>
      <w:r w:rsidR="004928AE">
        <w:rPr>
          <w:noProof/>
        </w:rPr>
        <w:t>F</w:t>
      </w:r>
      <w:r>
        <w:rPr>
          <w:noProof/>
        </w:rPr>
        <w:t>igures</w:t>
      </w:r>
      <w:r w:rsidR="00C46807">
        <w:rPr>
          <w:noProof/>
        </w:rPr>
        <w:t xml:space="preserve"> 4.14 and 4.15 that the pattern</w:t>
      </w:r>
      <w:r>
        <w:rPr>
          <w:noProof/>
        </w:rPr>
        <w:t xml:space="preserve"> of fusion events </w:t>
      </w:r>
      <w:r w:rsidR="00C46807">
        <w:rPr>
          <w:noProof/>
        </w:rPr>
        <w:t xml:space="preserve">in </w:t>
      </w:r>
      <w:r>
        <w:rPr>
          <w:noProof/>
        </w:rPr>
        <w:t>males and females were generally the same with some exceptions.  Differences between sex will b</w:t>
      </w:r>
      <w:r w:rsidR="003F5040">
        <w:rPr>
          <w:noProof/>
        </w:rPr>
        <w:t>e considered in section 4.2.2c</w:t>
      </w:r>
      <w:r w:rsidRPr="002960E7">
        <w:rPr>
          <w:noProof/>
          <w:color w:val="000000" w:themeColor="text1"/>
        </w:rPr>
        <w:t>.</w:t>
      </w:r>
      <w:r>
        <w:rPr>
          <w:noProof/>
        </w:rPr>
        <w:t xml:space="preserve">  Post-hoc Bonferroni tests for determining which epiphyses significantly differed from each other</w:t>
      </w:r>
      <w:r w:rsidRPr="00322BC6">
        <w:rPr>
          <w:noProof/>
        </w:rPr>
        <w:t xml:space="preserve"> </w:t>
      </w:r>
      <w:r w:rsidR="00161AB8">
        <w:rPr>
          <w:noProof/>
        </w:rPr>
        <w:t xml:space="preserve">produced </w:t>
      </w:r>
      <w:r>
        <w:rPr>
          <w:noProof/>
        </w:rPr>
        <w:t xml:space="preserve">a large number of comparisons.  There were 36 epiphyses </w:t>
      </w:r>
      <w:r w:rsidR="005073BB">
        <w:rPr>
          <w:noProof/>
        </w:rPr>
        <w:t>for each sex.  All comparisons we</w:t>
      </w:r>
      <w:r>
        <w:rPr>
          <w:noProof/>
        </w:rPr>
        <w:t xml:space="preserve">re too numerous to </w:t>
      </w:r>
      <w:r w:rsidR="00461BB8">
        <w:rPr>
          <w:noProof/>
        </w:rPr>
        <w:t xml:space="preserve">provide </w:t>
      </w:r>
      <w:r>
        <w:rPr>
          <w:noProof/>
        </w:rPr>
        <w:t xml:space="preserve">here but these are available in </w:t>
      </w:r>
      <w:r w:rsidR="00461BB8">
        <w:rPr>
          <w:noProof/>
        </w:rPr>
        <w:t>T</w:t>
      </w:r>
      <w:r w:rsidR="00376D6D">
        <w:rPr>
          <w:noProof/>
        </w:rPr>
        <w:t>able 8.2.2</w:t>
      </w:r>
      <w:r>
        <w:rPr>
          <w:noProof/>
        </w:rPr>
        <w:t>.1</w:t>
      </w:r>
      <w:r w:rsidRPr="007D5376">
        <w:rPr>
          <w:noProof/>
        </w:rPr>
        <w:t xml:space="preserve"> </w:t>
      </w:r>
      <w:r>
        <w:rPr>
          <w:noProof/>
        </w:rPr>
        <w:t>of the</w:t>
      </w:r>
      <w:r w:rsidR="00376D6D">
        <w:rPr>
          <w:noProof/>
        </w:rPr>
        <w:t xml:space="preserve"> digital appendix (section 8.2.2</w:t>
      </w:r>
      <w:r>
        <w:rPr>
          <w:noProof/>
        </w:rPr>
        <w:t xml:space="preserve">).  A numbering legend for this table is presented in </w:t>
      </w:r>
      <w:r w:rsidR="00461BB8">
        <w:rPr>
          <w:noProof/>
        </w:rPr>
        <w:t>T</w:t>
      </w:r>
      <w:r w:rsidR="00376D6D">
        <w:rPr>
          <w:noProof/>
        </w:rPr>
        <w:t>able 8.2.2</w:t>
      </w:r>
      <w:r>
        <w:rPr>
          <w:noProof/>
        </w:rPr>
        <w:t xml:space="preserve">.2 in the digital appendix.  Significant overlaps and differences were found for all epiphysis.  To make sense of what these comparisons imply, an example will be considered.  Table 4.15 provides post-hoc Bonferroni comparisons for the proximal humerus in </w:t>
      </w:r>
      <w:r>
        <w:rPr>
          <w:i/>
          <w:noProof/>
        </w:rPr>
        <w:t>Pan troglodytes</w:t>
      </w:r>
      <w:r>
        <w:rPr>
          <w:noProof/>
        </w:rPr>
        <w:t xml:space="preserve"> females.</w:t>
      </w:r>
    </w:p>
    <w:p w:rsidR="00A35CA0" w:rsidRDefault="00B8526E" w:rsidP="00CA5FBB">
      <w:pPr>
        <w:tabs>
          <w:tab w:val="left" w:pos="360"/>
        </w:tabs>
        <w:spacing w:line="240" w:lineRule="auto"/>
        <w:jc w:val="center"/>
        <w:rPr>
          <w:noProof/>
        </w:rPr>
      </w:pPr>
      <w:r>
        <w:rPr>
          <w:noProof/>
          <w:lang w:val="en-GB" w:eastAsia="en-GB"/>
        </w:rPr>
        <w:lastRenderedPageBreak/>
        <w:drawing>
          <wp:inline distT="0" distB="0" distL="0" distR="0" wp14:anchorId="18B1BB0D" wp14:editId="7561B09F">
            <wp:extent cx="5791200" cy="494347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1200" cy="4943475"/>
                    </a:xfrm>
                    <a:prstGeom prst="rect">
                      <a:avLst/>
                    </a:prstGeom>
                    <a:noFill/>
                    <a:ln>
                      <a:noFill/>
                    </a:ln>
                  </pic:spPr>
                </pic:pic>
              </a:graphicData>
            </a:graphic>
          </wp:inline>
        </w:drawing>
      </w:r>
    </w:p>
    <w:p w:rsidR="00A35CA0" w:rsidRDefault="008943E4" w:rsidP="00CA5FBB">
      <w:pPr>
        <w:pStyle w:val="Caption"/>
        <w:rPr>
          <w:noProof/>
        </w:rPr>
      </w:pPr>
      <w:bookmarkStart w:id="505" w:name="_Toc373147474"/>
      <w:proofErr w:type="gramStart"/>
      <w:r w:rsidRPr="00CA5FBB">
        <w:rPr>
          <w:b/>
        </w:rPr>
        <w:t xml:space="preserve">Figure </w:t>
      </w:r>
      <w:r>
        <w:rPr>
          <w:b/>
        </w:rPr>
        <w:fldChar w:fldCharType="begin"/>
      </w:r>
      <w:r w:rsidR="00A54D06">
        <w:rPr>
          <w:b/>
        </w:rPr>
        <w:instrText xml:space="preserve"> STYLEREF 1 \s </w:instrText>
      </w:r>
      <w:r>
        <w:rPr>
          <w:b/>
        </w:rPr>
        <w:fldChar w:fldCharType="separate"/>
      </w:r>
      <w:r w:rsidR="00795735">
        <w:rPr>
          <w:b/>
          <w:noProof/>
        </w:rPr>
        <w:t>4</w:t>
      </w:r>
      <w:r>
        <w:rPr>
          <w:b/>
        </w:rPr>
        <w:fldChar w:fldCharType="end"/>
      </w:r>
      <w:r w:rsidR="00A54D06">
        <w:rPr>
          <w:b/>
        </w:rPr>
        <w:t>.</w:t>
      </w:r>
      <w:proofErr w:type="gramEnd"/>
      <w:r>
        <w:rPr>
          <w:b/>
        </w:rPr>
        <w:fldChar w:fldCharType="begin"/>
      </w:r>
      <w:r w:rsidR="00A54D06">
        <w:rPr>
          <w:b/>
        </w:rPr>
        <w:instrText xml:space="preserve"> SEQ Figure \* ARABIC \s 1 </w:instrText>
      </w:r>
      <w:r>
        <w:rPr>
          <w:b/>
        </w:rPr>
        <w:fldChar w:fldCharType="separate"/>
      </w:r>
      <w:r w:rsidR="00795735">
        <w:rPr>
          <w:b/>
          <w:noProof/>
        </w:rPr>
        <w:t>14</w:t>
      </w:r>
      <w:r>
        <w:rPr>
          <w:b/>
        </w:rPr>
        <w:fldChar w:fldCharType="end"/>
      </w:r>
      <w:r w:rsidR="00BF04B2">
        <w:rPr>
          <w:noProof/>
        </w:rPr>
        <w:t xml:space="preserve"> Mean values for all epiphyses at mid-fusion states for </w:t>
      </w:r>
      <w:r w:rsidR="00BF04B2">
        <w:rPr>
          <w:i/>
          <w:noProof/>
        </w:rPr>
        <w:t>Pan troglodytes</w:t>
      </w:r>
      <w:r w:rsidR="00BF04B2">
        <w:rPr>
          <w:noProof/>
        </w:rPr>
        <w:t xml:space="preserve"> females.</w:t>
      </w:r>
      <w:bookmarkEnd w:id="505"/>
    </w:p>
    <w:p w:rsidR="002E17E6" w:rsidRDefault="00B8526E" w:rsidP="002E17E6">
      <w:pPr>
        <w:tabs>
          <w:tab w:val="left" w:pos="360"/>
        </w:tabs>
        <w:spacing w:line="240" w:lineRule="auto"/>
        <w:rPr>
          <w:noProof/>
        </w:rPr>
      </w:pPr>
      <w:r>
        <w:rPr>
          <w:noProof/>
          <w:lang w:val="en-GB" w:eastAsia="en-GB"/>
        </w:rPr>
        <w:lastRenderedPageBreak/>
        <w:drawing>
          <wp:inline distT="0" distB="0" distL="0" distR="0" wp14:anchorId="3FC1A7DE" wp14:editId="0351BCE7">
            <wp:extent cx="5791200" cy="51625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200" cy="5162550"/>
                    </a:xfrm>
                    <a:prstGeom prst="rect">
                      <a:avLst/>
                    </a:prstGeom>
                    <a:noFill/>
                    <a:ln>
                      <a:noFill/>
                    </a:ln>
                  </pic:spPr>
                </pic:pic>
              </a:graphicData>
            </a:graphic>
          </wp:inline>
        </w:drawing>
      </w:r>
    </w:p>
    <w:p w:rsidR="00A35CA0" w:rsidRDefault="008943E4" w:rsidP="00CA5FBB">
      <w:pPr>
        <w:pStyle w:val="Caption"/>
        <w:rPr>
          <w:noProof/>
        </w:rPr>
      </w:pPr>
      <w:bookmarkStart w:id="506" w:name="_Toc373147475"/>
      <w:proofErr w:type="gramStart"/>
      <w:r w:rsidRPr="00CA5FBB">
        <w:rPr>
          <w:b/>
        </w:rPr>
        <w:t xml:space="preserve">Figure </w:t>
      </w:r>
      <w:r>
        <w:rPr>
          <w:b/>
        </w:rPr>
        <w:fldChar w:fldCharType="begin"/>
      </w:r>
      <w:r w:rsidR="00A54D06">
        <w:rPr>
          <w:b/>
        </w:rPr>
        <w:instrText xml:space="preserve"> STYLEREF 1 \s </w:instrText>
      </w:r>
      <w:r>
        <w:rPr>
          <w:b/>
        </w:rPr>
        <w:fldChar w:fldCharType="separate"/>
      </w:r>
      <w:r w:rsidR="00795735">
        <w:rPr>
          <w:b/>
          <w:noProof/>
        </w:rPr>
        <w:t>4</w:t>
      </w:r>
      <w:r>
        <w:rPr>
          <w:b/>
        </w:rPr>
        <w:fldChar w:fldCharType="end"/>
      </w:r>
      <w:r w:rsidR="00A54D06">
        <w:rPr>
          <w:b/>
        </w:rPr>
        <w:t>.</w:t>
      </w:r>
      <w:proofErr w:type="gramEnd"/>
      <w:r>
        <w:rPr>
          <w:b/>
        </w:rPr>
        <w:fldChar w:fldCharType="begin"/>
      </w:r>
      <w:r w:rsidR="00A54D06">
        <w:rPr>
          <w:b/>
        </w:rPr>
        <w:instrText xml:space="preserve"> SEQ Figure \* ARABIC \s 1 </w:instrText>
      </w:r>
      <w:r>
        <w:rPr>
          <w:b/>
        </w:rPr>
        <w:fldChar w:fldCharType="separate"/>
      </w:r>
      <w:r w:rsidR="00795735">
        <w:rPr>
          <w:b/>
          <w:noProof/>
        </w:rPr>
        <w:t>15</w:t>
      </w:r>
      <w:r>
        <w:rPr>
          <w:b/>
        </w:rPr>
        <w:fldChar w:fldCharType="end"/>
      </w:r>
      <w:r w:rsidR="00BF04B2">
        <w:rPr>
          <w:noProof/>
        </w:rPr>
        <w:t xml:space="preserve"> Mean values for all epiphyses at mid-fusion states for </w:t>
      </w:r>
      <w:r w:rsidR="00BF04B2">
        <w:rPr>
          <w:i/>
          <w:noProof/>
        </w:rPr>
        <w:t>Pan troglodytes</w:t>
      </w:r>
      <w:r w:rsidR="00BF04B2">
        <w:rPr>
          <w:noProof/>
        </w:rPr>
        <w:t xml:space="preserve"> females.</w:t>
      </w:r>
      <w:bookmarkEnd w:id="506"/>
    </w:p>
    <w:p w:rsidR="00930937" w:rsidRDefault="00930937">
      <w:pPr>
        <w:spacing w:before="0" w:after="200" w:line="276" w:lineRule="auto"/>
        <w:jc w:val="left"/>
        <w:rPr>
          <w:noProof/>
        </w:rPr>
      </w:pPr>
      <w:r>
        <w:rPr>
          <w:noProof/>
        </w:rPr>
        <w:br w:type="page"/>
      </w:r>
    </w:p>
    <w:p w:rsidR="002E17E6" w:rsidRDefault="00D03397" w:rsidP="00556B5B">
      <w:pPr>
        <w:tabs>
          <w:tab w:val="left" w:pos="360"/>
        </w:tabs>
        <w:spacing w:after="120" w:line="240" w:lineRule="auto"/>
        <w:rPr>
          <w:noProof/>
        </w:rPr>
      </w:pPr>
      <w:bookmarkStart w:id="507" w:name="_Toc373180159"/>
      <w:proofErr w:type="gramStart"/>
      <w:r w:rsidRPr="00997A01">
        <w:rPr>
          <w:b/>
        </w:rPr>
        <w:lastRenderedPageBreak/>
        <w:t xml:space="preserve">Table </w:t>
      </w:r>
      <w:r w:rsidR="008943E4">
        <w:rPr>
          <w:b/>
        </w:rPr>
        <w:fldChar w:fldCharType="begin"/>
      </w:r>
      <w:r>
        <w:rPr>
          <w:b/>
        </w:rPr>
        <w:instrText xml:space="preserve"> STYLEREF 1 \s </w:instrText>
      </w:r>
      <w:r w:rsidR="008943E4">
        <w:rPr>
          <w:b/>
        </w:rPr>
        <w:fldChar w:fldCharType="separate"/>
      </w:r>
      <w:r w:rsidR="00795735">
        <w:rPr>
          <w:b/>
          <w:noProof/>
        </w:rPr>
        <w:t>4</w:t>
      </w:r>
      <w:r w:rsidR="008943E4">
        <w:rPr>
          <w:b/>
        </w:rPr>
        <w:fldChar w:fldCharType="end"/>
      </w:r>
      <w:r>
        <w:rPr>
          <w:b/>
        </w:rPr>
        <w:t>.</w:t>
      </w:r>
      <w:proofErr w:type="gramEnd"/>
      <w:r w:rsidR="008943E4">
        <w:rPr>
          <w:b/>
        </w:rPr>
        <w:fldChar w:fldCharType="begin"/>
      </w:r>
      <w:r>
        <w:rPr>
          <w:b/>
        </w:rPr>
        <w:instrText xml:space="preserve"> SEQ Table \* ARABIC \s 1 </w:instrText>
      </w:r>
      <w:r w:rsidR="008943E4">
        <w:rPr>
          <w:b/>
        </w:rPr>
        <w:fldChar w:fldCharType="separate"/>
      </w:r>
      <w:r w:rsidR="00795735">
        <w:rPr>
          <w:b/>
          <w:noProof/>
        </w:rPr>
        <w:t>15</w:t>
      </w:r>
      <w:r w:rsidR="008943E4">
        <w:rPr>
          <w:b/>
        </w:rPr>
        <w:fldChar w:fldCharType="end"/>
      </w:r>
      <w:r>
        <w:rPr>
          <w:noProof/>
        </w:rPr>
        <w:t xml:space="preserve"> </w:t>
      </w:r>
      <w:r w:rsidR="00581980">
        <w:rPr>
          <w:noProof/>
        </w:rPr>
        <w:t xml:space="preserve">Post-hoc </w:t>
      </w:r>
      <w:r>
        <w:rPr>
          <w:noProof/>
        </w:rPr>
        <w:t xml:space="preserve">Bonferroni test of difference for the proximal humerus in </w:t>
      </w:r>
      <w:r>
        <w:rPr>
          <w:i/>
          <w:noProof/>
        </w:rPr>
        <w:t>Pan troglodytes</w:t>
      </w:r>
      <w:r>
        <w:rPr>
          <w:noProof/>
        </w:rPr>
        <w:t xml:space="preserve"> females.</w:t>
      </w:r>
      <w:bookmarkEnd w:id="507"/>
    </w:p>
    <w:tbl>
      <w:tblPr>
        <w:tblW w:w="9615" w:type="dxa"/>
        <w:jc w:val="center"/>
        <w:tblBorders>
          <w:top w:val="single" w:sz="4" w:space="0" w:color="auto"/>
          <w:bottom w:val="single" w:sz="4" w:space="0" w:color="auto"/>
        </w:tblBorders>
        <w:tblLook w:val="04A0" w:firstRow="1" w:lastRow="0" w:firstColumn="1" w:lastColumn="0" w:noHBand="0" w:noVBand="1"/>
      </w:tblPr>
      <w:tblGrid>
        <w:gridCol w:w="3159"/>
        <w:gridCol w:w="1724"/>
        <w:gridCol w:w="1309"/>
        <w:gridCol w:w="1285"/>
        <w:gridCol w:w="1069"/>
        <w:gridCol w:w="1069"/>
      </w:tblGrid>
      <w:tr w:rsidR="002E17E6" w:rsidRPr="00356D48" w:rsidTr="00CA5FBB">
        <w:trPr>
          <w:trHeight w:hRule="exact" w:val="284"/>
          <w:jc w:val="center"/>
        </w:trPr>
        <w:tc>
          <w:tcPr>
            <w:tcW w:w="3159" w:type="dxa"/>
            <w:vMerge w:val="restart"/>
            <w:tcBorders>
              <w:top w:val="single" w:sz="4" w:space="0" w:color="auto"/>
              <w:bottom w:val="nil"/>
            </w:tcBorders>
            <w:shd w:val="clear" w:color="000000" w:fill="FFFFFF"/>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(J) proximal humerus</w:t>
            </w:r>
          </w:p>
        </w:tc>
        <w:tc>
          <w:tcPr>
            <w:tcW w:w="1724" w:type="dxa"/>
            <w:vMerge w:val="restart"/>
            <w:tcBorders>
              <w:top w:val="single" w:sz="4" w:space="0" w:color="auto"/>
              <w:bottom w:val="nil"/>
            </w:tcBorders>
            <w:shd w:val="clear" w:color="000000" w:fill="FFFFFF"/>
            <w:vAlign w:val="center"/>
            <w:hideMark/>
          </w:tcPr>
          <w:p w:rsidR="00A35CA0" w:rsidRPr="00CA5FBB" w:rsidRDefault="00C25A39" w:rsidP="00CA5FBB">
            <w:pPr>
              <w:spacing w:before="0" w:line="240" w:lineRule="auto"/>
              <w:jc w:val="center"/>
              <w:rPr>
                <w:rFonts w:eastAsia="Times New Roman"/>
                <w:b/>
                <w:color w:val="000000"/>
                <w:lang w:val="en-GB" w:eastAsia="en-GB"/>
              </w:rPr>
            </w:pPr>
            <w:r>
              <w:rPr>
                <w:rFonts w:eastAsia="Times New Roman"/>
                <w:b/>
                <w:color w:val="000000"/>
                <w:lang w:val="en-GB" w:eastAsia="en-GB"/>
              </w:rPr>
              <w:t>m</w:t>
            </w:r>
            <w:r w:rsidR="008943E4" w:rsidRPr="00CA5FBB">
              <w:rPr>
                <w:rFonts w:eastAsia="Times New Roman"/>
                <w:b/>
                <w:color w:val="000000"/>
                <w:lang w:val="en-GB" w:eastAsia="en-GB"/>
              </w:rPr>
              <w:t xml:space="preserve">ean </w:t>
            </w:r>
            <w:r>
              <w:rPr>
                <w:rFonts w:eastAsia="Times New Roman"/>
                <w:b/>
                <w:color w:val="000000"/>
                <w:lang w:val="en-GB" w:eastAsia="en-GB"/>
              </w:rPr>
              <w:t>d</w:t>
            </w:r>
            <w:r w:rsidR="008943E4" w:rsidRPr="00CA5FBB">
              <w:rPr>
                <w:rFonts w:eastAsia="Times New Roman"/>
                <w:b/>
                <w:color w:val="000000"/>
                <w:lang w:val="en-GB" w:eastAsia="en-GB"/>
              </w:rPr>
              <w:t>ifference (I-J)</w:t>
            </w:r>
          </w:p>
        </w:tc>
        <w:tc>
          <w:tcPr>
            <w:tcW w:w="1309" w:type="dxa"/>
            <w:vMerge w:val="restart"/>
            <w:tcBorders>
              <w:top w:val="single" w:sz="4" w:space="0" w:color="auto"/>
              <w:bottom w:val="nil"/>
            </w:tcBorders>
            <w:shd w:val="clear" w:color="000000" w:fill="FFFFFF"/>
            <w:vAlign w:val="center"/>
            <w:hideMark/>
          </w:tcPr>
          <w:p w:rsidR="00A35CA0" w:rsidRPr="00CA5FBB" w:rsidRDefault="00C25A39" w:rsidP="00CA5FBB">
            <w:pPr>
              <w:spacing w:before="0" w:line="240" w:lineRule="auto"/>
              <w:jc w:val="center"/>
              <w:rPr>
                <w:rFonts w:eastAsia="Times New Roman"/>
                <w:b/>
                <w:color w:val="000000"/>
                <w:lang w:val="en-GB" w:eastAsia="en-GB"/>
              </w:rPr>
            </w:pPr>
            <w:r>
              <w:rPr>
                <w:rFonts w:eastAsia="Times New Roman"/>
                <w:b/>
                <w:color w:val="000000"/>
                <w:lang w:val="en-GB" w:eastAsia="en-GB"/>
              </w:rPr>
              <w:t>std. e</w:t>
            </w:r>
            <w:r w:rsidR="008943E4" w:rsidRPr="00CA5FBB">
              <w:rPr>
                <w:rFonts w:eastAsia="Times New Roman"/>
                <w:b/>
                <w:color w:val="000000"/>
                <w:lang w:val="en-GB" w:eastAsia="en-GB"/>
              </w:rPr>
              <w:t>rror</w:t>
            </w:r>
          </w:p>
        </w:tc>
        <w:tc>
          <w:tcPr>
            <w:tcW w:w="1285" w:type="dxa"/>
            <w:vMerge w:val="restart"/>
            <w:tcBorders>
              <w:top w:val="single" w:sz="4" w:space="0" w:color="auto"/>
              <w:bottom w:val="nil"/>
            </w:tcBorders>
            <w:shd w:val="clear" w:color="000000" w:fill="FFFFFF"/>
            <w:vAlign w:val="center"/>
            <w:hideMark/>
          </w:tcPr>
          <w:p w:rsidR="00A35CA0" w:rsidRPr="00CA5FBB" w:rsidRDefault="00C25A39"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ig.</w:t>
            </w:r>
          </w:p>
        </w:tc>
        <w:tc>
          <w:tcPr>
            <w:tcW w:w="2138" w:type="dxa"/>
            <w:gridSpan w:val="2"/>
            <w:tcBorders>
              <w:top w:val="single" w:sz="4" w:space="0" w:color="auto"/>
              <w:bottom w:val="nil"/>
            </w:tcBorders>
            <w:shd w:val="clear" w:color="000000" w:fill="FFFFFF"/>
            <w:vAlign w:val="center"/>
            <w:hideMark/>
          </w:tcPr>
          <w:p w:rsidR="00A35CA0" w:rsidRPr="00CA5FBB" w:rsidRDefault="00C25A39" w:rsidP="00CA5FBB">
            <w:pPr>
              <w:spacing w:before="0" w:line="240" w:lineRule="auto"/>
              <w:jc w:val="center"/>
              <w:rPr>
                <w:rFonts w:eastAsia="Times New Roman"/>
                <w:b/>
                <w:color w:val="000000"/>
                <w:lang w:val="en-GB" w:eastAsia="en-GB"/>
              </w:rPr>
            </w:pPr>
            <w:r>
              <w:rPr>
                <w:rFonts w:eastAsia="Times New Roman"/>
                <w:b/>
                <w:color w:val="000000"/>
                <w:lang w:val="en-GB" w:eastAsia="en-GB"/>
              </w:rPr>
              <w:t>95% c</w:t>
            </w:r>
            <w:r w:rsidR="008943E4" w:rsidRPr="00CA5FBB">
              <w:rPr>
                <w:rFonts w:eastAsia="Times New Roman"/>
                <w:b/>
                <w:color w:val="000000"/>
                <w:lang w:val="en-GB" w:eastAsia="en-GB"/>
              </w:rPr>
              <w:t>onfidence Interval</w:t>
            </w:r>
          </w:p>
        </w:tc>
      </w:tr>
      <w:tr w:rsidR="002E17E6" w:rsidRPr="00356D48" w:rsidTr="00CA5FBB">
        <w:trPr>
          <w:trHeight w:hRule="exact" w:val="284"/>
          <w:jc w:val="center"/>
        </w:trPr>
        <w:tc>
          <w:tcPr>
            <w:tcW w:w="3159" w:type="dxa"/>
            <w:vMerge/>
            <w:tcBorders>
              <w:top w:val="nil"/>
              <w:bottom w:val="single" w:sz="4" w:space="0" w:color="auto"/>
            </w:tcBorders>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1724" w:type="dxa"/>
            <w:vMerge/>
            <w:tcBorders>
              <w:top w:val="nil"/>
              <w:bottom w:val="single" w:sz="4" w:space="0" w:color="auto"/>
            </w:tcBorders>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1309" w:type="dxa"/>
            <w:vMerge/>
            <w:tcBorders>
              <w:top w:val="nil"/>
              <w:bottom w:val="single" w:sz="4" w:space="0" w:color="auto"/>
            </w:tcBorders>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1285" w:type="dxa"/>
            <w:vMerge/>
            <w:tcBorders>
              <w:top w:val="nil"/>
              <w:bottom w:val="single" w:sz="4" w:space="0" w:color="auto"/>
            </w:tcBorders>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1069" w:type="dxa"/>
            <w:tcBorders>
              <w:top w:val="nil"/>
              <w:bottom w:val="single" w:sz="4" w:space="0" w:color="auto"/>
            </w:tcBorders>
            <w:shd w:val="clear" w:color="000000" w:fill="FFFFFF"/>
            <w:vAlign w:val="center"/>
            <w:hideMark/>
          </w:tcPr>
          <w:p w:rsidR="00A35CA0" w:rsidRPr="00CA5FBB" w:rsidRDefault="00C25A39" w:rsidP="00CA5FBB">
            <w:pPr>
              <w:spacing w:before="0" w:line="240" w:lineRule="auto"/>
              <w:jc w:val="center"/>
              <w:rPr>
                <w:rFonts w:eastAsia="Times New Roman"/>
                <w:b/>
                <w:color w:val="000000"/>
                <w:lang w:val="en-GB" w:eastAsia="en-GB"/>
              </w:rPr>
            </w:pPr>
            <w:r>
              <w:rPr>
                <w:rFonts w:eastAsia="Times New Roman"/>
                <w:b/>
                <w:color w:val="000000"/>
                <w:lang w:val="en-GB" w:eastAsia="en-GB"/>
              </w:rPr>
              <w:t>l</w:t>
            </w:r>
            <w:r w:rsidR="008943E4" w:rsidRPr="00CA5FBB">
              <w:rPr>
                <w:rFonts w:eastAsia="Times New Roman"/>
                <w:b/>
                <w:color w:val="000000"/>
                <w:lang w:val="en-GB" w:eastAsia="en-GB"/>
              </w:rPr>
              <w:t>ower Bound</w:t>
            </w:r>
          </w:p>
        </w:tc>
        <w:tc>
          <w:tcPr>
            <w:tcW w:w="1069" w:type="dxa"/>
            <w:tcBorders>
              <w:top w:val="nil"/>
              <w:bottom w:val="single" w:sz="4" w:space="0" w:color="auto"/>
            </w:tcBorders>
            <w:shd w:val="clear" w:color="000000" w:fill="FFFFFF"/>
            <w:vAlign w:val="center"/>
            <w:hideMark/>
          </w:tcPr>
          <w:p w:rsidR="00A35CA0" w:rsidRPr="00CA5FBB" w:rsidRDefault="00C25A39" w:rsidP="00CA5FBB">
            <w:pPr>
              <w:spacing w:before="0" w:line="240" w:lineRule="auto"/>
              <w:jc w:val="center"/>
              <w:rPr>
                <w:rFonts w:eastAsia="Times New Roman"/>
                <w:b/>
                <w:color w:val="000000"/>
                <w:lang w:val="en-GB" w:eastAsia="en-GB"/>
              </w:rPr>
            </w:pPr>
            <w:r>
              <w:rPr>
                <w:rFonts w:eastAsia="Times New Roman"/>
                <w:b/>
                <w:color w:val="000000"/>
                <w:lang w:val="en-GB" w:eastAsia="en-GB"/>
              </w:rPr>
              <w:t>u</w:t>
            </w:r>
            <w:r w:rsidR="008943E4" w:rsidRPr="00CA5FBB">
              <w:rPr>
                <w:rFonts w:eastAsia="Times New Roman"/>
                <w:b/>
                <w:color w:val="000000"/>
                <w:lang w:val="en-GB" w:eastAsia="en-GB"/>
              </w:rPr>
              <w:t>pper Bound</w:t>
            </w:r>
          </w:p>
        </w:tc>
      </w:tr>
      <w:tr w:rsidR="002E17E6" w:rsidRPr="00356D48" w:rsidTr="00CA5FBB">
        <w:trPr>
          <w:trHeight w:hRule="exact" w:val="284"/>
          <w:jc w:val="center"/>
        </w:trPr>
        <w:tc>
          <w:tcPr>
            <w:tcW w:w="3159" w:type="dxa"/>
            <w:tcBorders>
              <w:top w:val="single" w:sz="4" w:space="0" w:color="auto"/>
            </w:tcBorders>
            <w:shd w:val="clear" w:color="000000" w:fill="FFFFFF"/>
            <w:vAlign w:val="center"/>
            <w:hideMark/>
          </w:tcPr>
          <w:p w:rsidR="00A35CA0" w:rsidRDefault="00FB5ED4" w:rsidP="00CA5FBB">
            <w:pPr>
              <w:spacing w:before="0" w:line="240" w:lineRule="auto"/>
              <w:rPr>
                <w:rFonts w:eastAsia="Times New Roman"/>
                <w:color w:val="000000"/>
                <w:lang w:val="en-GB" w:eastAsia="en-GB"/>
              </w:rPr>
            </w:pPr>
            <w:r>
              <w:rPr>
                <w:rFonts w:eastAsia="Times New Roman"/>
                <w:color w:val="000000"/>
                <w:lang w:val="en-GB" w:eastAsia="en-GB"/>
              </w:rPr>
              <w:t>distal humerus</w:t>
            </w:r>
          </w:p>
        </w:tc>
        <w:tc>
          <w:tcPr>
            <w:tcW w:w="1724" w:type="dxa"/>
            <w:tcBorders>
              <w:top w:val="single" w:sz="4" w:space="0" w:color="auto"/>
            </w:tcBorders>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2.66333</w:t>
            </w:r>
            <w:r w:rsidRPr="00356D48">
              <w:rPr>
                <w:rFonts w:eastAsia="Times New Roman"/>
                <w:color w:val="000000"/>
                <w:vertAlign w:val="superscript"/>
                <w:lang w:val="en-GB" w:eastAsia="en-GB"/>
              </w:rPr>
              <w:t>*</w:t>
            </w:r>
          </w:p>
        </w:tc>
        <w:tc>
          <w:tcPr>
            <w:tcW w:w="1309" w:type="dxa"/>
            <w:tcBorders>
              <w:top w:val="single" w:sz="4" w:space="0" w:color="auto"/>
            </w:tcBorders>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0.22262</w:t>
            </w:r>
          </w:p>
        </w:tc>
        <w:tc>
          <w:tcPr>
            <w:tcW w:w="1285" w:type="dxa"/>
            <w:tcBorders>
              <w:top w:val="single" w:sz="4" w:space="0" w:color="auto"/>
            </w:tcBorders>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sidR="003564FD">
              <w:rPr>
                <w:rFonts w:eastAsia="Times New Roman"/>
                <w:color w:val="000000"/>
                <w:lang w:val="en-GB" w:eastAsia="en-GB"/>
              </w:rPr>
              <w:t>.000</w:t>
            </w:r>
          </w:p>
        </w:tc>
        <w:tc>
          <w:tcPr>
            <w:tcW w:w="1069" w:type="dxa"/>
            <w:tcBorders>
              <w:top w:val="single" w:sz="4" w:space="0" w:color="auto"/>
            </w:tcBorders>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1.7747</w:t>
            </w:r>
          </w:p>
        </w:tc>
        <w:tc>
          <w:tcPr>
            <w:tcW w:w="1069" w:type="dxa"/>
            <w:tcBorders>
              <w:top w:val="single" w:sz="4" w:space="0" w:color="auto"/>
            </w:tcBorders>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3.552</w:t>
            </w:r>
          </w:p>
        </w:tc>
      </w:tr>
      <w:tr w:rsidR="002E17E6" w:rsidRPr="00356D48" w:rsidTr="00CA5FBB">
        <w:trPr>
          <w:trHeight w:hRule="exact" w:val="284"/>
          <w:jc w:val="center"/>
        </w:trPr>
        <w:tc>
          <w:tcPr>
            <w:tcW w:w="3159" w:type="dxa"/>
            <w:shd w:val="clear" w:color="000000" w:fill="FFFFFF"/>
            <w:vAlign w:val="center"/>
            <w:hideMark/>
          </w:tcPr>
          <w:p w:rsidR="00A35CA0" w:rsidRDefault="00AA6F14" w:rsidP="00CA5FBB">
            <w:pPr>
              <w:spacing w:before="0" w:line="240" w:lineRule="auto"/>
              <w:rPr>
                <w:rFonts w:eastAsia="Times New Roman"/>
                <w:color w:val="000000"/>
                <w:lang w:val="en-GB" w:eastAsia="en-GB"/>
              </w:rPr>
            </w:pPr>
            <w:r>
              <w:rPr>
                <w:rFonts w:eastAsia="Times New Roman"/>
                <w:color w:val="000000"/>
                <w:lang w:val="en-GB" w:eastAsia="en-GB"/>
              </w:rPr>
              <w:t xml:space="preserve">humeral </w:t>
            </w:r>
            <w:r w:rsidR="002E17E6">
              <w:rPr>
                <w:rFonts w:eastAsia="Times New Roman"/>
                <w:color w:val="000000"/>
                <w:lang w:val="en-GB" w:eastAsia="en-GB"/>
              </w:rPr>
              <w:t>medial epicondyle</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2.12667</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0.21347</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1.2745</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2.9788</w:t>
            </w:r>
          </w:p>
        </w:tc>
      </w:tr>
      <w:tr w:rsidR="002E17E6" w:rsidRPr="00356D48" w:rsidTr="00CA5FBB">
        <w:trPr>
          <w:trHeight w:hRule="exact" w:val="284"/>
          <w:jc w:val="center"/>
        </w:trPr>
        <w:tc>
          <w:tcPr>
            <w:tcW w:w="3159" w:type="dxa"/>
            <w:shd w:val="clear" w:color="000000" w:fill="FFFFFF"/>
            <w:vAlign w:val="center"/>
            <w:hideMark/>
          </w:tcPr>
          <w:p w:rsidR="00A35CA0" w:rsidRDefault="002E17E6" w:rsidP="00CA5FBB">
            <w:pPr>
              <w:spacing w:before="0" w:line="240" w:lineRule="auto"/>
              <w:rPr>
                <w:rFonts w:eastAsia="Times New Roman"/>
                <w:color w:val="000000"/>
                <w:lang w:val="en-GB" w:eastAsia="en-GB"/>
              </w:rPr>
            </w:pPr>
            <w:r>
              <w:rPr>
                <w:rFonts w:eastAsia="Times New Roman"/>
                <w:color w:val="000000"/>
                <w:lang w:val="en-GB" w:eastAsia="en-GB"/>
              </w:rPr>
              <w:t>proximal radius</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.97083</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0.1939</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0.001</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0.1968</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1.7448</w:t>
            </w:r>
          </w:p>
        </w:tc>
      </w:tr>
      <w:tr w:rsidR="002E17E6" w:rsidRPr="00356D48" w:rsidTr="00CA5FBB">
        <w:trPr>
          <w:trHeight w:hRule="exact" w:val="284"/>
          <w:jc w:val="center"/>
        </w:trPr>
        <w:tc>
          <w:tcPr>
            <w:tcW w:w="3159" w:type="dxa"/>
            <w:shd w:val="clear" w:color="000000" w:fill="FFFFFF"/>
            <w:vAlign w:val="center"/>
            <w:hideMark/>
          </w:tcPr>
          <w:p w:rsidR="00A35CA0" w:rsidRDefault="002E17E6" w:rsidP="00CA5FBB">
            <w:pPr>
              <w:spacing w:before="0" w:line="240" w:lineRule="auto"/>
              <w:rPr>
                <w:rFonts w:eastAsia="Times New Roman"/>
                <w:color w:val="000000"/>
                <w:lang w:val="en-GB" w:eastAsia="en-GB"/>
              </w:rPr>
            </w:pPr>
            <w:r>
              <w:rPr>
                <w:rFonts w:eastAsia="Times New Roman"/>
                <w:color w:val="000000"/>
                <w:lang w:val="en-GB" w:eastAsia="en-GB"/>
              </w:rPr>
              <w:t>distal radius</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-0.38137</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0.17481</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sidR="003564FD">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-1.0792</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0.3164</w:t>
            </w:r>
          </w:p>
        </w:tc>
      </w:tr>
      <w:tr w:rsidR="002E17E6" w:rsidRPr="00356D48" w:rsidTr="00CA5FBB">
        <w:trPr>
          <w:trHeight w:hRule="exact" w:val="284"/>
          <w:jc w:val="center"/>
        </w:trPr>
        <w:tc>
          <w:tcPr>
            <w:tcW w:w="3159" w:type="dxa"/>
            <w:shd w:val="clear" w:color="000000" w:fill="FFFFFF"/>
            <w:vAlign w:val="center"/>
            <w:hideMark/>
          </w:tcPr>
          <w:p w:rsidR="00A35CA0" w:rsidRDefault="00852A97" w:rsidP="00CA5FBB">
            <w:pPr>
              <w:spacing w:before="0" w:line="240" w:lineRule="auto"/>
              <w:rPr>
                <w:rFonts w:eastAsia="Times New Roman"/>
                <w:color w:val="000000"/>
                <w:lang w:val="en-GB" w:eastAsia="en-GB"/>
              </w:rPr>
            </w:pPr>
            <w:r>
              <w:rPr>
                <w:rFonts w:eastAsia="Times New Roman"/>
                <w:color w:val="000000"/>
                <w:lang w:val="en-GB" w:eastAsia="en-GB"/>
              </w:rPr>
              <w:t>p</w:t>
            </w:r>
            <w:r w:rsidR="002E17E6">
              <w:rPr>
                <w:rFonts w:eastAsia="Times New Roman"/>
                <w:color w:val="000000"/>
                <w:lang w:val="en-GB" w:eastAsia="en-GB"/>
              </w:rPr>
              <w:t>roximal ulna</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1.47667</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0.24803</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0.4866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2.4668</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d</w:t>
            </w:r>
            <w:r w:rsidR="002E17E6">
              <w:rPr>
                <w:rFonts w:eastAsia="Times New Roman"/>
                <w:color w:val="000000"/>
                <w:lang w:val="en-GB" w:eastAsia="en-GB"/>
              </w:rPr>
              <w:t>istal ulna</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-0.37604</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0.17781</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sidR="003564FD">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-1.0858</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0.3337</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d</w:t>
            </w:r>
            <w:r w:rsidR="002E17E6">
              <w:rPr>
                <w:rFonts w:eastAsia="Times New Roman"/>
                <w:color w:val="000000"/>
                <w:lang w:val="en-GB" w:eastAsia="en-GB"/>
              </w:rPr>
              <w:t>istal phalanges (hand)</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1.97667</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0.33071</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0.6565</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3.2968</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b</w:t>
            </w:r>
            <w:r w:rsidR="002E17E6">
              <w:rPr>
                <w:rFonts w:eastAsia="Times New Roman"/>
                <w:color w:val="000000"/>
                <w:lang w:val="en-GB" w:eastAsia="en-GB"/>
              </w:rPr>
              <w:t>ase of metacarpal 1 (hand)</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.94833</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0.22262</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0.016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0.0597</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1.837</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p</w:t>
            </w:r>
            <w:r w:rsidR="002E17E6">
              <w:rPr>
                <w:rFonts w:eastAsia="Times New Roman"/>
                <w:color w:val="000000"/>
                <w:lang w:val="en-GB" w:eastAsia="en-GB"/>
              </w:rPr>
              <w:t>roximal and middle phalanges (hand)</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1.42697</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0.19943</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sidR="003564FD">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0.6309</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2.223</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h</w:t>
            </w:r>
            <w:r w:rsidR="002E17E6">
              <w:rPr>
                <w:rFonts w:eastAsia="Times New Roman"/>
                <w:color w:val="000000"/>
                <w:lang w:val="en-GB" w:eastAsia="en-GB"/>
              </w:rPr>
              <w:t>eads of metacarpals 2-5</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0.71111</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0.21347</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0.601</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-0.141</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1.5633</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f</w:t>
            </w:r>
            <w:r w:rsidR="002E17E6">
              <w:rPr>
                <w:rFonts w:eastAsia="Times New Roman"/>
                <w:color w:val="000000"/>
                <w:lang w:val="en-GB" w:eastAsia="en-GB"/>
              </w:rPr>
              <w:t>emoral head</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.87606</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0.19943</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0.009</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0.08</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1.6721</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g</w:t>
            </w:r>
            <w:r w:rsidR="002E17E6">
              <w:rPr>
                <w:rFonts w:eastAsia="Times New Roman"/>
                <w:color w:val="000000"/>
                <w:lang w:val="en-GB" w:eastAsia="en-GB"/>
              </w:rPr>
              <w:t>reater trochanter</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1.09970</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0.19943</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sidR="003564FD">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0.3036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1.8958</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l</w:t>
            </w:r>
            <w:r w:rsidR="002E17E6">
              <w:rPr>
                <w:rFonts w:eastAsia="Times New Roman"/>
                <w:color w:val="000000"/>
                <w:lang w:val="en-GB" w:eastAsia="en-GB"/>
              </w:rPr>
              <w:t>esser trochanter</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1.18133</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0.26663</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0.008</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0.117</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2.2457</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d</w:t>
            </w:r>
            <w:r w:rsidR="002E17E6">
              <w:rPr>
                <w:rFonts w:eastAsia="Times New Roman"/>
                <w:color w:val="000000"/>
                <w:lang w:val="en-GB" w:eastAsia="en-GB"/>
              </w:rPr>
              <w:t>istal femur</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-0.12143</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0.16536</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sidR="003564FD">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-0.7815</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0.5386</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p</w:t>
            </w:r>
            <w:r w:rsidR="002E17E6">
              <w:rPr>
                <w:rFonts w:eastAsia="Times New Roman"/>
                <w:color w:val="000000"/>
                <w:lang w:val="en-GB" w:eastAsia="en-GB"/>
              </w:rPr>
              <w:t>roximal tibia</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-0.04048</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0.16536</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-0.7005</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0.6196</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d</w:t>
            </w:r>
            <w:r w:rsidR="002E17E6">
              <w:rPr>
                <w:rFonts w:eastAsia="Times New Roman"/>
                <w:color w:val="000000"/>
                <w:lang w:val="en-GB" w:eastAsia="en-GB"/>
              </w:rPr>
              <w:t>istal tibia</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0.17405</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0.18487</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-0.5639</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0.912</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p</w:t>
            </w:r>
            <w:r w:rsidR="002E17E6">
              <w:rPr>
                <w:rFonts w:eastAsia="Times New Roman"/>
                <w:color w:val="000000"/>
                <w:lang w:val="en-GB" w:eastAsia="en-GB"/>
              </w:rPr>
              <w:t>roximal fibula</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-0.05979</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0.17781</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-0.7696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0.65</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d</w:t>
            </w:r>
            <w:r w:rsidR="002E17E6">
              <w:rPr>
                <w:rFonts w:eastAsia="Times New Roman"/>
                <w:color w:val="000000"/>
                <w:lang w:val="en-GB" w:eastAsia="en-GB"/>
              </w:rPr>
              <w:t>istal fibula</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0.36433</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0.20587</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-0.4574</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1.1861</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tri</w:t>
            </w:r>
            <w:r w:rsidR="002E17E6">
              <w:rPr>
                <w:rFonts w:eastAsia="Times New Roman"/>
                <w:color w:val="000000"/>
                <w:lang w:val="en-GB" w:eastAsia="en-GB"/>
              </w:rPr>
              <w:t>radiate</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1.97111</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0.21347</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1.119</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2.8233</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a</w:t>
            </w:r>
            <w:r w:rsidR="002E17E6">
              <w:rPr>
                <w:rFonts w:eastAsia="Times New Roman"/>
                <w:color w:val="000000"/>
                <w:lang w:val="en-GB" w:eastAsia="en-GB"/>
              </w:rPr>
              <w:t>nterior inferior iliac spine</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0.99833</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0.39651</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-0.5845</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2.5811</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i</w:t>
            </w:r>
            <w:r w:rsidR="002E17E6">
              <w:rPr>
                <w:rFonts w:eastAsia="Times New Roman"/>
                <w:color w:val="000000"/>
                <w:lang w:val="en-GB" w:eastAsia="en-GB"/>
              </w:rPr>
              <w:t>liac crest</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-.76567</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0.16741</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0.004</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-1.4339</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-0.0974</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i</w:t>
            </w:r>
            <w:r w:rsidR="002E17E6">
              <w:rPr>
                <w:rFonts w:eastAsia="Times New Roman"/>
                <w:color w:val="000000"/>
                <w:lang w:val="en-GB" w:eastAsia="en-GB"/>
              </w:rPr>
              <w:t>schial epiphysis</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-0.35333</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0.17211</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-1.0404</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0.3337</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c</w:t>
            </w:r>
            <w:r w:rsidR="002E17E6">
              <w:rPr>
                <w:rFonts w:eastAsia="Times New Roman"/>
                <w:color w:val="000000"/>
                <w:lang w:val="en-GB" w:eastAsia="en-GB"/>
              </w:rPr>
              <w:t>alcaneus</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1.37833</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0.22262</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0.4897</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2.267</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t</w:t>
            </w:r>
            <w:r w:rsidR="002E17E6">
              <w:rPr>
                <w:rFonts w:eastAsia="Times New Roman"/>
                <w:color w:val="000000"/>
                <w:lang w:val="en-GB" w:eastAsia="en-GB"/>
              </w:rPr>
              <w:t>alus</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1.86333</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0.33071</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0.5432</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3.1835</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d</w:t>
            </w:r>
            <w:r w:rsidR="002E17E6">
              <w:rPr>
                <w:rFonts w:eastAsia="Times New Roman"/>
                <w:color w:val="000000"/>
                <w:lang w:val="en-GB" w:eastAsia="en-GB"/>
              </w:rPr>
              <w:t>istal phalanges (foot)</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1.47000</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0.1939</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0.696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2.244</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m</w:t>
            </w:r>
            <w:r w:rsidR="002E17E6">
              <w:rPr>
                <w:rFonts w:eastAsia="Times New Roman"/>
                <w:color w:val="000000"/>
                <w:lang w:val="en-GB" w:eastAsia="en-GB"/>
              </w:rPr>
              <w:t>iddle phalanges (foot</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1.17970</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0.19943</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0.3836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1.9758</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m</w:t>
            </w:r>
            <w:r w:rsidR="002E17E6">
              <w:rPr>
                <w:rFonts w:eastAsia="Times New Roman"/>
                <w:color w:val="000000"/>
                <w:lang w:val="en-GB" w:eastAsia="en-GB"/>
              </w:rPr>
              <w:t>etatarsal heads 2-5</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.81067</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0.18114</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0.006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0.0876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1.5337</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p</w:t>
            </w:r>
            <w:r w:rsidR="002E17E6">
              <w:rPr>
                <w:rFonts w:eastAsia="Times New Roman"/>
                <w:color w:val="000000"/>
                <w:lang w:val="en-GB" w:eastAsia="en-GB"/>
              </w:rPr>
              <w:t>roximal phalanges (foot)</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1.25083</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0.22262</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0.3622</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2.1395</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b</w:t>
            </w:r>
            <w:r w:rsidR="002E17E6">
              <w:rPr>
                <w:rFonts w:eastAsia="Times New Roman"/>
                <w:color w:val="000000"/>
                <w:lang w:val="en-GB" w:eastAsia="en-GB"/>
              </w:rPr>
              <w:t>ase of metatarsal 1</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0.86208</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0.22262</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0.08</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-0.0266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1.7507</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m</w:t>
            </w:r>
            <w:r w:rsidR="002E17E6">
              <w:rPr>
                <w:rFonts w:eastAsia="Times New Roman"/>
                <w:color w:val="000000"/>
                <w:lang w:val="en-GB" w:eastAsia="en-GB"/>
              </w:rPr>
              <w:t>edial clavicle</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-0.10667</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0.23385</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-1.0401</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0.8268</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l</w:t>
            </w:r>
            <w:r w:rsidR="002E17E6">
              <w:rPr>
                <w:rFonts w:eastAsia="Times New Roman"/>
                <w:color w:val="000000"/>
                <w:lang w:val="en-GB" w:eastAsia="en-GB"/>
              </w:rPr>
              <w:t>ateral clavicle</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0.55333</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0.29231</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-0.6135</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1.7202</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c</w:t>
            </w:r>
            <w:r w:rsidR="002E17E6">
              <w:rPr>
                <w:rFonts w:eastAsia="Times New Roman"/>
                <w:color w:val="000000"/>
                <w:lang w:val="en-GB" w:eastAsia="en-GB"/>
              </w:rPr>
              <w:t>oracoid</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1.83433</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0.20587</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1.0126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2.6561</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s</w:t>
            </w:r>
            <w:r w:rsidR="002E17E6">
              <w:rPr>
                <w:rFonts w:eastAsia="Times New Roman"/>
                <w:color w:val="000000"/>
                <w:lang w:val="en-GB" w:eastAsia="en-GB"/>
              </w:rPr>
              <w:t>ub-coracoid and glenoid</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2.03583</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0.22262</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1.1472</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2.9245</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a</w:t>
            </w:r>
            <w:r w:rsidR="002E17E6">
              <w:rPr>
                <w:rFonts w:eastAsia="Times New Roman"/>
                <w:color w:val="000000"/>
                <w:lang w:val="en-GB" w:eastAsia="en-GB"/>
              </w:rPr>
              <w:t>cromium</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-0.48078</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0.17481</w:t>
            </w:r>
          </w:p>
        </w:tc>
        <w:tc>
          <w:tcPr>
            <w:tcW w:w="1285" w:type="dxa"/>
            <w:shd w:val="clear" w:color="000000" w:fill="FFFFFF"/>
            <w:vAlign w:val="center"/>
            <w:hideMark/>
          </w:tcPr>
          <w:p w:rsidR="00A35CA0" w:rsidRDefault="003564FD"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w:t>
            </w:r>
            <w:r>
              <w:rPr>
                <w:rFonts w:eastAsia="Times New Roman"/>
                <w:color w:val="000000"/>
                <w:lang w:val="en-GB" w:eastAsia="en-GB"/>
              </w:rPr>
              <w:t>.000</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-1.1786</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0.217</w:t>
            </w:r>
          </w:p>
        </w:tc>
      </w:tr>
      <w:tr w:rsidR="002E17E6" w:rsidRPr="00356D48" w:rsidTr="00CA5FBB">
        <w:trPr>
          <w:trHeight w:hRule="exact" w:val="284"/>
          <w:jc w:val="center"/>
        </w:trPr>
        <w:tc>
          <w:tcPr>
            <w:tcW w:w="3159" w:type="dxa"/>
            <w:shd w:val="clear" w:color="000000" w:fill="FFFFFF"/>
            <w:vAlign w:val="center"/>
            <w:hideMark/>
          </w:tcPr>
          <w:p w:rsidR="00A35CA0" w:rsidRDefault="00A13CB0" w:rsidP="00CA5FBB">
            <w:pPr>
              <w:spacing w:before="0" w:line="240" w:lineRule="auto"/>
              <w:rPr>
                <w:rFonts w:eastAsia="Times New Roman"/>
                <w:color w:val="000000"/>
                <w:lang w:val="en-GB" w:eastAsia="en-GB"/>
              </w:rPr>
            </w:pPr>
            <w:r>
              <w:rPr>
                <w:rFonts w:eastAsia="Times New Roman"/>
                <w:color w:val="000000"/>
                <w:lang w:val="en-GB" w:eastAsia="en-GB"/>
              </w:rPr>
              <w:t>m</w:t>
            </w:r>
            <w:r w:rsidR="002E17E6">
              <w:rPr>
                <w:rFonts w:eastAsia="Times New Roman"/>
                <w:color w:val="000000"/>
                <w:lang w:val="en-GB" w:eastAsia="en-GB"/>
              </w:rPr>
              <w:t>edial border</w:t>
            </w:r>
          </w:p>
        </w:tc>
        <w:tc>
          <w:tcPr>
            <w:tcW w:w="1724"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-.87267</w:t>
            </w:r>
            <w:r w:rsidRPr="00356D48">
              <w:rPr>
                <w:rFonts w:eastAsia="Times New Roman"/>
                <w:color w:val="000000"/>
                <w:vertAlign w:val="superscript"/>
                <w:lang w:val="en-GB" w:eastAsia="en-GB"/>
              </w:rPr>
              <w:t>*</w:t>
            </w:r>
          </w:p>
        </w:tc>
        <w:tc>
          <w:tcPr>
            <w:tcW w:w="130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0.20587</w:t>
            </w:r>
          </w:p>
        </w:tc>
        <w:tc>
          <w:tcPr>
            <w:tcW w:w="1285"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0.018</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-1.6944</w:t>
            </w:r>
          </w:p>
        </w:tc>
        <w:tc>
          <w:tcPr>
            <w:tcW w:w="1069" w:type="dxa"/>
            <w:shd w:val="clear" w:color="000000" w:fill="FFFFFF"/>
            <w:vAlign w:val="center"/>
            <w:hideMark/>
          </w:tcPr>
          <w:p w:rsidR="00A35CA0" w:rsidRDefault="002E17E6" w:rsidP="00CA5FBB">
            <w:pPr>
              <w:spacing w:before="0" w:line="240" w:lineRule="auto"/>
              <w:jc w:val="center"/>
              <w:rPr>
                <w:rFonts w:eastAsia="Times New Roman"/>
                <w:color w:val="000000"/>
                <w:sz w:val="24"/>
                <w:szCs w:val="24"/>
                <w:lang w:val="en-GB" w:eastAsia="en-GB"/>
              </w:rPr>
            </w:pPr>
            <w:r w:rsidRPr="00356D48">
              <w:rPr>
                <w:rFonts w:eastAsia="Times New Roman"/>
                <w:color w:val="000000"/>
                <w:lang w:val="en-GB" w:eastAsia="en-GB"/>
              </w:rPr>
              <w:t>-0.0509</w:t>
            </w:r>
          </w:p>
        </w:tc>
      </w:tr>
    </w:tbl>
    <w:p w:rsidR="00F4766A" w:rsidRDefault="00F4766A">
      <w:pPr>
        <w:spacing w:before="0" w:after="200" w:line="276" w:lineRule="auto"/>
        <w:jc w:val="left"/>
        <w:rPr>
          <w:noProof/>
        </w:rPr>
      </w:pPr>
      <w:r>
        <w:rPr>
          <w:noProof/>
        </w:rPr>
        <w:br w:type="page"/>
      </w:r>
    </w:p>
    <w:p w:rsidR="00A35CA0" w:rsidRDefault="00C116C1" w:rsidP="00CA5FBB">
      <w:pPr>
        <w:rPr>
          <w:noProof/>
        </w:rPr>
      </w:pPr>
      <w:r>
        <w:rPr>
          <w:noProof/>
        </w:rPr>
        <w:lastRenderedPageBreak/>
        <w:t xml:space="preserve">As observed in </w:t>
      </w:r>
      <w:r w:rsidR="00B829A1">
        <w:rPr>
          <w:noProof/>
        </w:rPr>
        <w:t>F</w:t>
      </w:r>
      <w:r>
        <w:rPr>
          <w:noProof/>
        </w:rPr>
        <w:t>igures 4.14</w:t>
      </w:r>
      <w:r w:rsidR="00B829A1">
        <w:rPr>
          <w:noProof/>
        </w:rPr>
        <w:t xml:space="preserve"> and 4.15</w:t>
      </w:r>
      <w:r w:rsidR="00391F96">
        <w:rPr>
          <w:noProof/>
        </w:rPr>
        <w:t>, the proximal humerus is a relatively late</w:t>
      </w:r>
      <w:r w:rsidR="001D734B">
        <w:rPr>
          <w:noProof/>
        </w:rPr>
        <w:t>-fusing</w:t>
      </w:r>
      <w:r w:rsidR="00391F96">
        <w:rPr>
          <w:noProof/>
        </w:rPr>
        <w:t xml:space="preserve"> epiphysis in terms of mean epiphyseal fusion score but does not appear to be the last.  </w:t>
      </w:r>
      <w:r w:rsidR="0054487F">
        <w:rPr>
          <w:noProof/>
        </w:rPr>
        <w:t xml:space="preserve">When compared to </w:t>
      </w:r>
      <w:r w:rsidR="0070088D">
        <w:rPr>
          <w:noProof/>
        </w:rPr>
        <w:t>th</w:t>
      </w:r>
      <w:r w:rsidR="00391F96">
        <w:rPr>
          <w:noProof/>
        </w:rPr>
        <w:t>is epiphysis</w:t>
      </w:r>
      <w:r w:rsidR="0070088D">
        <w:rPr>
          <w:noProof/>
        </w:rPr>
        <w:t xml:space="preserve">, </w:t>
      </w:r>
      <w:r w:rsidR="00B15D9E" w:rsidRPr="0070088D">
        <w:rPr>
          <w:noProof/>
        </w:rPr>
        <w:t>14</w:t>
      </w:r>
      <w:r w:rsidR="00F528FB">
        <w:rPr>
          <w:noProof/>
        </w:rPr>
        <w:t xml:space="preserve"> of 3</w:t>
      </w:r>
      <w:r w:rsidR="00B15D9E">
        <w:rPr>
          <w:noProof/>
        </w:rPr>
        <w:t xml:space="preserve">5 </w:t>
      </w:r>
      <w:r w:rsidR="0054487F">
        <w:rPr>
          <w:noProof/>
        </w:rPr>
        <w:t xml:space="preserve">other </w:t>
      </w:r>
      <w:r w:rsidR="00B15D9E">
        <w:rPr>
          <w:noProof/>
        </w:rPr>
        <w:t xml:space="preserve">epiphyses </w:t>
      </w:r>
      <w:r w:rsidR="0083146E">
        <w:rPr>
          <w:noProof/>
        </w:rPr>
        <w:t>(40%)</w:t>
      </w:r>
      <w:r w:rsidR="00643CE0">
        <w:rPr>
          <w:noProof/>
        </w:rPr>
        <w:t xml:space="preserve"> </w:t>
      </w:r>
      <w:r w:rsidR="00B15D9E">
        <w:rPr>
          <w:noProof/>
        </w:rPr>
        <w:t>w</w:t>
      </w:r>
      <w:r w:rsidR="00F528FB">
        <w:rPr>
          <w:noProof/>
        </w:rPr>
        <w:t xml:space="preserve">ere not significantly different while 21 did show differences (p-values shown above in </w:t>
      </w:r>
      <w:r w:rsidR="0054487F">
        <w:rPr>
          <w:noProof/>
        </w:rPr>
        <w:t>Table 4.15</w:t>
      </w:r>
      <w:r w:rsidR="00F528FB">
        <w:rPr>
          <w:noProof/>
        </w:rPr>
        <w:t>).</w:t>
      </w:r>
      <w:r w:rsidR="00D836CB">
        <w:rPr>
          <w:noProof/>
        </w:rPr>
        <w:t xml:space="preserve">  </w:t>
      </w:r>
      <w:r w:rsidR="00E9153C">
        <w:rPr>
          <w:noProof/>
        </w:rPr>
        <w:t xml:space="preserve">The most distant epiphysis </w:t>
      </w:r>
      <w:r w:rsidR="007E65FA">
        <w:rPr>
          <w:noProof/>
        </w:rPr>
        <w:t xml:space="preserve">that did not significantly differ was </w:t>
      </w:r>
      <w:r w:rsidR="00E9153C">
        <w:rPr>
          <w:noProof/>
        </w:rPr>
        <w:t xml:space="preserve">the anterior inferior iliac spine (mean difference </w:t>
      </w:r>
      <w:r w:rsidR="00A978BA">
        <w:rPr>
          <w:noProof/>
        </w:rPr>
        <w:t>of</w:t>
      </w:r>
      <w:r w:rsidR="00E9153C">
        <w:rPr>
          <w:noProof/>
        </w:rPr>
        <w:t xml:space="preserve"> 0.99833)</w:t>
      </w:r>
      <w:r w:rsidR="007E65FA">
        <w:rPr>
          <w:noProof/>
        </w:rPr>
        <w:t>.</w:t>
      </w:r>
      <w:r w:rsidR="00E9153C">
        <w:rPr>
          <w:noProof/>
        </w:rPr>
        <w:t xml:space="preserve"> and t</w:t>
      </w:r>
      <w:r w:rsidR="00E43E1B">
        <w:rPr>
          <w:noProof/>
        </w:rPr>
        <w:t xml:space="preserve">he most proximate in terms </w:t>
      </w:r>
      <w:r w:rsidR="005111FA">
        <w:rPr>
          <w:noProof/>
        </w:rPr>
        <w:t>of</w:t>
      </w:r>
      <w:r w:rsidR="007E65FA">
        <w:rPr>
          <w:noProof/>
        </w:rPr>
        <w:t xml:space="preserve"> s</w:t>
      </w:r>
      <w:r w:rsidR="00E43E1B">
        <w:rPr>
          <w:noProof/>
        </w:rPr>
        <w:t>ignifican</w:t>
      </w:r>
      <w:r w:rsidR="007E65FA">
        <w:rPr>
          <w:noProof/>
        </w:rPr>
        <w:t>t differences was</w:t>
      </w:r>
      <w:r w:rsidR="00E9153C">
        <w:rPr>
          <w:noProof/>
        </w:rPr>
        <w:t xml:space="preserve"> the medial border</w:t>
      </w:r>
      <w:r w:rsidR="007E65FA">
        <w:rPr>
          <w:noProof/>
        </w:rPr>
        <w:t xml:space="preserve"> of the scapula</w:t>
      </w:r>
      <w:r w:rsidR="00E9153C">
        <w:rPr>
          <w:noProof/>
        </w:rPr>
        <w:t xml:space="preserve"> (mean difference</w:t>
      </w:r>
      <w:r w:rsidR="00A978BA">
        <w:rPr>
          <w:noProof/>
        </w:rPr>
        <w:t xml:space="preserve"> of</w:t>
      </w:r>
      <w:r w:rsidR="00E9153C">
        <w:rPr>
          <w:noProof/>
        </w:rPr>
        <w:t xml:space="preserve"> -0.87267</w:t>
      </w:r>
      <w:r w:rsidR="00FD472A">
        <w:rPr>
          <w:noProof/>
        </w:rPr>
        <w:t>, p=0.018</w:t>
      </w:r>
      <w:r w:rsidR="00E9153C">
        <w:rPr>
          <w:noProof/>
        </w:rPr>
        <w:t>).  Essentially, epiphyses tha</w:t>
      </w:r>
      <w:r w:rsidR="007014AB">
        <w:rPr>
          <w:noProof/>
        </w:rPr>
        <w:t>t h</w:t>
      </w:r>
      <w:r w:rsidR="0083050D">
        <w:rPr>
          <w:noProof/>
        </w:rPr>
        <w:t>ad a mean epiphyseal fusion value</w:t>
      </w:r>
      <w:r w:rsidR="007014AB">
        <w:rPr>
          <w:noProof/>
        </w:rPr>
        <w:t xml:space="preserve"> distance greater than</w:t>
      </w:r>
      <w:r w:rsidR="00E9153C">
        <w:rPr>
          <w:noProof/>
        </w:rPr>
        <w:t xml:space="preserve"> 1 would show significant differences</w:t>
      </w:r>
      <w:r w:rsidR="00D82741">
        <w:rPr>
          <w:noProof/>
        </w:rPr>
        <w:t xml:space="preserve"> and those nearer would not</w:t>
      </w:r>
      <w:r w:rsidR="00E9153C">
        <w:rPr>
          <w:noProof/>
        </w:rPr>
        <w:t xml:space="preserve">.  </w:t>
      </w:r>
      <w:r w:rsidR="00D82741">
        <w:rPr>
          <w:noProof/>
        </w:rPr>
        <w:t>T</w:t>
      </w:r>
      <w:r w:rsidR="00E9153C">
        <w:rPr>
          <w:noProof/>
        </w:rPr>
        <w:t xml:space="preserve">his pattern is observed for </w:t>
      </w:r>
      <w:r w:rsidR="00D82741">
        <w:rPr>
          <w:noProof/>
        </w:rPr>
        <w:t>all epiphyses</w:t>
      </w:r>
      <w:r w:rsidR="009F7F73">
        <w:rPr>
          <w:noProof/>
        </w:rPr>
        <w:t>.  Figure 4.</w:t>
      </w:r>
      <w:r w:rsidR="00A54D06">
        <w:rPr>
          <w:noProof/>
        </w:rPr>
        <w:t>1</w:t>
      </w:r>
      <w:r>
        <w:rPr>
          <w:noProof/>
        </w:rPr>
        <w:t>6</w:t>
      </w:r>
      <w:r w:rsidR="00A54D06">
        <w:rPr>
          <w:noProof/>
        </w:rPr>
        <w:t xml:space="preserve"> </w:t>
      </w:r>
      <w:r w:rsidR="009F7F73">
        <w:rPr>
          <w:noProof/>
        </w:rPr>
        <w:t xml:space="preserve">demonstrates how this ranges of no statistical </w:t>
      </w:r>
      <w:r w:rsidR="0006057D">
        <w:rPr>
          <w:noProof/>
        </w:rPr>
        <w:t>differences may be visualised.</w:t>
      </w:r>
    </w:p>
    <w:p w:rsidR="002E17E6" w:rsidRDefault="00B8526E" w:rsidP="002E17E6">
      <w:pPr>
        <w:tabs>
          <w:tab w:val="left" w:pos="360"/>
        </w:tabs>
        <w:spacing w:line="240" w:lineRule="auto"/>
        <w:rPr>
          <w:noProof/>
        </w:rPr>
      </w:pPr>
      <w:r>
        <w:rPr>
          <w:noProof/>
          <w:lang w:val="en-GB" w:eastAsia="en-GB"/>
        </w:rPr>
        <w:drawing>
          <wp:inline distT="0" distB="0" distL="0" distR="0">
            <wp:extent cx="5791200" cy="505777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1200" cy="5057775"/>
                    </a:xfrm>
                    <a:prstGeom prst="rect">
                      <a:avLst/>
                    </a:prstGeom>
                    <a:noFill/>
                    <a:ln>
                      <a:noFill/>
                    </a:ln>
                  </pic:spPr>
                </pic:pic>
              </a:graphicData>
            </a:graphic>
          </wp:inline>
        </w:drawing>
      </w:r>
    </w:p>
    <w:p w:rsidR="00A35CA0" w:rsidRDefault="00F343E2" w:rsidP="00CA5FBB">
      <w:pPr>
        <w:rPr>
          <w:noProof/>
        </w:rPr>
      </w:pPr>
      <w:bookmarkStart w:id="508" w:name="_Toc373147476"/>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16</w:t>
      </w:r>
      <w:r w:rsidR="008943E4" w:rsidRPr="00997A01">
        <w:rPr>
          <w:b/>
        </w:rPr>
        <w:fldChar w:fldCharType="end"/>
      </w:r>
      <w:r>
        <w:rPr>
          <w:noProof/>
        </w:rPr>
        <w:t xml:space="preserve"> Demonstration of range of no statistical significance for </w:t>
      </w:r>
      <w:r>
        <w:rPr>
          <w:i/>
          <w:noProof/>
        </w:rPr>
        <w:t>Pan troglodytes</w:t>
      </w:r>
      <w:r>
        <w:rPr>
          <w:noProof/>
        </w:rPr>
        <w:t xml:space="preserve"> females.</w:t>
      </w:r>
      <w:bookmarkEnd w:id="508"/>
    </w:p>
    <w:p w:rsidR="00A35CA0" w:rsidRDefault="003A5EB9" w:rsidP="00CA5FBB">
      <w:pPr>
        <w:rPr>
          <w:noProof/>
        </w:rPr>
      </w:pPr>
      <w:r>
        <w:rPr>
          <w:noProof/>
        </w:rPr>
        <w:lastRenderedPageBreak/>
        <w:t xml:space="preserve">This means that </w:t>
      </w:r>
      <w:r w:rsidR="00EA0CE3">
        <w:rPr>
          <w:noProof/>
        </w:rPr>
        <w:t xml:space="preserve">range of </w:t>
      </w:r>
      <w:r w:rsidR="007E79FC">
        <w:rPr>
          <w:noProof/>
        </w:rPr>
        <w:t>overlap</w:t>
      </w:r>
      <w:r w:rsidR="00D93D6C">
        <w:rPr>
          <w:noProof/>
        </w:rPr>
        <w:t xml:space="preserve"> for these epiphyses</w:t>
      </w:r>
      <w:r w:rsidR="007E79FC">
        <w:rPr>
          <w:noProof/>
        </w:rPr>
        <w:t xml:space="preserve"> is too great for t</w:t>
      </w:r>
      <w:r w:rsidR="00A10753">
        <w:rPr>
          <w:noProof/>
        </w:rPr>
        <w:t xml:space="preserve">his type of statistical test to find differences for </w:t>
      </w:r>
      <w:r w:rsidR="007E79FC">
        <w:rPr>
          <w:noProof/>
        </w:rPr>
        <w:t xml:space="preserve">fusion </w:t>
      </w:r>
      <w:r w:rsidR="00A10753">
        <w:rPr>
          <w:noProof/>
        </w:rPr>
        <w:t xml:space="preserve">events </w:t>
      </w:r>
      <w:r w:rsidR="007E79FC">
        <w:rPr>
          <w:noProof/>
        </w:rPr>
        <w:t>that occur close together</w:t>
      </w:r>
      <w:r>
        <w:rPr>
          <w:noProof/>
        </w:rPr>
        <w:t>.</w:t>
      </w:r>
      <w:r w:rsidR="007E79FC">
        <w:rPr>
          <w:noProof/>
        </w:rPr>
        <w:t xml:space="preserve">  For epiphysis that are distant from each other in terms of mean epiphyseal fusion value such as the </w:t>
      </w:r>
      <w:r w:rsidR="00FB5ED4">
        <w:rPr>
          <w:rFonts w:eastAsia="Times New Roman"/>
          <w:color w:val="000000"/>
          <w:lang w:val="en-GB" w:eastAsia="en-GB"/>
        </w:rPr>
        <w:t>distal humerus</w:t>
      </w:r>
      <w:r w:rsidR="007E79FC">
        <w:rPr>
          <w:noProof/>
        </w:rPr>
        <w:t xml:space="preserve"> and proximal humerus, there may be confidence in asserting that one is later than the other (p=0.000 in this case).  </w:t>
      </w:r>
      <w:r w:rsidR="007212DF">
        <w:rPr>
          <w:noProof/>
        </w:rPr>
        <w:t>A loose grouping of fusion events that statistically differ from ea</w:t>
      </w:r>
      <w:r w:rsidR="00C116C1">
        <w:rPr>
          <w:noProof/>
        </w:rPr>
        <w:t xml:space="preserve">ch other are shown in </w:t>
      </w:r>
      <w:r w:rsidR="00581818">
        <w:rPr>
          <w:noProof/>
        </w:rPr>
        <w:t>T</w:t>
      </w:r>
      <w:r w:rsidR="00C116C1">
        <w:rPr>
          <w:noProof/>
        </w:rPr>
        <w:t>able 4.16</w:t>
      </w:r>
      <w:r w:rsidR="007212DF">
        <w:rPr>
          <w:noProof/>
        </w:rPr>
        <w:t xml:space="preserve"> below.</w:t>
      </w:r>
      <w:r w:rsidR="002638D9">
        <w:rPr>
          <w:noProof/>
        </w:rPr>
        <w:t xml:space="preserve">  These </w:t>
      </w:r>
      <w:r w:rsidR="00581818">
        <w:rPr>
          <w:noProof/>
        </w:rPr>
        <w:t>same epiphyses are also significantly different for</w:t>
      </w:r>
      <w:r w:rsidR="002638D9">
        <w:rPr>
          <w:noProof/>
        </w:rPr>
        <w:t xml:space="preserve"> mid-fusion</w:t>
      </w:r>
      <w:r w:rsidR="00581818">
        <w:rPr>
          <w:noProof/>
        </w:rPr>
        <w:t xml:space="preserve"> events in</w:t>
      </w:r>
      <w:r w:rsidR="002638D9">
        <w:rPr>
          <w:noProof/>
        </w:rPr>
        <w:t xml:space="preserve"> male </w:t>
      </w:r>
      <w:r w:rsidR="002638D9">
        <w:rPr>
          <w:i/>
          <w:noProof/>
        </w:rPr>
        <w:t>Pan troglodytes</w:t>
      </w:r>
      <w:r w:rsidR="002638D9">
        <w:rPr>
          <w:noProof/>
        </w:rPr>
        <w:t>.</w:t>
      </w:r>
    </w:p>
    <w:p w:rsidR="00B516FD" w:rsidRDefault="003B65C3" w:rsidP="00556B5B">
      <w:pPr>
        <w:tabs>
          <w:tab w:val="left" w:pos="360"/>
        </w:tabs>
        <w:spacing w:before="120" w:after="120" w:line="240" w:lineRule="auto"/>
        <w:rPr>
          <w:noProof/>
        </w:rPr>
      </w:pPr>
      <w:bookmarkStart w:id="509" w:name="_Toc373180160"/>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16</w:t>
      </w:r>
      <w:r w:rsidR="008943E4">
        <w:rPr>
          <w:b/>
        </w:rPr>
        <w:fldChar w:fldCharType="end"/>
      </w:r>
      <w:r w:rsidR="00B516FD">
        <w:rPr>
          <w:noProof/>
        </w:rPr>
        <w:t xml:space="preserve"> </w:t>
      </w:r>
      <w:r w:rsidR="00C116C1">
        <w:rPr>
          <w:noProof/>
        </w:rPr>
        <w:t>E</w:t>
      </w:r>
      <w:r w:rsidR="00B516FD">
        <w:rPr>
          <w:noProof/>
        </w:rPr>
        <w:t xml:space="preserve">arlier and later epiphyses for mid-fusion </w:t>
      </w:r>
      <w:r w:rsidR="00B516FD">
        <w:rPr>
          <w:i/>
          <w:noProof/>
        </w:rPr>
        <w:t>Pan troglodytes</w:t>
      </w:r>
      <w:r w:rsidR="00B516FD">
        <w:rPr>
          <w:noProof/>
        </w:rPr>
        <w:t xml:space="preserve"> females.</w:t>
      </w:r>
      <w:bookmarkEnd w:id="509"/>
      <w:proofErr w:type="gramEnd"/>
    </w:p>
    <w:tbl>
      <w:tblPr>
        <w:tblW w:w="5433" w:type="dxa"/>
        <w:jc w:val="center"/>
        <w:tblInd w:w="93" w:type="dxa"/>
        <w:tblBorders>
          <w:top w:val="single" w:sz="4" w:space="0" w:color="auto"/>
          <w:bottom w:val="single" w:sz="4" w:space="0" w:color="auto"/>
        </w:tblBorders>
        <w:tblLook w:val="04A0" w:firstRow="1" w:lastRow="0" w:firstColumn="1" w:lastColumn="0" w:noHBand="0" w:noVBand="1"/>
      </w:tblPr>
      <w:tblGrid>
        <w:gridCol w:w="2840"/>
        <w:gridCol w:w="2593"/>
      </w:tblGrid>
      <w:tr w:rsidR="00B516FD" w:rsidRPr="00B516FD" w:rsidTr="000742E6">
        <w:trPr>
          <w:trHeight w:val="315"/>
          <w:jc w:val="center"/>
        </w:trPr>
        <w:tc>
          <w:tcPr>
            <w:tcW w:w="2840" w:type="dxa"/>
            <w:tcBorders>
              <w:top w:val="single" w:sz="4" w:space="0" w:color="auto"/>
              <w:bottom w:val="single" w:sz="4" w:space="0" w:color="auto"/>
            </w:tcBorders>
            <w:shd w:val="clear" w:color="auto" w:fill="auto"/>
            <w:noWrap/>
            <w:vAlign w:val="center"/>
            <w:hideMark/>
          </w:tcPr>
          <w:p w:rsidR="00A35CA0" w:rsidRDefault="000742E6"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B516FD" w:rsidRPr="00B516FD">
              <w:rPr>
                <w:rFonts w:eastAsia="Times New Roman"/>
                <w:b/>
                <w:bCs/>
                <w:color w:val="000000"/>
                <w:lang w:val="en-GB" w:eastAsia="en-GB"/>
              </w:rPr>
              <w:t>arlier epiphysis</w:t>
            </w:r>
          </w:p>
        </w:tc>
        <w:tc>
          <w:tcPr>
            <w:tcW w:w="2593" w:type="dxa"/>
            <w:tcBorders>
              <w:top w:val="single" w:sz="4" w:space="0" w:color="auto"/>
              <w:bottom w:val="single" w:sz="4" w:space="0" w:color="auto"/>
            </w:tcBorders>
            <w:shd w:val="clear" w:color="auto" w:fill="auto"/>
            <w:noWrap/>
            <w:vAlign w:val="center"/>
            <w:hideMark/>
          </w:tcPr>
          <w:p w:rsidR="00A35CA0" w:rsidRDefault="000742E6"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l</w:t>
            </w:r>
            <w:r w:rsidR="00B516FD" w:rsidRPr="00B516FD">
              <w:rPr>
                <w:rFonts w:eastAsia="Times New Roman"/>
                <w:b/>
                <w:bCs/>
                <w:color w:val="000000"/>
                <w:lang w:val="en-GB" w:eastAsia="en-GB"/>
              </w:rPr>
              <w:t>ater epiphyses</w:t>
            </w:r>
          </w:p>
        </w:tc>
      </w:tr>
      <w:tr w:rsidR="00B516FD" w:rsidRPr="00B516FD" w:rsidTr="000742E6">
        <w:trPr>
          <w:trHeight w:val="315"/>
          <w:jc w:val="center"/>
        </w:trPr>
        <w:tc>
          <w:tcPr>
            <w:tcW w:w="2840"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b/>
                <w:bCs/>
                <w:color w:val="000000"/>
                <w:sz w:val="28"/>
                <w:szCs w:val="28"/>
                <w:lang w:val="en-GB" w:eastAsia="en-GB"/>
              </w:rPr>
            </w:pPr>
            <w:r>
              <w:rPr>
                <w:rFonts w:eastAsia="Times New Roman"/>
                <w:color w:val="000000"/>
                <w:lang w:val="en-GB" w:eastAsia="en-GB"/>
              </w:rPr>
              <w:t>distal humerus</w:t>
            </w:r>
          </w:p>
        </w:tc>
        <w:tc>
          <w:tcPr>
            <w:tcW w:w="2593" w:type="dxa"/>
            <w:tcBorders>
              <w:top w:val="single" w:sz="4" w:space="0" w:color="auto"/>
            </w:tcBorders>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proximal humerus</w:t>
            </w:r>
          </w:p>
        </w:tc>
      </w:tr>
      <w:tr w:rsidR="00B516FD" w:rsidRPr="00B516FD" w:rsidTr="000742E6">
        <w:trPr>
          <w:trHeight w:val="300"/>
          <w:jc w:val="center"/>
        </w:trPr>
        <w:tc>
          <w:tcPr>
            <w:tcW w:w="2840" w:type="dxa"/>
            <w:shd w:val="clear" w:color="auto" w:fill="auto"/>
            <w:noWrap/>
            <w:vAlign w:val="center"/>
            <w:hideMark/>
          </w:tcPr>
          <w:p w:rsidR="00A35CA0" w:rsidRDefault="00AA6F14"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 xml:space="preserve">humeral </w:t>
            </w:r>
            <w:r w:rsidR="00B516FD" w:rsidRPr="00B516FD">
              <w:rPr>
                <w:rFonts w:eastAsia="Times New Roman"/>
                <w:color w:val="000000"/>
                <w:lang w:val="en-GB" w:eastAsia="en-GB"/>
              </w:rPr>
              <w:t>medial epicondyle</w:t>
            </w:r>
          </w:p>
        </w:tc>
        <w:tc>
          <w:tcPr>
            <w:tcW w:w="2593"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distal radius</w:t>
            </w:r>
          </w:p>
        </w:tc>
      </w:tr>
      <w:tr w:rsidR="00B516FD" w:rsidRPr="00B516FD" w:rsidTr="000742E6">
        <w:trPr>
          <w:trHeight w:val="300"/>
          <w:jc w:val="center"/>
        </w:trPr>
        <w:tc>
          <w:tcPr>
            <w:tcW w:w="2840"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proximal radius</w:t>
            </w:r>
          </w:p>
        </w:tc>
        <w:tc>
          <w:tcPr>
            <w:tcW w:w="2593"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distal ulna</w:t>
            </w:r>
          </w:p>
        </w:tc>
      </w:tr>
      <w:tr w:rsidR="00B516FD" w:rsidRPr="00B516FD" w:rsidTr="000742E6">
        <w:trPr>
          <w:trHeight w:val="300"/>
          <w:jc w:val="center"/>
        </w:trPr>
        <w:tc>
          <w:tcPr>
            <w:tcW w:w="2840"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proximal ulna</w:t>
            </w:r>
          </w:p>
        </w:tc>
        <w:tc>
          <w:tcPr>
            <w:tcW w:w="2593"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iliac crest</w:t>
            </w:r>
          </w:p>
        </w:tc>
      </w:tr>
      <w:tr w:rsidR="00B516FD" w:rsidRPr="00B516FD" w:rsidTr="000742E6">
        <w:trPr>
          <w:trHeight w:val="300"/>
          <w:jc w:val="center"/>
        </w:trPr>
        <w:tc>
          <w:tcPr>
            <w:tcW w:w="2840"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epiphyses of hands and feet</w:t>
            </w:r>
          </w:p>
        </w:tc>
        <w:tc>
          <w:tcPr>
            <w:tcW w:w="2593"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ischial epiphysis</w:t>
            </w:r>
          </w:p>
        </w:tc>
      </w:tr>
      <w:tr w:rsidR="00B516FD" w:rsidRPr="00B516FD" w:rsidTr="000742E6">
        <w:trPr>
          <w:trHeight w:val="300"/>
          <w:jc w:val="center"/>
        </w:trPr>
        <w:tc>
          <w:tcPr>
            <w:tcW w:w="2840"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coracoid</w:t>
            </w:r>
          </w:p>
        </w:tc>
        <w:tc>
          <w:tcPr>
            <w:tcW w:w="2593"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medial clavicle</w:t>
            </w:r>
          </w:p>
        </w:tc>
      </w:tr>
      <w:tr w:rsidR="00B516FD" w:rsidRPr="00B516FD" w:rsidTr="000742E6">
        <w:trPr>
          <w:trHeight w:val="300"/>
          <w:jc w:val="center"/>
        </w:trPr>
        <w:tc>
          <w:tcPr>
            <w:tcW w:w="2840"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subcoracoid and glenoid</w:t>
            </w:r>
          </w:p>
        </w:tc>
        <w:tc>
          <w:tcPr>
            <w:tcW w:w="2593" w:type="dxa"/>
            <w:shd w:val="clear" w:color="auto" w:fill="auto"/>
            <w:noWrap/>
            <w:vAlign w:val="center"/>
            <w:hideMark/>
          </w:tcPr>
          <w:p w:rsidR="00A35CA0" w:rsidRDefault="00B516FD" w:rsidP="00CA5FBB">
            <w:pPr>
              <w:spacing w:before="0" w:line="240" w:lineRule="auto"/>
              <w:jc w:val="center"/>
              <w:rPr>
                <w:rFonts w:eastAsia="Times New Roman"/>
                <w:b/>
                <w:bCs/>
                <w:color w:val="000000"/>
                <w:sz w:val="24"/>
                <w:szCs w:val="24"/>
                <w:lang w:val="en-GB" w:eastAsia="en-GB"/>
              </w:rPr>
            </w:pPr>
            <w:r w:rsidRPr="00B516FD">
              <w:rPr>
                <w:rFonts w:eastAsia="Times New Roman"/>
                <w:color w:val="000000"/>
                <w:lang w:val="en-GB" w:eastAsia="en-GB"/>
              </w:rPr>
              <w:t>acromium</w:t>
            </w:r>
          </w:p>
        </w:tc>
      </w:tr>
      <w:tr w:rsidR="00B516FD" w:rsidRPr="00B516FD" w:rsidTr="000742E6">
        <w:trPr>
          <w:trHeight w:val="300"/>
          <w:jc w:val="center"/>
        </w:trPr>
        <w:tc>
          <w:tcPr>
            <w:tcW w:w="2840" w:type="dxa"/>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593" w:type="dxa"/>
            <w:shd w:val="clear" w:color="auto" w:fill="auto"/>
            <w:noWrap/>
            <w:vAlign w:val="center"/>
            <w:hideMark/>
          </w:tcPr>
          <w:p w:rsidR="00A35CA0" w:rsidRDefault="00B516FD" w:rsidP="00CA5FBB">
            <w:pPr>
              <w:spacing w:before="0" w:line="240" w:lineRule="auto"/>
              <w:jc w:val="center"/>
              <w:rPr>
                <w:rFonts w:eastAsia="Times New Roman"/>
                <w:color w:val="000000"/>
                <w:sz w:val="24"/>
                <w:szCs w:val="24"/>
                <w:lang w:val="en-GB" w:eastAsia="en-GB"/>
              </w:rPr>
            </w:pPr>
            <w:r w:rsidRPr="00B516FD">
              <w:rPr>
                <w:rFonts w:eastAsia="Times New Roman"/>
                <w:color w:val="000000"/>
                <w:lang w:val="en-GB" w:eastAsia="en-GB"/>
              </w:rPr>
              <w:t>medial border of scapula</w:t>
            </w:r>
          </w:p>
        </w:tc>
      </w:tr>
    </w:tbl>
    <w:p w:rsidR="00A35CA0" w:rsidRDefault="008905BE" w:rsidP="00CA5FBB">
      <w:pPr>
        <w:rPr>
          <w:noProof/>
        </w:rPr>
      </w:pPr>
      <w:r>
        <w:rPr>
          <w:noProof/>
        </w:rPr>
        <w:t>The analysis completed above was</w:t>
      </w:r>
      <w:r w:rsidR="00166558">
        <w:rPr>
          <w:noProof/>
        </w:rPr>
        <w:t xml:space="preserve"> done for complete fusion epiphyses.  Figures 4.</w:t>
      </w:r>
      <w:r>
        <w:rPr>
          <w:noProof/>
        </w:rPr>
        <w:t>1</w:t>
      </w:r>
      <w:r w:rsidR="00C116C1">
        <w:rPr>
          <w:noProof/>
        </w:rPr>
        <w:t xml:space="preserve">7 </w:t>
      </w:r>
      <w:r w:rsidR="008F43A3">
        <w:rPr>
          <w:noProof/>
        </w:rPr>
        <w:t>and 4.</w:t>
      </w:r>
      <w:r w:rsidR="00687A31">
        <w:rPr>
          <w:noProof/>
        </w:rPr>
        <w:t>1</w:t>
      </w:r>
      <w:r w:rsidR="00C116C1">
        <w:rPr>
          <w:noProof/>
        </w:rPr>
        <w:t>8</w:t>
      </w:r>
      <w:r w:rsidR="00687A31">
        <w:rPr>
          <w:noProof/>
        </w:rPr>
        <w:t xml:space="preserve"> </w:t>
      </w:r>
      <w:r w:rsidR="00166558">
        <w:rPr>
          <w:noProof/>
        </w:rPr>
        <w:t>provide plots for mean values.  Post-hoc Bonferroni te</w:t>
      </w:r>
      <w:r w:rsidR="00F27FE6">
        <w:rPr>
          <w:noProof/>
        </w:rPr>
        <w:t xml:space="preserve">sts are </w:t>
      </w:r>
      <w:r w:rsidR="0044737B">
        <w:rPr>
          <w:noProof/>
        </w:rPr>
        <w:t xml:space="preserve">found </w:t>
      </w:r>
      <w:r w:rsidR="00F27FE6">
        <w:rPr>
          <w:noProof/>
        </w:rPr>
        <w:t xml:space="preserve">in </w:t>
      </w:r>
      <w:r w:rsidR="0044737B">
        <w:rPr>
          <w:noProof/>
        </w:rPr>
        <w:t>T</w:t>
      </w:r>
      <w:r w:rsidR="00F27FE6">
        <w:rPr>
          <w:noProof/>
        </w:rPr>
        <w:t>able 8.2.3.1</w:t>
      </w:r>
      <w:r w:rsidR="00166558">
        <w:rPr>
          <w:noProof/>
        </w:rPr>
        <w:t xml:space="preserve"> </w:t>
      </w:r>
      <w:r w:rsidR="0044737B">
        <w:rPr>
          <w:noProof/>
        </w:rPr>
        <w:t>of</w:t>
      </w:r>
      <w:r w:rsidR="00166558">
        <w:rPr>
          <w:noProof/>
        </w:rPr>
        <w:t xml:space="preserve"> the digital appendix (section 8.2</w:t>
      </w:r>
      <w:r w:rsidR="00F27FE6">
        <w:rPr>
          <w:noProof/>
        </w:rPr>
        <w:t>.3</w:t>
      </w:r>
      <w:r w:rsidR="00166558">
        <w:rPr>
          <w:noProof/>
        </w:rPr>
        <w:t xml:space="preserve">).  Far fewer epiphyses showed significant differences.  For example, the proximal humerus for females </w:t>
      </w:r>
      <w:r w:rsidR="00B8188F">
        <w:rPr>
          <w:noProof/>
        </w:rPr>
        <w:t xml:space="preserve">only showed a significant difference for the </w:t>
      </w:r>
      <w:r w:rsidR="00FB5ED4">
        <w:rPr>
          <w:rFonts w:eastAsia="Times New Roman"/>
          <w:color w:val="000000"/>
          <w:lang w:val="en-GB" w:eastAsia="en-GB"/>
        </w:rPr>
        <w:t>distal humerus</w:t>
      </w:r>
      <w:r w:rsidR="00FB5ED4">
        <w:rPr>
          <w:noProof/>
        </w:rPr>
        <w:t xml:space="preserve"> </w:t>
      </w:r>
      <w:r w:rsidR="00B8188F">
        <w:rPr>
          <w:noProof/>
        </w:rPr>
        <w:t>(p=0</w:t>
      </w:r>
      <w:r w:rsidR="002C1141">
        <w:rPr>
          <w:noProof/>
        </w:rPr>
        <w:t xml:space="preserve">.003) and the talus (p=0.000) with all other epiphyses showing non-significant differences.  </w:t>
      </w:r>
      <w:r w:rsidR="001E217A">
        <w:rPr>
          <w:noProof/>
        </w:rPr>
        <w:t>This was likely due to the much wider ranges of complete fusion.</w:t>
      </w:r>
    </w:p>
    <w:p w:rsidR="00E30A41" w:rsidRDefault="00B8526E" w:rsidP="00E97258">
      <w:pPr>
        <w:tabs>
          <w:tab w:val="left" w:pos="360"/>
        </w:tabs>
        <w:spacing w:line="240" w:lineRule="auto"/>
        <w:jc w:val="center"/>
        <w:rPr>
          <w:noProof/>
        </w:rPr>
      </w:pPr>
      <w:r>
        <w:rPr>
          <w:noProof/>
          <w:lang w:val="en-GB" w:eastAsia="en-GB"/>
        </w:rPr>
        <w:lastRenderedPageBreak/>
        <w:drawing>
          <wp:inline distT="0" distB="0" distL="0" distR="0">
            <wp:extent cx="5791200" cy="48768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1200" cy="4876800"/>
                    </a:xfrm>
                    <a:prstGeom prst="rect">
                      <a:avLst/>
                    </a:prstGeom>
                    <a:noFill/>
                    <a:ln>
                      <a:noFill/>
                    </a:ln>
                  </pic:spPr>
                </pic:pic>
              </a:graphicData>
            </a:graphic>
          </wp:inline>
        </w:drawing>
      </w:r>
    </w:p>
    <w:p w:rsidR="00E30A41" w:rsidRPr="00E97258" w:rsidRDefault="00E97258" w:rsidP="00722B93">
      <w:pPr>
        <w:tabs>
          <w:tab w:val="left" w:pos="360"/>
        </w:tabs>
        <w:spacing w:before="120" w:line="240" w:lineRule="auto"/>
        <w:rPr>
          <w:noProof/>
          <w:sz w:val="20"/>
          <w:szCs w:val="20"/>
        </w:rPr>
      </w:pPr>
      <w:r>
        <w:rPr>
          <w:noProof/>
          <w:sz w:val="20"/>
          <w:szCs w:val="20"/>
        </w:rPr>
        <w:tab/>
      </w:r>
      <w:r>
        <w:rPr>
          <w:noProof/>
          <w:sz w:val="20"/>
          <w:szCs w:val="20"/>
        </w:rPr>
        <w:tab/>
      </w:r>
      <w:r w:rsidR="00750E89" w:rsidRPr="00E97258">
        <w:rPr>
          <w:noProof/>
          <w:sz w:val="20"/>
          <w:szCs w:val="20"/>
        </w:rPr>
        <w:t>Note:</w:t>
      </w:r>
      <w:r w:rsidR="00CD3029">
        <w:rPr>
          <w:noProof/>
          <w:sz w:val="20"/>
          <w:szCs w:val="20"/>
        </w:rPr>
        <w:t xml:space="preserve"> The</w:t>
      </w:r>
      <w:r w:rsidR="00750E89" w:rsidRPr="00E97258">
        <w:rPr>
          <w:noProof/>
          <w:sz w:val="20"/>
          <w:szCs w:val="20"/>
        </w:rPr>
        <w:t xml:space="preserve"> iliac crest had no data.</w:t>
      </w:r>
    </w:p>
    <w:p w:rsidR="00E30A41" w:rsidRDefault="00687A31" w:rsidP="00E30A41">
      <w:pPr>
        <w:tabs>
          <w:tab w:val="left" w:pos="360"/>
        </w:tabs>
        <w:spacing w:line="240" w:lineRule="auto"/>
        <w:rPr>
          <w:noProof/>
        </w:rPr>
      </w:pPr>
      <w:bookmarkStart w:id="510" w:name="_Toc373147477"/>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17</w:t>
      </w:r>
      <w:r w:rsidR="008943E4" w:rsidRPr="00997A01">
        <w:rPr>
          <w:b/>
        </w:rPr>
        <w:fldChar w:fldCharType="end"/>
      </w:r>
      <w:r>
        <w:rPr>
          <w:noProof/>
        </w:rPr>
        <w:t xml:space="preserve"> mean values for all epiphyses at complete fusion states for </w:t>
      </w:r>
      <w:r>
        <w:rPr>
          <w:i/>
          <w:noProof/>
        </w:rPr>
        <w:t>Pan troglodytes</w:t>
      </w:r>
      <w:r>
        <w:rPr>
          <w:noProof/>
        </w:rPr>
        <w:t xml:space="preserve"> females.</w:t>
      </w:r>
      <w:bookmarkEnd w:id="510"/>
    </w:p>
    <w:p w:rsidR="00E30A41" w:rsidRDefault="00B8526E" w:rsidP="00CE594C">
      <w:pPr>
        <w:tabs>
          <w:tab w:val="left" w:pos="360"/>
        </w:tabs>
        <w:spacing w:line="240" w:lineRule="auto"/>
        <w:jc w:val="center"/>
        <w:rPr>
          <w:noProof/>
        </w:rPr>
      </w:pPr>
      <w:r>
        <w:rPr>
          <w:noProof/>
          <w:lang w:val="en-GB" w:eastAsia="en-GB"/>
        </w:rPr>
        <w:lastRenderedPageBreak/>
        <w:drawing>
          <wp:inline distT="0" distB="0" distL="0" distR="0">
            <wp:extent cx="5791200" cy="50768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5076825"/>
                    </a:xfrm>
                    <a:prstGeom prst="rect">
                      <a:avLst/>
                    </a:prstGeom>
                    <a:noFill/>
                    <a:ln>
                      <a:noFill/>
                    </a:ln>
                  </pic:spPr>
                </pic:pic>
              </a:graphicData>
            </a:graphic>
          </wp:inline>
        </w:drawing>
      </w:r>
    </w:p>
    <w:p w:rsidR="00687A31" w:rsidRPr="00CA5FBB" w:rsidRDefault="00687A31" w:rsidP="00E30A41">
      <w:pPr>
        <w:tabs>
          <w:tab w:val="left" w:pos="360"/>
        </w:tabs>
        <w:spacing w:line="240" w:lineRule="auto"/>
        <w:rPr>
          <w:b/>
          <w:noProof/>
          <w:color w:val="000000" w:themeColor="text1"/>
        </w:rPr>
      </w:pPr>
      <w:bookmarkStart w:id="511" w:name="_Toc373147478"/>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18</w:t>
      </w:r>
      <w:r w:rsidR="008943E4" w:rsidRPr="00997A01">
        <w:rPr>
          <w:b/>
        </w:rPr>
        <w:fldChar w:fldCharType="end"/>
      </w:r>
      <w:r>
        <w:rPr>
          <w:noProof/>
        </w:rPr>
        <w:t xml:space="preserve"> Mean values for all epiphyses at complete fusion states for </w:t>
      </w:r>
      <w:r>
        <w:rPr>
          <w:i/>
          <w:noProof/>
        </w:rPr>
        <w:t>Pan troglodytes</w:t>
      </w:r>
      <w:r>
        <w:rPr>
          <w:noProof/>
        </w:rPr>
        <w:t xml:space="preserve"> </w:t>
      </w:r>
      <w:r w:rsidR="008943E4" w:rsidRPr="00CA5FBB">
        <w:rPr>
          <w:noProof/>
          <w:color w:val="000000" w:themeColor="text1"/>
        </w:rPr>
        <w:t>males.</w:t>
      </w:r>
      <w:bookmarkEnd w:id="511"/>
    </w:p>
    <w:p w:rsidR="00E30A41" w:rsidRPr="003204C4" w:rsidRDefault="00CE5B24" w:rsidP="00E30A41">
      <w:pPr>
        <w:tabs>
          <w:tab w:val="left" w:pos="360"/>
        </w:tabs>
        <w:spacing w:line="240" w:lineRule="auto"/>
        <w:rPr>
          <w:b/>
          <w:i/>
          <w:noProof/>
          <w:color w:val="000000" w:themeColor="text1"/>
        </w:rPr>
      </w:pPr>
      <w:r>
        <w:rPr>
          <w:b/>
          <w:i/>
          <w:noProof/>
          <w:color w:val="000000" w:themeColor="text1"/>
        </w:rPr>
        <w:t>4.2.2</w:t>
      </w:r>
      <w:r w:rsidR="00006290">
        <w:rPr>
          <w:b/>
          <w:i/>
          <w:noProof/>
          <w:color w:val="000000" w:themeColor="text1"/>
        </w:rPr>
        <w:t>c</w:t>
      </w:r>
      <w:r w:rsidR="003204C4" w:rsidRPr="003204C4">
        <w:rPr>
          <w:b/>
          <w:i/>
          <w:noProof/>
          <w:color w:val="000000" w:themeColor="text1"/>
        </w:rPr>
        <w:t xml:space="preserve"> </w:t>
      </w:r>
      <w:r w:rsidR="00E30A41" w:rsidRPr="003204C4">
        <w:rPr>
          <w:b/>
          <w:i/>
          <w:noProof/>
          <w:color w:val="000000" w:themeColor="text1"/>
        </w:rPr>
        <w:t>Sex differences in</w:t>
      </w:r>
      <w:r>
        <w:rPr>
          <w:b/>
          <w:i/>
          <w:noProof/>
          <w:color w:val="000000" w:themeColor="text1"/>
        </w:rPr>
        <w:t xml:space="preserve"> modular sequence pattern for</w:t>
      </w:r>
      <w:r w:rsidR="00E30A41" w:rsidRPr="003204C4">
        <w:rPr>
          <w:b/>
          <w:i/>
          <w:noProof/>
          <w:color w:val="000000" w:themeColor="text1"/>
        </w:rPr>
        <w:t xml:space="preserve"> </w:t>
      </w:r>
      <w:r w:rsidR="00E30A41" w:rsidRPr="003204C4">
        <w:rPr>
          <w:b/>
          <w:noProof/>
          <w:color w:val="000000" w:themeColor="text1"/>
        </w:rPr>
        <w:t>Pan troglodytes</w:t>
      </w:r>
    </w:p>
    <w:p w:rsidR="00A35CA0" w:rsidRDefault="00DB6B45" w:rsidP="00CA5FBB">
      <w:pPr>
        <w:spacing w:before="120"/>
        <w:rPr>
          <w:noProof/>
        </w:rPr>
      </w:pPr>
      <w:r>
        <w:rPr>
          <w:noProof/>
        </w:rPr>
        <w:t>The general patterns of mean epiphyseal fusion values presented i</w:t>
      </w:r>
      <w:r w:rsidR="00FA2710">
        <w:rPr>
          <w:noProof/>
        </w:rPr>
        <w:t xml:space="preserve">n </w:t>
      </w:r>
      <w:r w:rsidR="002D1583">
        <w:rPr>
          <w:noProof/>
        </w:rPr>
        <w:t>F</w:t>
      </w:r>
      <w:r w:rsidR="00FA2710">
        <w:rPr>
          <w:noProof/>
        </w:rPr>
        <w:t>igures 4.</w:t>
      </w:r>
      <w:r w:rsidR="002D1583">
        <w:rPr>
          <w:noProof/>
        </w:rPr>
        <w:t>14, 4.15, 4.17, 4.18</w:t>
      </w:r>
      <w:r>
        <w:rPr>
          <w:noProof/>
        </w:rPr>
        <w:t xml:space="preserve"> appear very similar, suggesting that there may be no differences between males and females.  </w:t>
      </w:r>
      <w:r w:rsidR="00B70578">
        <w:rPr>
          <w:noProof/>
        </w:rPr>
        <w:t xml:space="preserve">Given that the distributions of these fusion events are virtually </w:t>
      </w:r>
      <w:r w:rsidR="00E16F42">
        <w:rPr>
          <w:noProof/>
        </w:rPr>
        <w:t xml:space="preserve">all </w:t>
      </w:r>
      <w:r w:rsidR="00B70578">
        <w:rPr>
          <w:noProof/>
        </w:rPr>
        <w:t xml:space="preserve">normally distributed except for a few named epiphyses (see </w:t>
      </w:r>
      <w:r w:rsidR="00AF1A52">
        <w:rPr>
          <w:noProof/>
        </w:rPr>
        <w:t>T</w:t>
      </w:r>
      <w:r w:rsidR="0096235D">
        <w:rPr>
          <w:noProof/>
        </w:rPr>
        <w:t>able 4</w:t>
      </w:r>
      <w:r w:rsidR="00D0529B">
        <w:rPr>
          <w:noProof/>
        </w:rPr>
        <w:t>.14</w:t>
      </w:r>
      <w:r w:rsidR="00B70578">
        <w:rPr>
          <w:noProof/>
        </w:rPr>
        <w:t xml:space="preserve">) an independent sample t-test </w:t>
      </w:r>
      <w:r w:rsidR="009342A1">
        <w:rPr>
          <w:noProof/>
        </w:rPr>
        <w:t xml:space="preserve">could be </w:t>
      </w:r>
      <w:r w:rsidR="0096235D">
        <w:rPr>
          <w:noProof/>
        </w:rPr>
        <w:t>applied</w:t>
      </w:r>
      <w:r w:rsidR="00B70578">
        <w:rPr>
          <w:noProof/>
        </w:rPr>
        <w:t>.</w:t>
      </w:r>
      <w:r w:rsidR="0096235D">
        <w:rPr>
          <w:noProof/>
        </w:rPr>
        <w:t xml:space="preserve">  This w</w:t>
      </w:r>
      <w:r w:rsidR="00DC6CAA">
        <w:rPr>
          <w:noProof/>
        </w:rPr>
        <w:t>as</w:t>
      </w:r>
      <w:r w:rsidR="007869AF">
        <w:rPr>
          <w:noProof/>
        </w:rPr>
        <w:t xml:space="preserve"> first</w:t>
      </w:r>
      <w:r w:rsidR="0096235D">
        <w:rPr>
          <w:noProof/>
        </w:rPr>
        <w:t xml:space="preserve"> performed for mid-fusion epiphyses.  </w:t>
      </w:r>
      <w:r w:rsidR="00324874">
        <w:rPr>
          <w:noProof/>
        </w:rPr>
        <w:t xml:space="preserve">For both sexes was the </w:t>
      </w:r>
      <w:r w:rsidR="00FB5ED4">
        <w:rPr>
          <w:rFonts w:eastAsia="Times New Roman"/>
          <w:color w:val="000000"/>
          <w:lang w:val="en-GB" w:eastAsia="en-GB"/>
        </w:rPr>
        <w:t>distal humerus</w:t>
      </w:r>
      <w:r w:rsidR="00FB5ED4">
        <w:rPr>
          <w:noProof/>
        </w:rPr>
        <w:t xml:space="preserve"> </w:t>
      </w:r>
      <w:r w:rsidR="00324874">
        <w:rPr>
          <w:noProof/>
        </w:rPr>
        <w:t xml:space="preserve">had </w:t>
      </w:r>
      <w:r w:rsidR="007869AF">
        <w:rPr>
          <w:noProof/>
        </w:rPr>
        <w:t xml:space="preserve">a </w:t>
      </w:r>
      <w:r w:rsidR="00C974CF">
        <w:rPr>
          <w:noProof/>
        </w:rPr>
        <w:t>non-normal distribution (p</w:t>
      </w:r>
      <w:r w:rsidR="00192620">
        <w:rPr>
          <w:noProof/>
        </w:rPr>
        <w:t xml:space="preserve"> </w:t>
      </w:r>
      <w:r w:rsidR="00C974CF">
        <w:rPr>
          <w:noProof/>
        </w:rPr>
        <w:t>=</w:t>
      </w:r>
      <w:r w:rsidR="00192620">
        <w:rPr>
          <w:noProof/>
        </w:rPr>
        <w:t xml:space="preserve"> </w:t>
      </w:r>
      <w:r w:rsidR="00C974CF">
        <w:rPr>
          <w:noProof/>
        </w:rPr>
        <w:t>0.002 females, p</w:t>
      </w:r>
      <w:r w:rsidR="00192620">
        <w:rPr>
          <w:noProof/>
        </w:rPr>
        <w:t xml:space="preserve"> </w:t>
      </w:r>
      <w:r w:rsidR="00C974CF">
        <w:rPr>
          <w:noProof/>
        </w:rPr>
        <w:t>=</w:t>
      </w:r>
      <w:r w:rsidR="00192620">
        <w:rPr>
          <w:noProof/>
        </w:rPr>
        <w:t xml:space="preserve"> </w:t>
      </w:r>
      <w:r w:rsidR="00C974CF">
        <w:rPr>
          <w:noProof/>
        </w:rPr>
        <w:t>0.000 males)</w:t>
      </w:r>
      <w:r w:rsidR="00324874">
        <w:rPr>
          <w:noProof/>
        </w:rPr>
        <w:t>.  The</w:t>
      </w:r>
      <w:r w:rsidR="00C974CF">
        <w:rPr>
          <w:noProof/>
        </w:rPr>
        <w:t xml:space="preserve"> the sub-coracoid and glenoid </w:t>
      </w:r>
      <w:r w:rsidR="00324874">
        <w:rPr>
          <w:noProof/>
        </w:rPr>
        <w:t xml:space="preserve">was non-normal </w:t>
      </w:r>
      <w:r w:rsidR="00C974CF">
        <w:rPr>
          <w:noProof/>
        </w:rPr>
        <w:t>for males (p</w:t>
      </w:r>
      <w:r w:rsidR="00192620">
        <w:rPr>
          <w:noProof/>
        </w:rPr>
        <w:t xml:space="preserve"> </w:t>
      </w:r>
      <w:r w:rsidR="00C974CF">
        <w:rPr>
          <w:noProof/>
        </w:rPr>
        <w:t>=</w:t>
      </w:r>
      <w:r w:rsidR="00192620">
        <w:rPr>
          <w:noProof/>
        </w:rPr>
        <w:t xml:space="preserve"> </w:t>
      </w:r>
      <w:r w:rsidR="00C974CF">
        <w:rPr>
          <w:noProof/>
        </w:rPr>
        <w:t xml:space="preserve">0.000).  </w:t>
      </w:r>
      <w:r w:rsidR="00BD5EA3">
        <w:rPr>
          <w:noProof/>
        </w:rPr>
        <w:t>Table</w:t>
      </w:r>
      <w:r w:rsidR="00C974CF">
        <w:rPr>
          <w:noProof/>
        </w:rPr>
        <w:t xml:space="preserve"> 4.1</w:t>
      </w:r>
      <w:r w:rsidR="002D1583">
        <w:rPr>
          <w:noProof/>
        </w:rPr>
        <w:t xml:space="preserve">7 </w:t>
      </w:r>
      <w:r w:rsidR="00BD5EA3">
        <w:rPr>
          <w:noProof/>
        </w:rPr>
        <w:t xml:space="preserve">below </w:t>
      </w:r>
      <w:r w:rsidR="00072F68">
        <w:rPr>
          <w:noProof/>
        </w:rPr>
        <w:t xml:space="preserve">provides </w:t>
      </w:r>
      <w:r w:rsidR="00492BFA">
        <w:rPr>
          <w:noProof/>
        </w:rPr>
        <w:t xml:space="preserve">results comparing male and female </w:t>
      </w:r>
      <w:r w:rsidR="00C974CF">
        <w:rPr>
          <w:noProof/>
        </w:rPr>
        <w:t xml:space="preserve">mid-fusion </w:t>
      </w:r>
      <w:r w:rsidR="00492BFA">
        <w:rPr>
          <w:noProof/>
        </w:rPr>
        <w:t>values using independent sample t-tests for each epiphysis.  The anterior inferior iliac spine, the talus and the lateral clavicle were excluded from this analysis due to either the male or female sample having only one individual</w:t>
      </w:r>
      <w:r w:rsidR="00D41BFC">
        <w:rPr>
          <w:noProof/>
        </w:rPr>
        <w:t xml:space="preserve"> present</w:t>
      </w:r>
      <w:r w:rsidR="00492BFA">
        <w:rPr>
          <w:noProof/>
        </w:rPr>
        <w:t xml:space="preserve">.  Instances where the test </w:t>
      </w:r>
      <w:r w:rsidR="0007019F">
        <w:rPr>
          <w:noProof/>
        </w:rPr>
        <w:t xml:space="preserve">of </w:t>
      </w:r>
      <w:r w:rsidR="00492BFA">
        <w:rPr>
          <w:noProof/>
        </w:rPr>
        <w:t xml:space="preserve">equal variances indicate a statistically </w:t>
      </w:r>
      <w:r w:rsidR="00492BFA">
        <w:rPr>
          <w:noProof/>
        </w:rPr>
        <w:lastRenderedPageBreak/>
        <w:t>significant departure are highlighted</w:t>
      </w:r>
      <w:r w:rsidR="009040A8">
        <w:rPr>
          <w:noProof/>
        </w:rPr>
        <w:t xml:space="preserve"> in bold</w:t>
      </w:r>
      <w:r w:rsidR="00492BFA">
        <w:rPr>
          <w:noProof/>
        </w:rPr>
        <w:t>.  Also highlighted are cases where there is a significant differences between the sexes by mean</w:t>
      </w:r>
      <w:r w:rsidR="00CB319D">
        <w:rPr>
          <w:noProof/>
        </w:rPr>
        <w:t>s</w:t>
      </w:r>
      <w:r w:rsidR="00492BFA">
        <w:rPr>
          <w:noProof/>
        </w:rPr>
        <w:t xml:space="preserve"> of the 2-tailed t-test.</w:t>
      </w:r>
    </w:p>
    <w:p w:rsidR="0007019F" w:rsidRPr="006D5A68" w:rsidRDefault="00687A31" w:rsidP="00556B5B">
      <w:pPr>
        <w:tabs>
          <w:tab w:val="left" w:pos="360"/>
        </w:tabs>
        <w:spacing w:before="120" w:after="120" w:line="240" w:lineRule="auto"/>
        <w:rPr>
          <w:noProof/>
          <w:color w:val="000000" w:themeColor="text1"/>
        </w:rPr>
      </w:pPr>
      <w:bookmarkStart w:id="512" w:name="_Toc373180161"/>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17</w:t>
      </w:r>
      <w:r w:rsidR="008943E4">
        <w:rPr>
          <w:b/>
        </w:rPr>
        <w:fldChar w:fldCharType="end"/>
      </w:r>
      <w:r w:rsidR="0007019F">
        <w:rPr>
          <w:noProof/>
          <w:color w:val="000000" w:themeColor="text1"/>
        </w:rPr>
        <w:t xml:space="preserve"> Independent sample t-test</w:t>
      </w:r>
      <w:proofErr w:type="gramEnd"/>
      <w:r w:rsidR="0007019F">
        <w:rPr>
          <w:noProof/>
          <w:color w:val="000000" w:themeColor="text1"/>
        </w:rPr>
        <w:t xml:space="preserve"> for comparing male and female mid-fusion mean epiphyseal fusion score ranges for all epiph</w:t>
      </w:r>
      <w:r w:rsidR="00454319">
        <w:rPr>
          <w:noProof/>
          <w:color w:val="000000" w:themeColor="text1"/>
        </w:rPr>
        <w:t>yses</w:t>
      </w:r>
      <w:r w:rsidR="00A72F0A">
        <w:rPr>
          <w:noProof/>
          <w:color w:val="000000" w:themeColor="text1"/>
        </w:rPr>
        <w:t xml:space="preserve"> in </w:t>
      </w:r>
      <w:r w:rsidR="00A72F0A">
        <w:rPr>
          <w:i/>
          <w:noProof/>
          <w:color w:val="000000" w:themeColor="text1"/>
        </w:rPr>
        <w:t>Pan troglodytes</w:t>
      </w:r>
      <w:r w:rsidR="00454319">
        <w:rPr>
          <w:noProof/>
          <w:color w:val="000000" w:themeColor="text1"/>
        </w:rPr>
        <w:t>.</w:t>
      </w:r>
      <w:bookmarkEnd w:id="512"/>
    </w:p>
    <w:tbl>
      <w:tblPr>
        <w:tblW w:w="9569" w:type="dxa"/>
        <w:jc w:val="center"/>
        <w:tblInd w:w="164" w:type="dxa"/>
        <w:tblLayout w:type="fixed"/>
        <w:tblLook w:val="04A0" w:firstRow="1" w:lastRow="0" w:firstColumn="1" w:lastColumn="0" w:noHBand="0" w:noVBand="1"/>
      </w:tblPr>
      <w:tblGrid>
        <w:gridCol w:w="2058"/>
        <w:gridCol w:w="567"/>
        <w:gridCol w:w="851"/>
        <w:gridCol w:w="846"/>
        <w:gridCol w:w="850"/>
        <w:gridCol w:w="993"/>
        <w:gridCol w:w="851"/>
        <w:gridCol w:w="1277"/>
        <w:gridCol w:w="1276"/>
      </w:tblGrid>
      <w:tr w:rsidR="0032476F" w:rsidRPr="0032476F" w:rsidTr="00CA5FBB">
        <w:trPr>
          <w:trHeight w:val="284"/>
          <w:jc w:val="center"/>
        </w:trPr>
        <w:tc>
          <w:tcPr>
            <w:tcW w:w="2625" w:type="dxa"/>
            <w:gridSpan w:val="2"/>
            <w:vMerge w:val="restart"/>
            <w:tcBorders>
              <w:top w:val="single" w:sz="4" w:space="0" w:color="auto"/>
              <w:bottom w:val="single" w:sz="4" w:space="0" w:color="auto"/>
            </w:tcBorders>
            <w:shd w:val="clear" w:color="auto" w:fill="auto"/>
            <w:vAlign w:val="center"/>
            <w:hideMark/>
          </w:tcPr>
          <w:p w:rsidR="00A35CA0" w:rsidRPr="00CA5FBB" w:rsidRDefault="000F421B" w:rsidP="00CA5FBB">
            <w:pPr>
              <w:spacing w:before="0" w:line="240" w:lineRule="auto"/>
              <w:jc w:val="center"/>
              <w:rPr>
                <w:rFonts w:eastAsia="Times New Roman"/>
                <w:b/>
                <w:color w:val="000000"/>
                <w:lang w:val="en-GB" w:eastAsia="en-GB"/>
              </w:rPr>
            </w:pPr>
            <w:r>
              <w:rPr>
                <w:rFonts w:eastAsia="Times New Roman"/>
                <w:b/>
                <w:color w:val="000000"/>
                <w:lang w:val="en-GB" w:eastAsia="en-GB"/>
              </w:rPr>
              <w:t>e</w:t>
            </w:r>
            <w:r w:rsidR="008943E4" w:rsidRPr="00CA5FBB">
              <w:rPr>
                <w:rFonts w:eastAsia="Times New Roman"/>
                <w:b/>
                <w:color w:val="000000"/>
                <w:lang w:val="en-GB" w:eastAsia="en-GB"/>
              </w:rPr>
              <w:t>piphysis</w:t>
            </w:r>
          </w:p>
        </w:tc>
        <w:tc>
          <w:tcPr>
            <w:tcW w:w="1697" w:type="dxa"/>
            <w:gridSpan w:val="2"/>
            <w:tcBorders>
              <w:top w:val="single" w:sz="4" w:space="0" w:color="auto"/>
              <w:bottom w:val="single" w:sz="4" w:space="0" w:color="auto"/>
            </w:tcBorders>
            <w:shd w:val="clear" w:color="auto" w:fill="auto"/>
            <w:vAlign w:val="center"/>
            <w:hideMark/>
          </w:tcPr>
          <w:p w:rsidR="00A35CA0" w:rsidRPr="00CA5FBB" w:rsidRDefault="000F421B" w:rsidP="00CA5FBB">
            <w:pPr>
              <w:spacing w:before="0" w:line="240" w:lineRule="auto"/>
              <w:jc w:val="center"/>
              <w:rPr>
                <w:rFonts w:eastAsia="Times New Roman"/>
                <w:b/>
                <w:color w:val="000000"/>
                <w:lang w:val="en-GB" w:eastAsia="en-GB"/>
              </w:rPr>
            </w:pPr>
            <w:r>
              <w:rPr>
                <w:rFonts w:eastAsia="Times New Roman"/>
                <w:b/>
                <w:color w:val="000000"/>
                <w:lang w:val="en-GB" w:eastAsia="en-GB"/>
              </w:rPr>
              <w:t>levene's test for equality of v</w:t>
            </w:r>
            <w:r w:rsidR="008943E4" w:rsidRPr="00CA5FBB">
              <w:rPr>
                <w:rFonts w:eastAsia="Times New Roman"/>
                <w:b/>
                <w:color w:val="000000"/>
                <w:lang w:val="en-GB" w:eastAsia="en-GB"/>
              </w:rPr>
              <w:t>ariances</w:t>
            </w:r>
          </w:p>
        </w:tc>
        <w:tc>
          <w:tcPr>
            <w:tcW w:w="5247" w:type="dxa"/>
            <w:gridSpan w:val="5"/>
            <w:tcBorders>
              <w:top w:val="single" w:sz="4" w:space="0" w:color="auto"/>
              <w:bottom w:val="single" w:sz="4" w:space="0" w:color="auto"/>
            </w:tcBorders>
            <w:shd w:val="clear" w:color="auto" w:fill="auto"/>
            <w:vAlign w:val="center"/>
            <w:hideMark/>
          </w:tcPr>
          <w:p w:rsidR="00A35CA0" w:rsidRPr="00CA5FBB" w:rsidRDefault="000F421B" w:rsidP="00CA5FBB">
            <w:pPr>
              <w:spacing w:before="0" w:line="240" w:lineRule="auto"/>
              <w:jc w:val="center"/>
              <w:rPr>
                <w:rFonts w:eastAsia="Times New Roman"/>
                <w:b/>
                <w:color w:val="000000"/>
                <w:lang w:val="en-GB" w:eastAsia="en-GB"/>
              </w:rPr>
            </w:pPr>
            <w:r>
              <w:rPr>
                <w:rFonts w:eastAsia="Times New Roman"/>
                <w:b/>
                <w:color w:val="000000"/>
                <w:lang w:val="en-GB" w:eastAsia="en-GB"/>
              </w:rPr>
              <w:t>t-test for equality of m</w:t>
            </w:r>
            <w:r w:rsidR="008943E4" w:rsidRPr="00CA5FBB">
              <w:rPr>
                <w:rFonts w:eastAsia="Times New Roman"/>
                <w:b/>
                <w:color w:val="000000"/>
                <w:lang w:val="en-GB" w:eastAsia="en-GB"/>
              </w:rPr>
              <w:t>eans</w:t>
            </w:r>
          </w:p>
        </w:tc>
      </w:tr>
      <w:tr w:rsidR="0032476F" w:rsidRPr="0032476F" w:rsidTr="00CA5FBB">
        <w:trPr>
          <w:trHeight w:val="284"/>
          <w:jc w:val="center"/>
        </w:trPr>
        <w:tc>
          <w:tcPr>
            <w:tcW w:w="2625" w:type="dxa"/>
            <w:gridSpan w:val="2"/>
            <w:vMerge/>
            <w:tcBorders>
              <w:bottom w:val="single" w:sz="4" w:space="0" w:color="auto"/>
            </w:tcBorders>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851" w:type="dxa"/>
            <w:vMerge w:val="restart"/>
            <w:tcBorders>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i/>
                <w:color w:val="000000"/>
                <w:lang w:val="en-GB" w:eastAsia="en-GB"/>
              </w:rPr>
            </w:pPr>
            <w:r w:rsidRPr="00CA5FBB">
              <w:rPr>
                <w:rFonts w:eastAsia="Times New Roman"/>
                <w:b/>
                <w:i/>
                <w:color w:val="000000"/>
                <w:lang w:val="en-GB" w:eastAsia="en-GB"/>
              </w:rPr>
              <w:t>F</w:t>
            </w:r>
          </w:p>
        </w:tc>
        <w:tc>
          <w:tcPr>
            <w:tcW w:w="846" w:type="dxa"/>
            <w:vMerge w:val="restart"/>
            <w:tcBorders>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Sig.</w:t>
            </w:r>
          </w:p>
        </w:tc>
        <w:tc>
          <w:tcPr>
            <w:tcW w:w="850" w:type="dxa"/>
            <w:vMerge w:val="restart"/>
            <w:tcBorders>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t</w:t>
            </w:r>
          </w:p>
        </w:tc>
        <w:tc>
          <w:tcPr>
            <w:tcW w:w="993" w:type="dxa"/>
            <w:vMerge w:val="restart"/>
            <w:tcBorders>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df</w:t>
            </w:r>
          </w:p>
        </w:tc>
        <w:tc>
          <w:tcPr>
            <w:tcW w:w="851" w:type="dxa"/>
            <w:vMerge w:val="restart"/>
            <w:tcBorders>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Sig. (2-tailed)</w:t>
            </w:r>
          </w:p>
        </w:tc>
        <w:tc>
          <w:tcPr>
            <w:tcW w:w="1277" w:type="dxa"/>
            <w:vMerge w:val="restart"/>
            <w:tcBorders>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Mean Difference</w:t>
            </w:r>
          </w:p>
        </w:tc>
        <w:tc>
          <w:tcPr>
            <w:tcW w:w="1276" w:type="dxa"/>
            <w:vMerge w:val="restart"/>
            <w:tcBorders>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Std. Error Difference</w:t>
            </w:r>
          </w:p>
        </w:tc>
      </w:tr>
      <w:tr w:rsidR="0032476F" w:rsidRPr="0032476F" w:rsidTr="00CA5FBB">
        <w:trPr>
          <w:trHeight w:val="284"/>
          <w:jc w:val="center"/>
        </w:trPr>
        <w:tc>
          <w:tcPr>
            <w:tcW w:w="2625" w:type="dxa"/>
            <w:gridSpan w:val="2"/>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851"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846"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850"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993"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851"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1277"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1276"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proximal humerus</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r w:rsidR="00FD32A6" w:rsidRPr="00FD32A6">
              <w:rPr>
                <w:rFonts w:eastAsia="Times New Roman"/>
                <w:color w:val="000000"/>
                <w:vertAlign w:val="superscript"/>
                <w:lang w:val="en-GB" w:eastAsia="en-GB"/>
              </w:rPr>
              <w:t>1.</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.888</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.355</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-1.237</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26</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.227</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-.41095</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.33232</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r w:rsidR="00FD32A6" w:rsidRPr="00FD32A6">
              <w:rPr>
                <w:rFonts w:eastAsia="Times New Roman"/>
                <w:color w:val="000000"/>
                <w:vertAlign w:val="superscript"/>
                <w:lang w:val="en-GB" w:eastAsia="en-GB"/>
              </w:rPr>
              <w:t>2.</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-1.608</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18.427</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.125</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-.41095</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.25564</w:t>
            </w:r>
          </w:p>
        </w:tc>
      </w:tr>
      <w:tr w:rsidR="009076AB"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FB5ED4" w:rsidP="00CA5FBB">
            <w:pPr>
              <w:spacing w:before="0" w:line="240" w:lineRule="auto"/>
              <w:jc w:val="center"/>
              <w:rPr>
                <w:rFonts w:eastAsia="Times New Roman"/>
                <w:color w:val="000000"/>
                <w:lang w:val="en-GB" w:eastAsia="en-GB"/>
              </w:rPr>
            </w:pPr>
            <w:r>
              <w:rPr>
                <w:rFonts w:eastAsia="Times New Roman"/>
                <w:color w:val="000000"/>
                <w:lang w:val="en-GB" w:eastAsia="en-GB"/>
              </w:rPr>
              <w:t>distal humerus</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8.105</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.016</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-2.177</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.052</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-.16000</w:t>
            </w:r>
          </w:p>
        </w:tc>
        <w:tc>
          <w:tcPr>
            <w:tcW w:w="127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.07349</w:t>
            </w:r>
          </w:p>
        </w:tc>
      </w:tr>
      <w:tr w:rsidR="009076AB" w:rsidRPr="00072B62" w:rsidTr="00CA5FBB">
        <w:trPr>
          <w:trHeight w:hRule="exact" w:val="272"/>
          <w:jc w:val="center"/>
        </w:trPr>
        <w:tc>
          <w:tcPr>
            <w:tcW w:w="2058"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-1.859</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5.221</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.120</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-.16000</w:t>
            </w:r>
          </w:p>
        </w:tc>
        <w:tc>
          <w:tcPr>
            <w:tcW w:w="1276"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.08605</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AA6F14" w:rsidP="00CA5FBB">
            <w:pPr>
              <w:spacing w:before="0" w:line="240" w:lineRule="auto"/>
              <w:jc w:val="center"/>
              <w:rPr>
                <w:rFonts w:eastAsia="Times New Roman"/>
                <w:color w:val="000000"/>
                <w:lang w:val="en-GB" w:eastAsia="en-GB"/>
              </w:rPr>
            </w:pPr>
            <w:r>
              <w:rPr>
                <w:rFonts w:eastAsia="Times New Roman"/>
                <w:color w:val="000000"/>
                <w:lang w:val="en-GB" w:eastAsia="en-GB"/>
              </w:rPr>
              <w:t xml:space="preserve">humeral </w:t>
            </w:r>
            <w:r w:rsidR="0032476F" w:rsidRPr="0032476F">
              <w:rPr>
                <w:rFonts w:eastAsia="Times New Roman"/>
                <w:color w:val="000000"/>
                <w:lang w:val="en-GB" w:eastAsia="en-GB"/>
              </w:rPr>
              <w:t>medial epicondyle</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6.342</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.024</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.027</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15</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.979</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.00542</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.20370</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.028</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10.907</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.978</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.00542</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.19486</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proximal radius</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.004</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.953</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-.151</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.882</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-.06136</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.40652</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-.136</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4.547</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.897</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-.06136</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.45025</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distal radius</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7.158</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.013</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1.682</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.106</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.40248</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.23927</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1.309</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9.182</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.222</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.40248</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.30740</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proximal ulna</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.397</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.542</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.229</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.823</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.12238</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.53373</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.238</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9.994</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.816</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.12238</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.51319</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distal ulna</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2.551</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.127</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1.684</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.108</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.30357</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.18022</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1.330</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7.286</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.224</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.30357</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.22825</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distal phalanges (hand)</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1.877</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.220</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-.131</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.900</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-.04933</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.37710</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-.163</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5.404</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.876</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-.04933</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.30214</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base of metacarpal 1</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4.753</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.052</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2.485</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.030</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.79500</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.31986</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2.118</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5.184</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.086</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.79500</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.37544</w:t>
            </w:r>
          </w:p>
        </w:tc>
      </w:tr>
      <w:tr w:rsidR="009076AB" w:rsidRPr="00072B62" w:rsidTr="00CA5FBB">
        <w:trPr>
          <w:trHeight w:hRule="exact" w:val="272"/>
          <w:jc w:val="center"/>
        </w:trPr>
        <w:tc>
          <w:tcPr>
            <w:tcW w:w="2058" w:type="dxa"/>
            <w:vMerge w:val="restart"/>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proximal a</w:t>
            </w:r>
            <w:r>
              <w:rPr>
                <w:rFonts w:eastAsia="Times New Roman"/>
                <w:color w:val="000000"/>
                <w:lang w:val="en-GB" w:eastAsia="en-GB"/>
              </w:rPr>
              <w:t>nd middle</w:t>
            </w:r>
            <w:r w:rsidR="002762B6">
              <w:rPr>
                <w:rFonts w:eastAsia="Times New Roman"/>
                <w:color w:val="000000"/>
                <w:lang w:val="en-GB" w:eastAsia="en-GB"/>
              </w:rPr>
              <w:t xml:space="preserve"> </w:t>
            </w:r>
            <w:r>
              <w:rPr>
                <w:rFonts w:eastAsia="Times New Roman"/>
                <w:color w:val="000000"/>
                <w:lang w:val="en-GB" w:eastAsia="en-GB"/>
              </w:rPr>
              <w:t>phalanges (hand)</w:t>
            </w:r>
          </w:p>
        </w:tc>
        <w:tc>
          <w:tcPr>
            <w:tcW w:w="56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2.528</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0.134</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-0.592</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14</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0.563</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-0.213</w:t>
            </w:r>
          </w:p>
        </w:tc>
        <w:tc>
          <w:tcPr>
            <w:tcW w:w="127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0.35974</w:t>
            </w:r>
          </w:p>
        </w:tc>
      </w:tr>
      <w:tr w:rsidR="009076AB" w:rsidRPr="00072B62" w:rsidTr="00CA5FBB">
        <w:trPr>
          <w:trHeight w:hRule="exact" w:val="272"/>
          <w:jc w:val="center"/>
        </w:trPr>
        <w:tc>
          <w:tcPr>
            <w:tcW w:w="2058"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-0.514</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6.937</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0.623</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-0.213</w:t>
            </w:r>
          </w:p>
        </w:tc>
        <w:tc>
          <w:tcPr>
            <w:tcW w:w="1276"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0.4144</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heads of metacarpals 2-5 (hand)</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.418</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.532</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-.484</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10</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.639</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-.20111</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.41593</w:t>
            </w:r>
          </w:p>
        </w:tc>
      </w:tr>
      <w:tr w:rsidR="004A3D3C" w:rsidRPr="00072B62" w:rsidTr="00CA5FBB">
        <w:trPr>
          <w:trHeight w:hRule="exact" w:val="491"/>
          <w:jc w:val="center"/>
        </w:trPr>
        <w:tc>
          <w:tcPr>
            <w:tcW w:w="2058"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-.411</w:t>
            </w:r>
          </w:p>
        </w:tc>
        <w:tc>
          <w:tcPr>
            <w:tcW w:w="993" w:type="dxa"/>
            <w:tcBorders>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2.779</w:t>
            </w:r>
          </w:p>
        </w:tc>
        <w:tc>
          <w:tcPr>
            <w:tcW w:w="851" w:type="dxa"/>
            <w:tcBorders>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.711</w:t>
            </w:r>
          </w:p>
        </w:tc>
        <w:tc>
          <w:tcPr>
            <w:tcW w:w="1277" w:type="dxa"/>
            <w:tcBorders>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-.20111</w:t>
            </w:r>
          </w:p>
        </w:tc>
        <w:tc>
          <w:tcPr>
            <w:tcW w:w="1276" w:type="dxa"/>
            <w:tcBorders>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.48949</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femoral head</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.136</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.718</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.241</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14</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.813</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.06927</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.28713</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.202</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5.510</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.847</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.06927</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.34253</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greater trochanter</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1.186</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.297</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-.515</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12</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.616</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-.09636</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.18694</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-.871</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10.973</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.402</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-.09636</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.11060</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lesser trochanter</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19.369</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.003</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1.082</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.315</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.33700</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.31150</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.968</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3.358</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.398</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.33700</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.34820</w:t>
            </w:r>
          </w:p>
        </w:tc>
      </w:tr>
      <w:tr w:rsidR="004A3D3C" w:rsidRPr="00072B62" w:rsidTr="00CA5FBB">
        <w:trPr>
          <w:trHeight w:hRule="exact" w:val="272"/>
          <w:jc w:val="center"/>
        </w:trPr>
        <w:tc>
          <w:tcPr>
            <w:tcW w:w="2058"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distal femur</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.356</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.555</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1.178</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.249</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.25351</w:t>
            </w:r>
          </w:p>
        </w:tc>
        <w:tc>
          <w:tcPr>
            <w:tcW w:w="127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.21517</w:t>
            </w:r>
          </w:p>
        </w:tc>
      </w:tr>
      <w:tr w:rsidR="004A3D3C" w:rsidRPr="00072B62" w:rsidTr="00CA5FBB">
        <w:trPr>
          <w:trHeight w:hRule="exact" w:val="272"/>
          <w:jc w:val="center"/>
        </w:trPr>
        <w:tc>
          <w:tcPr>
            <w:tcW w:w="2058"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1.109</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11.372</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.290</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.25351</w:t>
            </w:r>
          </w:p>
        </w:tc>
        <w:tc>
          <w:tcPr>
            <w:tcW w:w="1276"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.22856</w:t>
            </w:r>
          </w:p>
        </w:tc>
      </w:tr>
    </w:tbl>
    <w:p w:rsidR="00597B63" w:rsidRDefault="00597B63" w:rsidP="00597B63">
      <w:pPr>
        <w:pStyle w:val="ListParagraph"/>
        <w:numPr>
          <w:ilvl w:val="0"/>
          <w:numId w:val="24"/>
        </w:numPr>
        <w:spacing w:before="0" w:line="240" w:lineRule="auto"/>
        <w:ind w:left="714" w:hanging="357"/>
        <w:rPr>
          <w:rFonts w:eastAsia="Times New Roman"/>
          <w:color w:val="000000"/>
          <w:sz w:val="20"/>
          <w:szCs w:val="20"/>
          <w:lang w:val="en-GB" w:eastAsia="en-GB"/>
        </w:rPr>
      </w:pPr>
      <w:r w:rsidRPr="00F67A8A">
        <w:rPr>
          <w:rFonts w:eastAsia="Times New Roman"/>
          <w:color w:val="000000"/>
          <w:sz w:val="20"/>
          <w:szCs w:val="20"/>
          <w:lang w:val="en-GB" w:eastAsia="en-GB"/>
        </w:rPr>
        <w:t>Equal variances assumed</w:t>
      </w:r>
    </w:p>
    <w:p w:rsidR="00597B63" w:rsidRPr="00812DB0" w:rsidRDefault="00597B63" w:rsidP="00597B63">
      <w:pPr>
        <w:pStyle w:val="ListParagraph"/>
        <w:numPr>
          <w:ilvl w:val="0"/>
          <w:numId w:val="24"/>
        </w:numPr>
        <w:spacing w:before="0" w:line="240" w:lineRule="auto"/>
        <w:ind w:left="714" w:hanging="357"/>
        <w:rPr>
          <w:rFonts w:eastAsia="Times New Roman"/>
          <w:color w:val="000000"/>
          <w:sz w:val="20"/>
          <w:szCs w:val="20"/>
          <w:lang w:val="en-GB" w:eastAsia="en-GB"/>
        </w:rPr>
      </w:pPr>
      <w:r w:rsidRPr="00F67A8A">
        <w:rPr>
          <w:rFonts w:eastAsia="Times New Roman"/>
          <w:color w:val="000000"/>
          <w:sz w:val="20"/>
          <w:szCs w:val="20"/>
          <w:lang w:val="en-GB" w:eastAsia="en-GB"/>
        </w:rPr>
        <w:t>Equal variances not assumed</w:t>
      </w:r>
    </w:p>
    <w:p w:rsidR="00551874" w:rsidRDefault="00597B63" w:rsidP="00597B63">
      <w:pPr>
        <w:jc w:val="right"/>
      </w:pPr>
      <w:r w:rsidRPr="00FA3732">
        <w:t xml:space="preserve"> </w:t>
      </w:r>
      <w:r w:rsidR="00FA3732" w:rsidRPr="00FA3732">
        <w:t>(</w:t>
      </w:r>
      <w:proofErr w:type="gramStart"/>
      <w:r w:rsidR="00FA3732" w:rsidRPr="00FA3732">
        <w:t>continued</w:t>
      </w:r>
      <w:proofErr w:type="gramEnd"/>
      <w:r w:rsidR="00FA3732" w:rsidRPr="00FA3732">
        <w:t>)</w:t>
      </w:r>
    </w:p>
    <w:p w:rsidR="00551874" w:rsidRDefault="00551874">
      <w:pPr>
        <w:spacing w:before="0" w:after="200" w:line="276" w:lineRule="auto"/>
        <w:jc w:val="left"/>
      </w:pPr>
      <w:r>
        <w:br w:type="page"/>
      </w:r>
    </w:p>
    <w:p w:rsidR="00B554F6" w:rsidRDefault="00B554F6" w:rsidP="00597B63">
      <w:pPr>
        <w:jc w:val="right"/>
      </w:pPr>
    </w:p>
    <w:tbl>
      <w:tblPr>
        <w:tblW w:w="9687" w:type="dxa"/>
        <w:jc w:val="center"/>
        <w:tblInd w:w="93" w:type="dxa"/>
        <w:tblLayout w:type="fixed"/>
        <w:tblLook w:val="04A0" w:firstRow="1" w:lastRow="0" w:firstColumn="1" w:lastColumn="0" w:noHBand="0" w:noVBand="1"/>
      </w:tblPr>
      <w:tblGrid>
        <w:gridCol w:w="2129"/>
        <w:gridCol w:w="567"/>
        <w:gridCol w:w="851"/>
        <w:gridCol w:w="846"/>
        <w:gridCol w:w="850"/>
        <w:gridCol w:w="993"/>
        <w:gridCol w:w="851"/>
        <w:gridCol w:w="1277"/>
        <w:gridCol w:w="1323"/>
      </w:tblGrid>
      <w:tr w:rsidR="00B554F6" w:rsidRPr="00072B62" w:rsidTr="00551874">
        <w:trPr>
          <w:trHeight w:val="284"/>
          <w:jc w:val="center"/>
        </w:trPr>
        <w:tc>
          <w:tcPr>
            <w:tcW w:w="2696" w:type="dxa"/>
            <w:gridSpan w:val="2"/>
            <w:vMerge w:val="restart"/>
            <w:tcBorders>
              <w:top w:val="single" w:sz="4" w:space="0" w:color="auto"/>
            </w:tcBorders>
            <w:shd w:val="clear" w:color="auto" w:fill="auto"/>
            <w:vAlign w:val="center"/>
          </w:tcPr>
          <w:p w:rsidR="00B554F6" w:rsidRPr="0032476F" w:rsidRDefault="00551874">
            <w:pPr>
              <w:spacing w:before="0" w:line="240" w:lineRule="auto"/>
              <w:jc w:val="center"/>
              <w:rPr>
                <w:rFonts w:eastAsia="Times New Roman"/>
                <w:color w:val="000000"/>
                <w:lang w:val="en-GB" w:eastAsia="en-GB"/>
              </w:rPr>
            </w:pPr>
            <w:r>
              <w:rPr>
                <w:rFonts w:eastAsia="Times New Roman"/>
                <w:b/>
                <w:color w:val="000000"/>
                <w:lang w:val="en-GB" w:eastAsia="en-GB"/>
              </w:rPr>
              <w:t>e</w:t>
            </w:r>
            <w:r w:rsidR="00B554F6">
              <w:rPr>
                <w:rFonts w:eastAsia="Times New Roman"/>
                <w:b/>
                <w:color w:val="000000"/>
                <w:lang w:val="en-GB" w:eastAsia="en-GB"/>
              </w:rPr>
              <w:t>piphysis</w:t>
            </w:r>
          </w:p>
        </w:tc>
        <w:tc>
          <w:tcPr>
            <w:tcW w:w="1697" w:type="dxa"/>
            <w:gridSpan w:val="2"/>
            <w:tcBorders>
              <w:top w:val="single" w:sz="4" w:space="0" w:color="auto"/>
              <w:bottom w:val="single" w:sz="4" w:space="0" w:color="auto"/>
            </w:tcBorders>
            <w:shd w:val="clear" w:color="auto" w:fill="auto"/>
            <w:noWrap/>
            <w:vAlign w:val="center"/>
          </w:tcPr>
          <w:p w:rsidR="00B554F6" w:rsidRPr="009040A8" w:rsidRDefault="00551874">
            <w:pPr>
              <w:spacing w:before="0" w:line="240" w:lineRule="auto"/>
              <w:jc w:val="center"/>
              <w:rPr>
                <w:rFonts w:eastAsia="Times New Roman"/>
                <w:color w:val="000000" w:themeColor="text1"/>
                <w:lang w:val="en-GB" w:eastAsia="en-GB"/>
              </w:rPr>
            </w:pPr>
            <w:r>
              <w:rPr>
                <w:rFonts w:eastAsia="Times New Roman"/>
                <w:b/>
                <w:color w:val="000000"/>
                <w:lang w:val="en-GB" w:eastAsia="en-GB"/>
              </w:rPr>
              <w:t>levene's test for equality of v</w:t>
            </w:r>
            <w:r w:rsidR="008943E4" w:rsidRPr="00CA5FBB">
              <w:rPr>
                <w:rFonts w:eastAsia="Times New Roman"/>
                <w:b/>
                <w:color w:val="000000"/>
                <w:lang w:val="en-GB" w:eastAsia="en-GB"/>
              </w:rPr>
              <w:t>ariances</w:t>
            </w:r>
          </w:p>
        </w:tc>
        <w:tc>
          <w:tcPr>
            <w:tcW w:w="5294" w:type="dxa"/>
            <w:gridSpan w:val="5"/>
            <w:tcBorders>
              <w:top w:val="single" w:sz="4" w:space="0" w:color="auto"/>
              <w:bottom w:val="single" w:sz="4" w:space="0" w:color="auto"/>
            </w:tcBorders>
            <w:shd w:val="clear" w:color="auto" w:fill="auto"/>
            <w:noWrap/>
            <w:vAlign w:val="center"/>
          </w:tcPr>
          <w:p w:rsidR="00B554F6" w:rsidRPr="00B554F6" w:rsidRDefault="00551874">
            <w:pPr>
              <w:spacing w:before="0" w:line="240" w:lineRule="auto"/>
              <w:jc w:val="center"/>
              <w:rPr>
                <w:rFonts w:eastAsia="Times New Roman"/>
                <w:b/>
                <w:color w:val="000000" w:themeColor="text1"/>
                <w:lang w:val="en-GB" w:eastAsia="en-GB"/>
              </w:rPr>
            </w:pPr>
            <w:r>
              <w:rPr>
                <w:rFonts w:eastAsia="Times New Roman"/>
                <w:b/>
                <w:color w:val="000000"/>
                <w:lang w:val="en-GB" w:eastAsia="en-GB"/>
              </w:rPr>
              <w:t>t-test for equality of m</w:t>
            </w:r>
            <w:r w:rsidR="008943E4" w:rsidRPr="00CA5FBB">
              <w:rPr>
                <w:rFonts w:eastAsia="Times New Roman"/>
                <w:b/>
                <w:color w:val="000000"/>
                <w:lang w:val="en-GB" w:eastAsia="en-GB"/>
              </w:rPr>
              <w:t>eans</w:t>
            </w:r>
          </w:p>
        </w:tc>
      </w:tr>
      <w:tr w:rsidR="00B554F6" w:rsidRPr="00072B62" w:rsidTr="00B80870">
        <w:trPr>
          <w:trHeight w:val="284"/>
          <w:jc w:val="center"/>
        </w:trPr>
        <w:tc>
          <w:tcPr>
            <w:tcW w:w="2696" w:type="dxa"/>
            <w:gridSpan w:val="2"/>
            <w:vMerge/>
            <w:tcBorders>
              <w:bottom w:val="single" w:sz="4" w:space="0" w:color="auto"/>
            </w:tcBorders>
            <w:shd w:val="clear" w:color="auto" w:fill="auto"/>
            <w:vAlign w:val="center"/>
          </w:tcPr>
          <w:p w:rsidR="00B554F6" w:rsidRPr="0032476F" w:rsidRDefault="00B554F6">
            <w:pPr>
              <w:spacing w:before="0" w:line="240" w:lineRule="auto"/>
              <w:jc w:val="center"/>
              <w:rPr>
                <w:rFonts w:eastAsia="Times New Roman"/>
                <w:color w:val="000000"/>
                <w:lang w:val="en-GB" w:eastAsia="en-GB"/>
              </w:rPr>
            </w:pPr>
          </w:p>
        </w:tc>
        <w:tc>
          <w:tcPr>
            <w:tcW w:w="851" w:type="dxa"/>
            <w:tcBorders>
              <w:top w:val="single" w:sz="4" w:space="0" w:color="auto"/>
              <w:bottom w:val="single" w:sz="4" w:space="0" w:color="auto"/>
            </w:tcBorders>
            <w:shd w:val="clear" w:color="auto" w:fill="auto"/>
            <w:noWrap/>
            <w:vAlign w:val="center"/>
          </w:tcPr>
          <w:p w:rsidR="00B554F6" w:rsidRPr="00045771" w:rsidRDefault="00B554F6">
            <w:pPr>
              <w:spacing w:before="0" w:line="240" w:lineRule="auto"/>
              <w:jc w:val="center"/>
              <w:rPr>
                <w:rFonts w:eastAsia="Times New Roman"/>
                <w:b/>
                <w:i/>
                <w:color w:val="000000"/>
                <w:lang w:val="en-GB" w:eastAsia="en-GB"/>
              </w:rPr>
            </w:pPr>
            <w:r w:rsidRPr="00045771">
              <w:rPr>
                <w:rFonts w:eastAsia="Times New Roman"/>
                <w:b/>
                <w:i/>
                <w:color w:val="000000"/>
                <w:lang w:val="en-GB" w:eastAsia="en-GB"/>
              </w:rPr>
              <w:t>F</w:t>
            </w:r>
          </w:p>
        </w:tc>
        <w:tc>
          <w:tcPr>
            <w:tcW w:w="846" w:type="dxa"/>
            <w:tcBorders>
              <w:top w:val="single" w:sz="4" w:space="0" w:color="auto"/>
              <w:bottom w:val="single" w:sz="4" w:space="0" w:color="auto"/>
            </w:tcBorders>
            <w:shd w:val="clear" w:color="auto" w:fill="auto"/>
            <w:noWrap/>
            <w:vAlign w:val="center"/>
          </w:tcPr>
          <w:p w:rsidR="00B554F6" w:rsidRPr="009040A8" w:rsidRDefault="008943E4">
            <w:pPr>
              <w:spacing w:before="0" w:line="240" w:lineRule="auto"/>
              <w:jc w:val="center"/>
              <w:rPr>
                <w:rFonts w:eastAsia="Times New Roman"/>
                <w:color w:val="000000" w:themeColor="text1"/>
                <w:lang w:val="en-GB" w:eastAsia="en-GB"/>
              </w:rPr>
            </w:pPr>
            <w:r w:rsidRPr="00CA5FBB">
              <w:rPr>
                <w:rFonts w:eastAsia="Times New Roman"/>
                <w:b/>
                <w:color w:val="000000"/>
                <w:lang w:val="en-GB" w:eastAsia="en-GB"/>
              </w:rPr>
              <w:t>Sig.</w:t>
            </w:r>
          </w:p>
        </w:tc>
        <w:tc>
          <w:tcPr>
            <w:tcW w:w="850" w:type="dxa"/>
            <w:tcBorders>
              <w:top w:val="single" w:sz="4" w:space="0" w:color="auto"/>
              <w:bottom w:val="single" w:sz="4" w:space="0" w:color="auto"/>
            </w:tcBorders>
            <w:shd w:val="clear" w:color="auto" w:fill="auto"/>
            <w:noWrap/>
            <w:vAlign w:val="center"/>
          </w:tcPr>
          <w:p w:rsidR="00B554F6" w:rsidRPr="00B554F6" w:rsidRDefault="00B554F6">
            <w:pPr>
              <w:spacing w:before="0" w:line="240" w:lineRule="auto"/>
              <w:jc w:val="center"/>
              <w:rPr>
                <w:rFonts w:eastAsia="Times New Roman"/>
                <w:b/>
                <w:color w:val="000000" w:themeColor="text1"/>
                <w:lang w:val="en-GB" w:eastAsia="en-GB"/>
              </w:rPr>
            </w:pPr>
            <w:r w:rsidRPr="00B554F6">
              <w:rPr>
                <w:rFonts w:eastAsia="Times New Roman"/>
                <w:b/>
                <w:color w:val="000000" w:themeColor="text1"/>
                <w:lang w:val="en-GB" w:eastAsia="en-GB"/>
              </w:rPr>
              <w:t>t</w:t>
            </w:r>
          </w:p>
        </w:tc>
        <w:tc>
          <w:tcPr>
            <w:tcW w:w="993" w:type="dxa"/>
            <w:tcBorders>
              <w:top w:val="single" w:sz="4" w:space="0" w:color="auto"/>
              <w:bottom w:val="single" w:sz="4" w:space="0" w:color="auto"/>
            </w:tcBorders>
            <w:shd w:val="clear" w:color="auto" w:fill="auto"/>
            <w:noWrap/>
            <w:vAlign w:val="center"/>
          </w:tcPr>
          <w:p w:rsidR="00B554F6" w:rsidRPr="00B554F6" w:rsidRDefault="00B554F6">
            <w:pPr>
              <w:spacing w:before="0" w:line="240" w:lineRule="auto"/>
              <w:jc w:val="center"/>
              <w:rPr>
                <w:rFonts w:eastAsia="Times New Roman"/>
                <w:b/>
                <w:color w:val="000000" w:themeColor="text1"/>
                <w:lang w:val="en-GB" w:eastAsia="en-GB"/>
              </w:rPr>
            </w:pPr>
            <w:r>
              <w:rPr>
                <w:rFonts w:eastAsia="Times New Roman"/>
                <w:b/>
                <w:color w:val="000000" w:themeColor="text1"/>
                <w:lang w:val="en-GB" w:eastAsia="en-GB"/>
              </w:rPr>
              <w:t>df</w:t>
            </w:r>
          </w:p>
        </w:tc>
        <w:tc>
          <w:tcPr>
            <w:tcW w:w="851" w:type="dxa"/>
            <w:tcBorders>
              <w:top w:val="single" w:sz="4" w:space="0" w:color="auto"/>
              <w:bottom w:val="single" w:sz="4" w:space="0" w:color="auto"/>
            </w:tcBorders>
            <w:shd w:val="clear" w:color="auto" w:fill="auto"/>
            <w:noWrap/>
            <w:vAlign w:val="center"/>
          </w:tcPr>
          <w:p w:rsidR="00B554F6" w:rsidRPr="009040A8" w:rsidRDefault="008943E4">
            <w:pPr>
              <w:spacing w:before="0" w:line="240" w:lineRule="auto"/>
              <w:jc w:val="center"/>
              <w:rPr>
                <w:rFonts w:eastAsia="Times New Roman"/>
                <w:color w:val="000000" w:themeColor="text1"/>
                <w:lang w:val="en-GB" w:eastAsia="en-GB"/>
              </w:rPr>
            </w:pPr>
            <w:r w:rsidRPr="00CA5FBB">
              <w:rPr>
                <w:rFonts w:eastAsia="Times New Roman"/>
                <w:b/>
                <w:color w:val="000000"/>
                <w:lang w:val="en-GB" w:eastAsia="en-GB"/>
              </w:rPr>
              <w:t>Sig. (2-tailed)</w:t>
            </w:r>
          </w:p>
        </w:tc>
        <w:tc>
          <w:tcPr>
            <w:tcW w:w="1277" w:type="dxa"/>
            <w:tcBorders>
              <w:top w:val="single" w:sz="4" w:space="0" w:color="auto"/>
              <w:bottom w:val="single" w:sz="4" w:space="0" w:color="auto"/>
            </w:tcBorders>
            <w:shd w:val="clear" w:color="auto" w:fill="auto"/>
            <w:noWrap/>
            <w:vAlign w:val="center"/>
          </w:tcPr>
          <w:p w:rsidR="00B554F6" w:rsidRPr="00B554F6" w:rsidRDefault="00B554F6">
            <w:pPr>
              <w:spacing w:before="0" w:line="240" w:lineRule="auto"/>
              <w:jc w:val="center"/>
              <w:rPr>
                <w:rFonts w:eastAsia="Times New Roman"/>
                <w:b/>
                <w:color w:val="000000" w:themeColor="text1"/>
                <w:lang w:val="en-GB" w:eastAsia="en-GB"/>
              </w:rPr>
            </w:pPr>
            <w:r w:rsidRPr="00B554F6">
              <w:rPr>
                <w:rFonts w:eastAsia="Times New Roman"/>
                <w:b/>
                <w:color w:val="000000" w:themeColor="text1"/>
                <w:lang w:val="en-GB" w:eastAsia="en-GB"/>
              </w:rPr>
              <w:t>Mean Difference</w:t>
            </w:r>
          </w:p>
        </w:tc>
        <w:tc>
          <w:tcPr>
            <w:tcW w:w="1323" w:type="dxa"/>
            <w:tcBorders>
              <w:top w:val="single" w:sz="4" w:space="0" w:color="auto"/>
              <w:bottom w:val="single" w:sz="4" w:space="0" w:color="auto"/>
            </w:tcBorders>
            <w:shd w:val="clear" w:color="auto" w:fill="auto"/>
            <w:noWrap/>
            <w:vAlign w:val="center"/>
          </w:tcPr>
          <w:p w:rsidR="00B554F6" w:rsidRPr="009040A8" w:rsidRDefault="008943E4">
            <w:pPr>
              <w:spacing w:before="0" w:line="240" w:lineRule="auto"/>
              <w:jc w:val="center"/>
              <w:rPr>
                <w:rFonts w:eastAsia="Times New Roman"/>
                <w:color w:val="000000" w:themeColor="text1"/>
                <w:lang w:val="en-GB" w:eastAsia="en-GB"/>
              </w:rPr>
            </w:pPr>
            <w:r w:rsidRPr="00CA5FBB">
              <w:rPr>
                <w:rFonts w:eastAsia="Times New Roman"/>
                <w:b/>
                <w:color w:val="000000"/>
                <w:lang w:val="en-GB" w:eastAsia="en-GB"/>
              </w:rPr>
              <w:t>Std. Error Difference</w:t>
            </w:r>
          </w:p>
        </w:tc>
      </w:tr>
      <w:tr w:rsidR="004A3D3C"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proximal tibia</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r w:rsidR="002A7A46" w:rsidRPr="002A7A46">
              <w:rPr>
                <w:rFonts w:eastAsia="Times New Roman"/>
                <w:color w:val="000000"/>
                <w:vertAlign w:val="superscript"/>
                <w:lang w:val="en-GB" w:eastAsia="en-GB"/>
              </w:rPr>
              <w:t>1</w:t>
            </w:r>
            <w:r w:rsidR="002A7A46">
              <w:rPr>
                <w:rFonts w:eastAsia="Times New Roman"/>
                <w:color w:val="000000"/>
                <w:vertAlign w:val="superscript"/>
                <w:lang w:val="en-GB" w:eastAsia="en-GB"/>
              </w:rPr>
              <w:t>.</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2.395</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.133</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1.151</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.260</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.26631</w:t>
            </w:r>
          </w:p>
        </w:tc>
        <w:tc>
          <w:tcPr>
            <w:tcW w:w="132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.23130</w:t>
            </w:r>
          </w:p>
        </w:tc>
      </w:tr>
      <w:tr w:rsidR="004A3D3C" w:rsidRPr="00072B62" w:rsidTr="00CA5FBB">
        <w:trPr>
          <w:trHeight w:hRule="exact" w:val="272"/>
          <w:jc w:val="center"/>
        </w:trPr>
        <w:tc>
          <w:tcPr>
            <w:tcW w:w="2129"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r w:rsidR="002A7A46" w:rsidRPr="002A7A46">
              <w:rPr>
                <w:rFonts w:eastAsia="Times New Roman"/>
                <w:color w:val="000000"/>
                <w:vertAlign w:val="superscript"/>
                <w:lang w:val="en-GB" w:eastAsia="en-GB"/>
              </w:rPr>
              <w:t>2.</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.914</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8.925</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.385</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.26631</w:t>
            </w:r>
          </w:p>
        </w:tc>
        <w:tc>
          <w:tcPr>
            <w:tcW w:w="132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.29129</w:t>
            </w:r>
          </w:p>
        </w:tc>
      </w:tr>
      <w:tr w:rsidR="004A3D3C"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distal tibia</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3.421</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.079</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.208</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20</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.837</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.05179</w:t>
            </w:r>
          </w:p>
        </w:tc>
        <w:tc>
          <w:tcPr>
            <w:tcW w:w="132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.24904</w:t>
            </w:r>
          </w:p>
        </w:tc>
      </w:tr>
      <w:tr w:rsidR="004A3D3C" w:rsidRPr="00072B62" w:rsidTr="00CA5FBB">
        <w:trPr>
          <w:trHeight w:hRule="exact" w:val="272"/>
          <w:jc w:val="center"/>
        </w:trPr>
        <w:tc>
          <w:tcPr>
            <w:tcW w:w="2129"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.176</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9.225</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.864</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.05179</w:t>
            </w:r>
          </w:p>
        </w:tc>
        <w:tc>
          <w:tcPr>
            <w:tcW w:w="132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.29421</w:t>
            </w:r>
          </w:p>
        </w:tc>
      </w:tr>
      <w:tr w:rsidR="004A3D3C"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proximal fibula</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.006</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.937</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.300</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21</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.767</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.05455</w:t>
            </w:r>
          </w:p>
        </w:tc>
        <w:tc>
          <w:tcPr>
            <w:tcW w:w="132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.18179</w:t>
            </w:r>
          </w:p>
        </w:tc>
      </w:tr>
      <w:tr w:rsidR="004A3D3C" w:rsidRPr="00072B62" w:rsidTr="00CA5FBB">
        <w:trPr>
          <w:trHeight w:hRule="exact" w:val="272"/>
          <w:jc w:val="center"/>
        </w:trPr>
        <w:tc>
          <w:tcPr>
            <w:tcW w:w="2129"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.281</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9.988</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.785</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.05455</w:t>
            </w:r>
          </w:p>
        </w:tc>
        <w:tc>
          <w:tcPr>
            <w:tcW w:w="132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.19431</w:t>
            </w:r>
          </w:p>
        </w:tc>
      </w:tr>
      <w:tr w:rsidR="004A3D3C"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distal fibula</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9.564</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.007</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-.159</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17</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.875</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-.04211</w:t>
            </w:r>
          </w:p>
        </w:tc>
        <w:tc>
          <w:tcPr>
            <w:tcW w:w="132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.26412</w:t>
            </w:r>
          </w:p>
        </w:tc>
      </w:tr>
      <w:tr w:rsidR="004A3D3C" w:rsidRPr="00072B62" w:rsidTr="00CA5FBB">
        <w:trPr>
          <w:trHeight w:hRule="exact" w:val="272"/>
          <w:jc w:val="center"/>
        </w:trPr>
        <w:tc>
          <w:tcPr>
            <w:tcW w:w="2129"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-.153</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9.968</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.882</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-.04211</w:t>
            </w:r>
          </w:p>
        </w:tc>
        <w:tc>
          <w:tcPr>
            <w:tcW w:w="132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.27555</w:t>
            </w:r>
          </w:p>
        </w:tc>
      </w:tr>
      <w:tr w:rsidR="004A3D3C"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triradiate</w:t>
            </w:r>
          </w:p>
        </w:tc>
        <w:tc>
          <w:tcPr>
            <w:tcW w:w="567" w:type="dxa"/>
            <w:tcBorders>
              <w:top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.003</w:t>
            </w:r>
          </w:p>
        </w:tc>
        <w:tc>
          <w:tcPr>
            <w:tcW w:w="846"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.956</w:t>
            </w:r>
          </w:p>
        </w:tc>
        <w:tc>
          <w:tcPr>
            <w:tcW w:w="850"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.133</w:t>
            </w:r>
          </w:p>
        </w:tc>
        <w:tc>
          <w:tcPr>
            <w:tcW w:w="99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17</w:t>
            </w:r>
          </w:p>
        </w:tc>
        <w:tc>
          <w:tcPr>
            <w:tcW w:w="851"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.896</w:t>
            </w:r>
          </w:p>
        </w:tc>
        <w:tc>
          <w:tcPr>
            <w:tcW w:w="1277"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.03622</w:t>
            </w:r>
          </w:p>
        </w:tc>
        <w:tc>
          <w:tcPr>
            <w:tcW w:w="1323" w:type="dxa"/>
            <w:tcBorders>
              <w:top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.27276</w:t>
            </w:r>
          </w:p>
        </w:tc>
      </w:tr>
      <w:tr w:rsidR="004A3D3C" w:rsidRPr="00072B62" w:rsidTr="00CA5FBB">
        <w:trPr>
          <w:trHeight w:hRule="exact" w:val="272"/>
          <w:jc w:val="center"/>
        </w:trPr>
        <w:tc>
          <w:tcPr>
            <w:tcW w:w="2129"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32476F"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.133</w:t>
            </w:r>
          </w:p>
        </w:tc>
        <w:tc>
          <w:tcPr>
            <w:tcW w:w="99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16.989</w:t>
            </w:r>
          </w:p>
        </w:tc>
        <w:tc>
          <w:tcPr>
            <w:tcW w:w="851"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.895</w:t>
            </w:r>
          </w:p>
        </w:tc>
        <w:tc>
          <w:tcPr>
            <w:tcW w:w="1277"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.03622</w:t>
            </w:r>
          </w:p>
        </w:tc>
        <w:tc>
          <w:tcPr>
            <w:tcW w:w="1323" w:type="dxa"/>
            <w:tcBorders>
              <w:top w:val="nil"/>
              <w:bottom w:val="single" w:sz="4" w:space="0" w:color="auto"/>
            </w:tcBorders>
            <w:shd w:val="clear" w:color="auto" w:fill="auto"/>
            <w:noWrap/>
            <w:vAlign w:val="center"/>
            <w:hideMark/>
          </w:tcPr>
          <w:p w:rsidR="00A35CA0" w:rsidRDefault="0032476F"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.27145</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iliac crest</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.026</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.872</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-1.390</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23</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.178</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-.19100</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.13741</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-1.199</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5.314</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.281</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-.19100</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.15930</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ischial epiphysis</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.059</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.811</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2.273</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21</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.034</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.48267</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.21235</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2.088</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5.783</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.084</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.48267</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.23116</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calcaneus</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.180</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.681</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.999</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10</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.341</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.28000</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.28024</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.939</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5.229</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.389</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.28000</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.29828</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distal phalanges (foot)</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.326</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.576</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.596</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15</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.560</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.19933</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.33419</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.569</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6.856</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.588</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.19933</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.35040</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middle phalanges (foot)</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.508</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.489</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.168</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13</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.869</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.03364</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.20065</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.144</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4.239</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.892</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.03364</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.23404</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metatarsal heads 2-5 (foot)</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.009</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.924</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-.581</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.569</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-.22733</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.39133</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-.556</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2.757</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.620</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-.22733</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.40883</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proximal phalanges (foot)</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1.315</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.281</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-.646</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.534</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-.24750</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.38293</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-1.060</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7.849</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.321</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-.24750</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.23341</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base of metatarsal 1</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6.974</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.027</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.558</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.591</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.14125</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.25322</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.884</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8.615</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.401</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.14125</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.15984</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medial clavicle</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24.103</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.001</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-1.147</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9</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.281</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-.72750</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.63419</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-1.425</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8.515</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.190</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-.72750</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.51036</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coracoid</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1.947</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.182</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.871</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.396</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.19400</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.22261</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.890</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15.956</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.386</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.19400</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.21787</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sub-coracoid and glenoid</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.418</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.527</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.354</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.728</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.08550</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.24167</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.348</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14.039</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.733</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.08550</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.24566</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acromium</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.192</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.666</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2.770</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18</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.013</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.77078</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.27829</w:t>
            </w:r>
          </w:p>
        </w:tc>
      </w:tr>
      <w:tr w:rsidR="009076AB" w:rsidRPr="00072B62" w:rsidTr="00CA5FBB">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themeColor="text1"/>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2.150</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2.368</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b/>
                <w:bCs/>
                <w:color w:val="000000" w:themeColor="text1"/>
                <w:sz w:val="24"/>
                <w:szCs w:val="24"/>
                <w:lang w:val="en-GB" w:eastAsia="en-GB"/>
              </w:rPr>
            </w:pPr>
            <w:r w:rsidRPr="009040A8">
              <w:rPr>
                <w:rFonts w:eastAsia="Times New Roman"/>
                <w:b/>
                <w:bCs/>
                <w:color w:val="000000" w:themeColor="text1"/>
                <w:lang w:val="en-GB" w:eastAsia="en-GB"/>
              </w:rPr>
              <w:t>.144</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.77078</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.35853</w:t>
            </w:r>
          </w:p>
        </w:tc>
      </w:tr>
      <w:tr w:rsidR="009076AB" w:rsidRPr="00072B62" w:rsidTr="00CA5FBB">
        <w:trPr>
          <w:trHeight w:hRule="exact" w:val="272"/>
          <w:jc w:val="center"/>
        </w:trPr>
        <w:tc>
          <w:tcPr>
            <w:tcW w:w="2129" w:type="dxa"/>
            <w:vMerge w:val="restart"/>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lang w:val="en-GB" w:eastAsia="en-GB"/>
              </w:rPr>
            </w:pPr>
            <w:r w:rsidRPr="0032476F">
              <w:rPr>
                <w:rFonts w:eastAsia="Times New Roman"/>
                <w:color w:val="000000"/>
                <w:lang w:val="en-GB" w:eastAsia="en-GB"/>
              </w:rPr>
              <w:t>medial border of scapula</w:t>
            </w:r>
          </w:p>
        </w:tc>
        <w:tc>
          <w:tcPr>
            <w:tcW w:w="567" w:type="dxa"/>
            <w:tcBorders>
              <w:top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a</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.576</w:t>
            </w:r>
          </w:p>
        </w:tc>
        <w:tc>
          <w:tcPr>
            <w:tcW w:w="846"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.462</w:t>
            </w:r>
          </w:p>
        </w:tc>
        <w:tc>
          <w:tcPr>
            <w:tcW w:w="850"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-.283</w:t>
            </w:r>
          </w:p>
        </w:tc>
        <w:tc>
          <w:tcPr>
            <w:tcW w:w="99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12</w:t>
            </w:r>
          </w:p>
        </w:tc>
        <w:tc>
          <w:tcPr>
            <w:tcW w:w="851"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.782</w:t>
            </w:r>
          </w:p>
        </w:tc>
        <w:tc>
          <w:tcPr>
            <w:tcW w:w="1277"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-.04650</w:t>
            </w:r>
          </w:p>
        </w:tc>
        <w:tc>
          <w:tcPr>
            <w:tcW w:w="1323" w:type="dxa"/>
            <w:tcBorders>
              <w:top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themeColor="text1"/>
                <w:sz w:val="24"/>
                <w:szCs w:val="24"/>
                <w:lang w:val="en-GB" w:eastAsia="en-GB"/>
              </w:rPr>
            </w:pPr>
            <w:r w:rsidRPr="009040A8">
              <w:rPr>
                <w:rFonts w:eastAsia="Times New Roman"/>
                <w:color w:val="000000" w:themeColor="text1"/>
                <w:lang w:val="en-GB" w:eastAsia="en-GB"/>
              </w:rPr>
              <w:t>.16416</w:t>
            </w:r>
          </w:p>
        </w:tc>
      </w:tr>
      <w:tr w:rsidR="009076AB" w:rsidRPr="00072B62" w:rsidTr="00B80870">
        <w:trPr>
          <w:trHeight w:hRule="exact" w:val="272"/>
          <w:jc w:val="center"/>
        </w:trPr>
        <w:tc>
          <w:tcPr>
            <w:tcW w:w="212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567" w:type="dxa"/>
            <w:tcBorders>
              <w:top w:val="nil"/>
              <w:bottom w:val="single" w:sz="4" w:space="0" w:color="auto"/>
            </w:tcBorders>
            <w:shd w:val="clear" w:color="auto" w:fill="auto"/>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b</w:t>
            </w:r>
          </w:p>
        </w:tc>
        <w:tc>
          <w:tcPr>
            <w:tcW w:w="851"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46" w:type="dxa"/>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850"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-.234</w:t>
            </w:r>
          </w:p>
        </w:tc>
        <w:tc>
          <w:tcPr>
            <w:tcW w:w="99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4.075</w:t>
            </w:r>
          </w:p>
        </w:tc>
        <w:tc>
          <w:tcPr>
            <w:tcW w:w="851"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.826</w:t>
            </w:r>
          </w:p>
        </w:tc>
        <w:tc>
          <w:tcPr>
            <w:tcW w:w="1277"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-.04650</w:t>
            </w:r>
          </w:p>
        </w:tc>
        <w:tc>
          <w:tcPr>
            <w:tcW w:w="1323" w:type="dxa"/>
            <w:tcBorders>
              <w:top w:val="nil"/>
              <w:bottom w:val="single" w:sz="4" w:space="0" w:color="auto"/>
            </w:tcBorders>
            <w:shd w:val="clear" w:color="auto" w:fill="auto"/>
            <w:noWrap/>
            <w:vAlign w:val="center"/>
            <w:hideMark/>
          </w:tcPr>
          <w:p w:rsidR="00A35CA0" w:rsidRDefault="009076AB" w:rsidP="00CA5FBB">
            <w:pPr>
              <w:spacing w:before="0" w:line="240" w:lineRule="auto"/>
              <w:jc w:val="center"/>
              <w:rPr>
                <w:rFonts w:eastAsia="Times New Roman"/>
                <w:color w:val="000000"/>
                <w:sz w:val="24"/>
                <w:szCs w:val="24"/>
                <w:lang w:val="en-GB" w:eastAsia="en-GB"/>
              </w:rPr>
            </w:pPr>
            <w:r w:rsidRPr="0032476F">
              <w:rPr>
                <w:rFonts w:eastAsia="Times New Roman"/>
                <w:color w:val="000000"/>
                <w:lang w:val="en-GB" w:eastAsia="en-GB"/>
              </w:rPr>
              <w:t>.19873</w:t>
            </w:r>
          </w:p>
        </w:tc>
      </w:tr>
    </w:tbl>
    <w:p w:rsidR="002A7A46" w:rsidRDefault="002A7A46" w:rsidP="002A7A46">
      <w:pPr>
        <w:pStyle w:val="ListParagraph"/>
        <w:numPr>
          <w:ilvl w:val="0"/>
          <w:numId w:val="78"/>
        </w:numPr>
        <w:spacing w:before="0" w:line="240" w:lineRule="auto"/>
        <w:rPr>
          <w:rFonts w:eastAsia="Times New Roman"/>
          <w:color w:val="000000"/>
          <w:sz w:val="20"/>
          <w:szCs w:val="20"/>
          <w:lang w:val="en-GB" w:eastAsia="en-GB"/>
        </w:rPr>
      </w:pPr>
      <w:r w:rsidRPr="00F67A8A">
        <w:rPr>
          <w:rFonts w:eastAsia="Times New Roman"/>
          <w:color w:val="000000"/>
          <w:sz w:val="20"/>
          <w:szCs w:val="20"/>
          <w:lang w:val="en-GB" w:eastAsia="en-GB"/>
        </w:rPr>
        <w:t>Equal variances assumed</w:t>
      </w:r>
    </w:p>
    <w:p w:rsidR="002A7A46" w:rsidRPr="00812DB0" w:rsidRDefault="002A7A46" w:rsidP="002A7A46">
      <w:pPr>
        <w:pStyle w:val="ListParagraph"/>
        <w:numPr>
          <w:ilvl w:val="0"/>
          <w:numId w:val="78"/>
        </w:numPr>
        <w:spacing w:before="0" w:line="240" w:lineRule="auto"/>
        <w:ind w:left="714" w:hanging="357"/>
        <w:rPr>
          <w:rFonts w:eastAsia="Times New Roman"/>
          <w:color w:val="000000"/>
          <w:sz w:val="20"/>
          <w:szCs w:val="20"/>
          <w:lang w:val="en-GB" w:eastAsia="en-GB"/>
        </w:rPr>
      </w:pPr>
      <w:r w:rsidRPr="00F67A8A">
        <w:rPr>
          <w:rFonts w:eastAsia="Times New Roman"/>
          <w:color w:val="000000"/>
          <w:sz w:val="20"/>
          <w:szCs w:val="20"/>
          <w:lang w:val="en-GB" w:eastAsia="en-GB"/>
        </w:rPr>
        <w:t>Equal variances not assumed</w:t>
      </w:r>
    </w:p>
    <w:p w:rsidR="00955055" w:rsidRDefault="00955055">
      <w:pPr>
        <w:spacing w:before="0" w:after="200" w:line="276" w:lineRule="auto"/>
        <w:jc w:val="left"/>
        <w:rPr>
          <w:noProof/>
        </w:rPr>
      </w:pPr>
      <w:r>
        <w:rPr>
          <w:noProof/>
        </w:rPr>
        <w:br w:type="page"/>
      </w:r>
    </w:p>
    <w:p w:rsidR="00A81C70" w:rsidRDefault="0095213D" w:rsidP="00B07FB8">
      <w:pPr>
        <w:rPr>
          <w:noProof/>
        </w:rPr>
      </w:pPr>
      <w:r>
        <w:rPr>
          <w:noProof/>
        </w:rPr>
        <w:lastRenderedPageBreak/>
        <w:t xml:space="preserve">Two epiphyses </w:t>
      </w:r>
      <w:r w:rsidR="00DC2DB9">
        <w:rPr>
          <w:noProof/>
        </w:rPr>
        <w:t>with insuff</w:t>
      </w:r>
      <w:r w:rsidR="00786D60">
        <w:rPr>
          <w:noProof/>
        </w:rPr>
        <w:t xml:space="preserve">icient sample sizes were not analysed.  </w:t>
      </w:r>
      <w:r w:rsidR="002D31B6">
        <w:rPr>
          <w:noProof/>
        </w:rPr>
        <w:t>These were the lateral clavicle and</w:t>
      </w:r>
      <w:r w:rsidR="00786D60">
        <w:rPr>
          <w:noProof/>
        </w:rPr>
        <w:t xml:space="preserve"> </w:t>
      </w:r>
      <w:r>
        <w:rPr>
          <w:noProof/>
        </w:rPr>
        <w:t>the anterior inferior iliac spine.</w:t>
      </w:r>
      <w:r w:rsidR="00DC2DB9">
        <w:rPr>
          <w:noProof/>
        </w:rPr>
        <w:t xml:space="preserve">  </w:t>
      </w:r>
      <w:r w:rsidR="007476DB">
        <w:rPr>
          <w:noProof/>
        </w:rPr>
        <w:t>The majority of epiphyses show</w:t>
      </w:r>
      <w:r w:rsidR="00192620">
        <w:rPr>
          <w:noProof/>
        </w:rPr>
        <w:t>ed</w:t>
      </w:r>
      <w:r w:rsidR="007476DB">
        <w:rPr>
          <w:noProof/>
        </w:rPr>
        <w:t xml:space="preserve"> no significant difference between s</w:t>
      </w:r>
      <w:r w:rsidR="00A4555C">
        <w:rPr>
          <w:noProof/>
        </w:rPr>
        <w:t>ex</w:t>
      </w:r>
      <w:r w:rsidR="007476DB">
        <w:rPr>
          <w:noProof/>
        </w:rPr>
        <w:t xml:space="preserve">es with p values greater than 0.05.  </w:t>
      </w:r>
      <w:r w:rsidR="001C477B">
        <w:rPr>
          <w:noProof/>
        </w:rPr>
        <w:t>There were some exceptions</w:t>
      </w:r>
      <w:r w:rsidR="007424E3">
        <w:rPr>
          <w:noProof/>
        </w:rPr>
        <w:t xml:space="preserve">.  </w:t>
      </w:r>
      <w:r w:rsidR="000E7B4E">
        <w:rPr>
          <w:noProof/>
        </w:rPr>
        <w:t xml:space="preserve">For mid-fusion, </w:t>
      </w:r>
      <w:r w:rsidR="001C477B">
        <w:rPr>
          <w:noProof/>
        </w:rPr>
        <w:t xml:space="preserve">the </w:t>
      </w:r>
      <w:r w:rsidR="00FB5ED4">
        <w:rPr>
          <w:rFonts w:eastAsia="Times New Roman"/>
          <w:color w:val="000000"/>
          <w:lang w:val="en-GB" w:eastAsia="en-GB"/>
        </w:rPr>
        <w:t>distal humerus</w:t>
      </w:r>
      <w:r w:rsidR="00FB5ED4">
        <w:rPr>
          <w:noProof/>
        </w:rPr>
        <w:t xml:space="preserve"> </w:t>
      </w:r>
      <w:r w:rsidR="00BD45F1">
        <w:rPr>
          <w:noProof/>
        </w:rPr>
        <w:t>(p</w:t>
      </w:r>
      <w:r w:rsidR="00955055">
        <w:rPr>
          <w:noProof/>
        </w:rPr>
        <w:t xml:space="preserve"> </w:t>
      </w:r>
      <w:r w:rsidR="00BD45F1">
        <w:rPr>
          <w:noProof/>
        </w:rPr>
        <w:t>=</w:t>
      </w:r>
      <w:r w:rsidR="00955055">
        <w:rPr>
          <w:noProof/>
        </w:rPr>
        <w:t xml:space="preserve"> </w:t>
      </w:r>
      <w:r w:rsidR="00BD45F1">
        <w:rPr>
          <w:noProof/>
        </w:rPr>
        <w:t>0.052)</w:t>
      </w:r>
      <w:r w:rsidR="001C477B">
        <w:rPr>
          <w:noProof/>
        </w:rPr>
        <w:t>, the base of metacarpal 1</w:t>
      </w:r>
      <w:r w:rsidR="00BD45F1">
        <w:rPr>
          <w:noProof/>
        </w:rPr>
        <w:t xml:space="preserve"> (p</w:t>
      </w:r>
      <w:r w:rsidR="00955055">
        <w:rPr>
          <w:noProof/>
        </w:rPr>
        <w:t xml:space="preserve"> </w:t>
      </w:r>
      <w:r w:rsidR="00BD45F1">
        <w:rPr>
          <w:noProof/>
        </w:rPr>
        <w:t>=</w:t>
      </w:r>
      <w:r w:rsidR="00955055">
        <w:rPr>
          <w:noProof/>
        </w:rPr>
        <w:t xml:space="preserve"> </w:t>
      </w:r>
      <w:r w:rsidR="00BD45F1">
        <w:rPr>
          <w:noProof/>
        </w:rPr>
        <w:t>0.03)</w:t>
      </w:r>
      <w:r w:rsidR="001C477B">
        <w:rPr>
          <w:noProof/>
        </w:rPr>
        <w:t>, the ischial epiphysis</w:t>
      </w:r>
      <w:r w:rsidR="00BD45F1">
        <w:rPr>
          <w:noProof/>
        </w:rPr>
        <w:t xml:space="preserve"> (p</w:t>
      </w:r>
      <w:r w:rsidR="00955055">
        <w:rPr>
          <w:noProof/>
        </w:rPr>
        <w:t xml:space="preserve"> </w:t>
      </w:r>
      <w:r w:rsidR="00BD45F1">
        <w:rPr>
          <w:noProof/>
        </w:rPr>
        <w:t>=</w:t>
      </w:r>
      <w:r w:rsidR="00955055">
        <w:rPr>
          <w:noProof/>
        </w:rPr>
        <w:t xml:space="preserve"> </w:t>
      </w:r>
      <w:r w:rsidR="00BD45F1">
        <w:rPr>
          <w:noProof/>
        </w:rPr>
        <w:t>0.034)</w:t>
      </w:r>
      <w:r w:rsidR="001C477B">
        <w:rPr>
          <w:noProof/>
        </w:rPr>
        <w:t>, and the acromium</w:t>
      </w:r>
      <w:r w:rsidR="00BD45F1">
        <w:rPr>
          <w:noProof/>
        </w:rPr>
        <w:t xml:space="preserve"> (p</w:t>
      </w:r>
      <w:r w:rsidR="00955055">
        <w:rPr>
          <w:noProof/>
        </w:rPr>
        <w:t xml:space="preserve"> </w:t>
      </w:r>
      <w:r w:rsidR="00BD45F1">
        <w:rPr>
          <w:noProof/>
        </w:rPr>
        <w:t>=</w:t>
      </w:r>
      <w:r w:rsidR="00955055">
        <w:rPr>
          <w:noProof/>
        </w:rPr>
        <w:t xml:space="preserve"> </w:t>
      </w:r>
      <w:r w:rsidR="00BD45F1">
        <w:rPr>
          <w:noProof/>
        </w:rPr>
        <w:t>0.013)</w:t>
      </w:r>
      <w:r w:rsidR="000E7B4E">
        <w:rPr>
          <w:noProof/>
        </w:rPr>
        <w:t xml:space="preserve"> differed significantly</w:t>
      </w:r>
      <w:r w:rsidR="001C477B">
        <w:rPr>
          <w:noProof/>
        </w:rPr>
        <w:t xml:space="preserve">.  </w:t>
      </w:r>
      <w:r w:rsidR="00AF53E7">
        <w:rPr>
          <w:noProof/>
        </w:rPr>
        <w:t xml:space="preserve">Both sexes were found to have non-normal fusion distributions for the </w:t>
      </w:r>
      <w:r w:rsidR="00FB5ED4">
        <w:rPr>
          <w:rFonts w:eastAsia="Times New Roman"/>
          <w:color w:val="000000"/>
          <w:lang w:val="en-GB" w:eastAsia="en-GB"/>
        </w:rPr>
        <w:t>distal humerus</w:t>
      </w:r>
      <w:r w:rsidR="00F7698F">
        <w:rPr>
          <w:noProof/>
        </w:rPr>
        <w:t>.  V</w:t>
      </w:r>
      <w:r w:rsidR="001C477B">
        <w:rPr>
          <w:noProof/>
        </w:rPr>
        <w:t xml:space="preserve">ariances were </w:t>
      </w:r>
      <w:r w:rsidR="00F7698F">
        <w:rPr>
          <w:noProof/>
        </w:rPr>
        <w:t xml:space="preserve">also </w:t>
      </w:r>
      <w:r w:rsidR="001C477B">
        <w:rPr>
          <w:noProof/>
        </w:rPr>
        <w:t>unequal.</w:t>
      </w:r>
      <w:r w:rsidR="00A45D4F">
        <w:rPr>
          <w:noProof/>
        </w:rPr>
        <w:t xml:space="preserve">  When equal variances we</w:t>
      </w:r>
      <w:r w:rsidR="00333F84">
        <w:rPr>
          <w:noProof/>
        </w:rPr>
        <w:t>re not assumed, the p-</w:t>
      </w:r>
      <w:r w:rsidR="00FE292B">
        <w:rPr>
          <w:noProof/>
        </w:rPr>
        <w:t>value wa</w:t>
      </w:r>
      <w:r w:rsidR="001C477B">
        <w:rPr>
          <w:noProof/>
        </w:rPr>
        <w:t>s not statistically significant</w:t>
      </w:r>
      <w:r w:rsidR="007424E3">
        <w:rPr>
          <w:noProof/>
        </w:rPr>
        <w:t xml:space="preserve"> (p</w:t>
      </w:r>
      <w:r w:rsidR="00955055">
        <w:rPr>
          <w:noProof/>
        </w:rPr>
        <w:t xml:space="preserve"> </w:t>
      </w:r>
      <w:r w:rsidR="007424E3">
        <w:rPr>
          <w:noProof/>
        </w:rPr>
        <w:t>=</w:t>
      </w:r>
      <w:r w:rsidR="00955055">
        <w:rPr>
          <w:noProof/>
        </w:rPr>
        <w:t xml:space="preserve"> </w:t>
      </w:r>
      <w:r w:rsidR="007424E3">
        <w:rPr>
          <w:noProof/>
        </w:rPr>
        <w:t>0.12</w:t>
      </w:r>
      <w:r w:rsidR="0007368E">
        <w:rPr>
          <w:noProof/>
        </w:rPr>
        <w:t>0</w:t>
      </w:r>
      <w:r w:rsidR="007424E3">
        <w:rPr>
          <w:noProof/>
        </w:rPr>
        <w:t>)</w:t>
      </w:r>
      <w:r w:rsidR="001C477B">
        <w:rPr>
          <w:noProof/>
        </w:rPr>
        <w:t xml:space="preserve">.  For the base of metacarpal 1, </w:t>
      </w:r>
      <w:r w:rsidR="00A45D4F">
        <w:rPr>
          <w:noProof/>
        </w:rPr>
        <w:t>the variances we</w:t>
      </w:r>
      <w:r w:rsidR="00E351EE">
        <w:rPr>
          <w:noProof/>
        </w:rPr>
        <w:t>re only very slightly insignificant (p</w:t>
      </w:r>
      <w:r w:rsidR="00955055">
        <w:rPr>
          <w:noProof/>
        </w:rPr>
        <w:t xml:space="preserve"> </w:t>
      </w:r>
      <w:r w:rsidR="00E351EE">
        <w:rPr>
          <w:noProof/>
        </w:rPr>
        <w:t>=</w:t>
      </w:r>
      <w:r w:rsidR="00955055">
        <w:rPr>
          <w:noProof/>
        </w:rPr>
        <w:t xml:space="preserve"> </w:t>
      </w:r>
      <w:r w:rsidR="00E351EE">
        <w:rPr>
          <w:noProof/>
        </w:rPr>
        <w:t>0.052) and with unequal variances there is no significant difference.  For the acromium and the ischium, equal variances may be assumed.  For the acromium there may be some limitation in terms of sample size for males (</w:t>
      </w:r>
      <w:r w:rsidR="00A4555C">
        <w:rPr>
          <w:i/>
          <w:noProof/>
        </w:rPr>
        <w:t>N</w:t>
      </w:r>
      <w:r w:rsidR="00955055">
        <w:rPr>
          <w:noProof/>
        </w:rPr>
        <w:t xml:space="preserve"> </w:t>
      </w:r>
      <w:r w:rsidR="00E351EE">
        <w:rPr>
          <w:noProof/>
        </w:rPr>
        <w:t>=</w:t>
      </w:r>
      <w:r w:rsidR="00955055">
        <w:rPr>
          <w:noProof/>
        </w:rPr>
        <w:t xml:space="preserve"> </w:t>
      </w:r>
      <w:r w:rsidR="00E351EE">
        <w:rPr>
          <w:noProof/>
        </w:rPr>
        <w:t xml:space="preserve">3). For the ischium </w:t>
      </w:r>
      <w:r w:rsidR="00A4555C">
        <w:rPr>
          <w:i/>
          <w:noProof/>
        </w:rPr>
        <w:t>N</w:t>
      </w:r>
      <w:r w:rsidR="00955055">
        <w:rPr>
          <w:noProof/>
        </w:rPr>
        <w:t xml:space="preserve"> </w:t>
      </w:r>
      <w:r w:rsidR="00E351EE">
        <w:rPr>
          <w:noProof/>
        </w:rPr>
        <w:t>=</w:t>
      </w:r>
      <w:r w:rsidR="00955055">
        <w:rPr>
          <w:noProof/>
        </w:rPr>
        <w:t xml:space="preserve"> </w:t>
      </w:r>
      <w:r w:rsidR="00E351EE">
        <w:rPr>
          <w:noProof/>
        </w:rPr>
        <w:t>5 for males and</w:t>
      </w:r>
      <w:r w:rsidR="00E351EE" w:rsidRPr="00E351EE">
        <w:rPr>
          <w:noProof/>
        </w:rPr>
        <w:t xml:space="preserve"> </w:t>
      </w:r>
      <w:r w:rsidR="00A4555C">
        <w:rPr>
          <w:i/>
          <w:noProof/>
        </w:rPr>
        <w:t>N</w:t>
      </w:r>
      <w:r w:rsidR="00955055">
        <w:rPr>
          <w:noProof/>
        </w:rPr>
        <w:t xml:space="preserve"> </w:t>
      </w:r>
      <w:r w:rsidR="00E351EE" w:rsidRPr="00E351EE">
        <w:rPr>
          <w:noProof/>
        </w:rPr>
        <w:t>=</w:t>
      </w:r>
      <w:r w:rsidR="00955055">
        <w:rPr>
          <w:noProof/>
        </w:rPr>
        <w:t xml:space="preserve"> </w:t>
      </w:r>
      <w:r w:rsidR="00E351EE" w:rsidRPr="00E351EE">
        <w:rPr>
          <w:noProof/>
        </w:rPr>
        <w:t>19 for females</w:t>
      </w:r>
      <w:r w:rsidR="00A4555C">
        <w:rPr>
          <w:noProof/>
        </w:rPr>
        <w:t>.  The sample size for males wa</w:t>
      </w:r>
      <w:r w:rsidR="00434807">
        <w:rPr>
          <w:noProof/>
        </w:rPr>
        <w:t>s small but was still deemed</w:t>
      </w:r>
      <w:r w:rsidR="006D17BD">
        <w:rPr>
          <w:noProof/>
        </w:rPr>
        <w:t xml:space="preserve"> acceptable.  </w:t>
      </w:r>
      <w:r w:rsidR="00A4555C">
        <w:rPr>
          <w:noProof/>
        </w:rPr>
        <w:t xml:space="preserve">As a general statement </w:t>
      </w:r>
      <w:r w:rsidR="00F5766F">
        <w:rPr>
          <w:noProof/>
        </w:rPr>
        <w:t xml:space="preserve">males and females do not differ with respect to mean mid-fusion epiphyseal fusion timing with some possible exceptions, most notable </w:t>
      </w:r>
      <w:r w:rsidR="001747F5">
        <w:rPr>
          <w:noProof/>
        </w:rPr>
        <w:t xml:space="preserve">being </w:t>
      </w:r>
      <w:r w:rsidR="00F5766F">
        <w:rPr>
          <w:noProof/>
        </w:rPr>
        <w:t>the ischium.</w:t>
      </w:r>
      <w:r w:rsidR="00DC6CAA">
        <w:rPr>
          <w:noProof/>
        </w:rPr>
        <w:t xml:space="preserve">  </w:t>
      </w:r>
      <w:r w:rsidR="00A81C70">
        <w:rPr>
          <w:noProof/>
        </w:rPr>
        <w:t xml:space="preserve">Ranges for complete fusion were also analysed.  </w:t>
      </w:r>
      <w:r w:rsidR="00DC6CAA">
        <w:rPr>
          <w:noProof/>
        </w:rPr>
        <w:t>Table 4.</w:t>
      </w:r>
      <w:r w:rsidR="006F4D02">
        <w:rPr>
          <w:noProof/>
        </w:rPr>
        <w:t>18</w:t>
      </w:r>
      <w:r w:rsidR="00DC6CAA">
        <w:rPr>
          <w:noProof/>
        </w:rPr>
        <w:t xml:space="preserve"> </w:t>
      </w:r>
      <w:r w:rsidR="00A81C70">
        <w:rPr>
          <w:noProof/>
        </w:rPr>
        <w:t>s</w:t>
      </w:r>
      <w:r w:rsidR="00DC6CAA">
        <w:rPr>
          <w:noProof/>
        </w:rPr>
        <w:t xml:space="preserve">hows independent sample t-tests for complete fusion comparing male and female </w:t>
      </w:r>
      <w:r w:rsidR="00DC6CAA">
        <w:rPr>
          <w:i/>
          <w:noProof/>
        </w:rPr>
        <w:t>Pan troglodytes</w:t>
      </w:r>
      <w:r w:rsidR="00DC6CAA">
        <w:rPr>
          <w:noProof/>
        </w:rPr>
        <w:t>.</w:t>
      </w:r>
      <w:r w:rsidR="00A81C70">
        <w:rPr>
          <w:noProof/>
        </w:rPr>
        <w:t xml:space="preserve">  Significant values are highlighted in bold.</w:t>
      </w:r>
      <w:r w:rsidR="00DC6CAA">
        <w:rPr>
          <w:noProof/>
        </w:rPr>
        <w:t xml:space="preserve">  </w:t>
      </w:r>
      <w:r w:rsidR="00A74F15">
        <w:rPr>
          <w:noProof/>
        </w:rPr>
        <w:t>The distal tibia and proximal fibula significantly differed with equal variances assumed (p</w:t>
      </w:r>
      <w:r w:rsidR="00955055">
        <w:rPr>
          <w:noProof/>
        </w:rPr>
        <w:t xml:space="preserve"> </w:t>
      </w:r>
      <w:r w:rsidR="00A74F15">
        <w:rPr>
          <w:noProof/>
        </w:rPr>
        <w:t>=</w:t>
      </w:r>
      <w:r w:rsidR="00955055">
        <w:rPr>
          <w:noProof/>
        </w:rPr>
        <w:t xml:space="preserve"> </w:t>
      </w:r>
      <w:r w:rsidR="00A74F15">
        <w:rPr>
          <w:noProof/>
        </w:rPr>
        <w:t>0.014 for tibia, p</w:t>
      </w:r>
      <w:r w:rsidR="00955055">
        <w:rPr>
          <w:noProof/>
        </w:rPr>
        <w:t xml:space="preserve"> </w:t>
      </w:r>
      <w:r w:rsidR="00A74F15">
        <w:rPr>
          <w:noProof/>
        </w:rPr>
        <w:t>=</w:t>
      </w:r>
      <w:r w:rsidR="00955055">
        <w:rPr>
          <w:noProof/>
        </w:rPr>
        <w:t xml:space="preserve"> </w:t>
      </w:r>
      <w:r w:rsidR="00A74F15">
        <w:rPr>
          <w:noProof/>
        </w:rPr>
        <w:t xml:space="preserve">0.045 for proximal fibula).  The distal fibula differed with </w:t>
      </w:r>
      <w:r w:rsidR="00FE292B">
        <w:rPr>
          <w:noProof/>
        </w:rPr>
        <w:t xml:space="preserve">equal </w:t>
      </w:r>
      <w:r w:rsidR="00A74F15">
        <w:rPr>
          <w:noProof/>
        </w:rPr>
        <w:t xml:space="preserve">variances not assumed </w:t>
      </w:r>
      <w:r w:rsidR="00D27F90">
        <w:rPr>
          <w:noProof/>
        </w:rPr>
        <w:t xml:space="preserve">at </w:t>
      </w:r>
      <w:r w:rsidR="00A74F15">
        <w:rPr>
          <w:noProof/>
        </w:rPr>
        <w:t>p</w:t>
      </w:r>
      <w:r w:rsidR="00955055">
        <w:rPr>
          <w:noProof/>
        </w:rPr>
        <w:t xml:space="preserve"> </w:t>
      </w:r>
      <w:r w:rsidR="00A74F15">
        <w:rPr>
          <w:noProof/>
        </w:rPr>
        <w:t>=</w:t>
      </w:r>
      <w:r w:rsidR="00955055">
        <w:rPr>
          <w:noProof/>
        </w:rPr>
        <w:t xml:space="preserve"> </w:t>
      </w:r>
      <w:r w:rsidR="00A74F15">
        <w:rPr>
          <w:noProof/>
        </w:rPr>
        <w:t>0.000</w:t>
      </w:r>
      <w:r w:rsidR="00A81C70">
        <w:rPr>
          <w:noProof/>
        </w:rPr>
        <w:t>.  These were not the same epiphyses as differed for mid-fusion.</w:t>
      </w:r>
    </w:p>
    <w:p w:rsidR="00672898" w:rsidRDefault="00672898">
      <w:pPr>
        <w:spacing w:before="0" w:after="200" w:line="276" w:lineRule="auto"/>
        <w:jc w:val="left"/>
        <w:rPr>
          <w:noProof/>
        </w:rPr>
      </w:pPr>
      <w:r>
        <w:rPr>
          <w:noProof/>
        </w:rPr>
        <w:br w:type="page"/>
      </w:r>
    </w:p>
    <w:p w:rsidR="000C0D78" w:rsidRDefault="0011695B" w:rsidP="00556B5B">
      <w:pPr>
        <w:tabs>
          <w:tab w:val="left" w:pos="360"/>
        </w:tabs>
        <w:spacing w:after="120" w:line="240" w:lineRule="auto"/>
        <w:rPr>
          <w:noProof/>
        </w:rPr>
      </w:pPr>
      <w:bookmarkStart w:id="513" w:name="_Toc373180162"/>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18</w:t>
      </w:r>
      <w:r w:rsidR="008943E4">
        <w:rPr>
          <w:b/>
        </w:rPr>
        <w:fldChar w:fldCharType="end"/>
      </w:r>
      <w:r w:rsidR="0033720B">
        <w:rPr>
          <w:noProof/>
          <w:color w:val="000000" w:themeColor="text1"/>
        </w:rPr>
        <w:t xml:space="preserve"> Independent sample t-test</w:t>
      </w:r>
      <w:proofErr w:type="gramEnd"/>
      <w:r w:rsidR="0033720B">
        <w:rPr>
          <w:noProof/>
          <w:color w:val="000000" w:themeColor="text1"/>
        </w:rPr>
        <w:t xml:space="preserve"> for </w:t>
      </w:r>
      <w:r w:rsidR="00F32C49">
        <w:rPr>
          <w:noProof/>
          <w:color w:val="000000" w:themeColor="text1"/>
        </w:rPr>
        <w:t>comparing male and female comple</w:t>
      </w:r>
      <w:r w:rsidR="0033720B">
        <w:rPr>
          <w:noProof/>
          <w:color w:val="000000" w:themeColor="text1"/>
        </w:rPr>
        <w:t>te fusion mean epiphyseal fusion score ranges for all epiphyses</w:t>
      </w:r>
      <w:r w:rsidR="00A72F0A">
        <w:rPr>
          <w:noProof/>
          <w:color w:val="000000" w:themeColor="text1"/>
        </w:rPr>
        <w:t xml:space="preserve"> in </w:t>
      </w:r>
      <w:r w:rsidR="00A72F0A">
        <w:rPr>
          <w:i/>
          <w:noProof/>
          <w:color w:val="000000" w:themeColor="text1"/>
        </w:rPr>
        <w:t>Pan troglodytes</w:t>
      </w:r>
      <w:r w:rsidR="0033720B">
        <w:rPr>
          <w:noProof/>
          <w:color w:val="000000" w:themeColor="text1"/>
        </w:rPr>
        <w:t>.</w:t>
      </w:r>
      <w:bookmarkEnd w:id="513"/>
    </w:p>
    <w:tbl>
      <w:tblPr>
        <w:tblW w:w="9557" w:type="dxa"/>
        <w:jc w:val="center"/>
        <w:tblInd w:w="322" w:type="dxa"/>
        <w:tblBorders>
          <w:top w:val="single" w:sz="4" w:space="0" w:color="auto"/>
          <w:bottom w:val="single" w:sz="4" w:space="0" w:color="auto"/>
        </w:tblBorders>
        <w:tblLook w:val="04A0" w:firstRow="1" w:lastRow="0" w:firstColumn="1" w:lastColumn="0" w:noHBand="0" w:noVBand="1"/>
      </w:tblPr>
      <w:tblGrid>
        <w:gridCol w:w="2519"/>
        <w:gridCol w:w="431"/>
        <w:gridCol w:w="878"/>
        <w:gridCol w:w="878"/>
        <w:gridCol w:w="821"/>
        <w:gridCol w:w="821"/>
        <w:gridCol w:w="821"/>
        <w:gridCol w:w="1194"/>
        <w:gridCol w:w="1194"/>
      </w:tblGrid>
      <w:tr w:rsidR="00894C14" w:rsidRPr="00894C14" w:rsidTr="00045771">
        <w:trPr>
          <w:trHeight w:val="900"/>
          <w:jc w:val="center"/>
        </w:trPr>
        <w:tc>
          <w:tcPr>
            <w:tcW w:w="2950" w:type="dxa"/>
            <w:gridSpan w:val="2"/>
            <w:vMerge w:val="restart"/>
            <w:tcBorders>
              <w:top w:val="single" w:sz="4" w:space="0" w:color="auto"/>
              <w:bottom w:val="single" w:sz="4" w:space="0" w:color="auto"/>
            </w:tcBorders>
            <w:shd w:val="clear" w:color="auto" w:fill="auto"/>
            <w:vAlign w:val="center"/>
            <w:hideMark/>
          </w:tcPr>
          <w:p w:rsidR="00A35CA0" w:rsidRPr="00CA5FBB" w:rsidRDefault="00890EF5" w:rsidP="00CA5FBB">
            <w:pPr>
              <w:spacing w:before="0" w:line="240" w:lineRule="auto"/>
              <w:jc w:val="center"/>
              <w:rPr>
                <w:rFonts w:eastAsia="Times New Roman"/>
                <w:b/>
                <w:color w:val="000000"/>
                <w:lang w:val="en-GB" w:eastAsia="en-GB"/>
              </w:rPr>
            </w:pPr>
            <w:r>
              <w:rPr>
                <w:rFonts w:eastAsia="Times New Roman"/>
                <w:b/>
                <w:color w:val="000000"/>
                <w:lang w:val="en-GB" w:eastAsia="en-GB"/>
              </w:rPr>
              <w:t>e</w:t>
            </w:r>
            <w:r w:rsidR="008943E4" w:rsidRPr="00CA5FBB">
              <w:rPr>
                <w:rFonts w:eastAsia="Times New Roman"/>
                <w:b/>
                <w:color w:val="000000"/>
                <w:lang w:val="en-GB" w:eastAsia="en-GB"/>
              </w:rPr>
              <w:t>piphysis</w:t>
            </w:r>
          </w:p>
        </w:tc>
        <w:tc>
          <w:tcPr>
            <w:tcW w:w="1756" w:type="dxa"/>
            <w:gridSpan w:val="2"/>
            <w:tcBorders>
              <w:top w:val="single" w:sz="4" w:space="0" w:color="auto"/>
              <w:bottom w:val="single" w:sz="4" w:space="0" w:color="auto"/>
            </w:tcBorders>
            <w:shd w:val="clear" w:color="auto" w:fill="auto"/>
            <w:vAlign w:val="center"/>
            <w:hideMark/>
          </w:tcPr>
          <w:p w:rsidR="00A35CA0" w:rsidRPr="00CA5FBB" w:rsidRDefault="00890EF5" w:rsidP="00CA5FBB">
            <w:pPr>
              <w:spacing w:before="0" w:line="240" w:lineRule="auto"/>
              <w:jc w:val="center"/>
              <w:rPr>
                <w:rFonts w:eastAsia="Times New Roman"/>
                <w:b/>
                <w:color w:val="000000"/>
                <w:lang w:val="en-GB" w:eastAsia="en-GB"/>
              </w:rPr>
            </w:pPr>
            <w:r>
              <w:rPr>
                <w:rFonts w:eastAsia="Times New Roman"/>
                <w:b/>
                <w:color w:val="000000"/>
                <w:lang w:val="en-GB" w:eastAsia="en-GB"/>
              </w:rPr>
              <w:t>l</w:t>
            </w:r>
            <w:r w:rsidR="008943E4" w:rsidRPr="00CA5FBB">
              <w:rPr>
                <w:rFonts w:eastAsia="Times New Roman"/>
                <w:b/>
                <w:color w:val="000000"/>
                <w:lang w:val="en-GB" w:eastAsia="en-GB"/>
              </w:rPr>
              <w:t xml:space="preserve">evene's </w:t>
            </w:r>
            <w:r>
              <w:rPr>
                <w:rFonts w:eastAsia="Times New Roman"/>
                <w:b/>
                <w:color w:val="000000"/>
                <w:lang w:val="en-GB" w:eastAsia="en-GB"/>
              </w:rPr>
              <w:t>t</w:t>
            </w:r>
            <w:r w:rsidR="008943E4" w:rsidRPr="00CA5FBB">
              <w:rPr>
                <w:rFonts w:eastAsia="Times New Roman"/>
                <w:b/>
                <w:color w:val="000000"/>
                <w:lang w:val="en-GB" w:eastAsia="en-GB"/>
              </w:rPr>
              <w:t xml:space="preserve">est for </w:t>
            </w:r>
            <w:r>
              <w:rPr>
                <w:rFonts w:eastAsia="Times New Roman"/>
                <w:b/>
                <w:color w:val="000000"/>
                <w:lang w:val="en-GB" w:eastAsia="en-GB"/>
              </w:rPr>
              <w:t>e</w:t>
            </w:r>
            <w:r w:rsidR="008943E4" w:rsidRPr="00CA5FBB">
              <w:rPr>
                <w:rFonts w:eastAsia="Times New Roman"/>
                <w:b/>
                <w:color w:val="000000"/>
                <w:lang w:val="en-GB" w:eastAsia="en-GB"/>
              </w:rPr>
              <w:t xml:space="preserve">quality of </w:t>
            </w:r>
            <w:r>
              <w:rPr>
                <w:rFonts w:eastAsia="Times New Roman"/>
                <w:b/>
                <w:color w:val="000000"/>
                <w:lang w:val="en-GB" w:eastAsia="en-GB"/>
              </w:rPr>
              <w:t>v</w:t>
            </w:r>
            <w:r w:rsidR="008943E4" w:rsidRPr="00CA5FBB">
              <w:rPr>
                <w:rFonts w:eastAsia="Times New Roman"/>
                <w:b/>
                <w:color w:val="000000"/>
                <w:lang w:val="en-GB" w:eastAsia="en-GB"/>
              </w:rPr>
              <w:t>ariances</w:t>
            </w:r>
          </w:p>
        </w:tc>
        <w:tc>
          <w:tcPr>
            <w:tcW w:w="4851" w:type="dxa"/>
            <w:gridSpan w:val="5"/>
            <w:tcBorders>
              <w:top w:val="single" w:sz="4" w:space="0" w:color="auto"/>
              <w:bottom w:val="single" w:sz="4" w:space="0" w:color="auto"/>
            </w:tcBorders>
            <w:shd w:val="clear" w:color="auto" w:fill="auto"/>
            <w:vAlign w:val="center"/>
            <w:hideMark/>
          </w:tcPr>
          <w:p w:rsidR="00A35CA0" w:rsidRPr="00CA5FBB" w:rsidRDefault="00890EF5" w:rsidP="00CA5FBB">
            <w:pPr>
              <w:spacing w:before="0" w:line="240" w:lineRule="auto"/>
              <w:jc w:val="center"/>
              <w:rPr>
                <w:rFonts w:eastAsia="Times New Roman"/>
                <w:b/>
                <w:color w:val="000000"/>
                <w:lang w:val="en-GB" w:eastAsia="en-GB"/>
              </w:rPr>
            </w:pPr>
            <w:r>
              <w:rPr>
                <w:rFonts w:eastAsia="Times New Roman"/>
                <w:b/>
                <w:color w:val="000000"/>
                <w:lang w:val="en-GB" w:eastAsia="en-GB"/>
              </w:rPr>
              <w:t>t-test for equality of m</w:t>
            </w:r>
            <w:r w:rsidR="008943E4" w:rsidRPr="00CA5FBB">
              <w:rPr>
                <w:rFonts w:eastAsia="Times New Roman"/>
                <w:b/>
                <w:color w:val="000000"/>
                <w:lang w:val="en-GB" w:eastAsia="en-GB"/>
              </w:rPr>
              <w:t>eans</w:t>
            </w:r>
          </w:p>
        </w:tc>
      </w:tr>
      <w:tr w:rsidR="00894C14" w:rsidRPr="00894C14" w:rsidTr="00045771">
        <w:trPr>
          <w:trHeight w:val="585"/>
          <w:jc w:val="center"/>
        </w:trPr>
        <w:tc>
          <w:tcPr>
            <w:tcW w:w="2950" w:type="dxa"/>
            <w:gridSpan w:val="2"/>
            <w:vMerge/>
            <w:tcBorders>
              <w:top w:val="nil"/>
              <w:bottom w:val="single" w:sz="4" w:space="0" w:color="auto"/>
            </w:tcBorders>
            <w:vAlign w:val="center"/>
            <w:hideMark/>
          </w:tcPr>
          <w:p w:rsidR="00A35CA0" w:rsidRPr="00CA5FBB" w:rsidRDefault="00A35CA0" w:rsidP="00CA5FBB">
            <w:pPr>
              <w:spacing w:before="0" w:line="240" w:lineRule="auto"/>
              <w:rPr>
                <w:rFonts w:eastAsia="Times New Roman"/>
                <w:b/>
                <w:color w:val="000000"/>
                <w:lang w:val="en-GB" w:eastAsia="en-GB"/>
              </w:rPr>
            </w:pPr>
          </w:p>
        </w:tc>
        <w:tc>
          <w:tcPr>
            <w:tcW w:w="878" w:type="dxa"/>
            <w:vMerge w:val="restart"/>
            <w:tcBorders>
              <w:top w:val="nil"/>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i/>
                <w:color w:val="000000"/>
                <w:lang w:val="en-GB" w:eastAsia="en-GB"/>
              </w:rPr>
            </w:pPr>
            <w:r w:rsidRPr="00CA5FBB">
              <w:rPr>
                <w:rFonts w:eastAsia="Times New Roman"/>
                <w:b/>
                <w:i/>
                <w:color w:val="000000"/>
                <w:lang w:val="en-GB" w:eastAsia="en-GB"/>
              </w:rPr>
              <w:t>F</w:t>
            </w:r>
          </w:p>
        </w:tc>
        <w:tc>
          <w:tcPr>
            <w:tcW w:w="878" w:type="dxa"/>
            <w:vMerge w:val="restart"/>
            <w:tcBorders>
              <w:top w:val="nil"/>
              <w:bottom w:val="single" w:sz="4" w:space="0" w:color="auto"/>
            </w:tcBorders>
            <w:shd w:val="clear" w:color="auto" w:fill="auto"/>
            <w:vAlign w:val="center"/>
            <w:hideMark/>
          </w:tcPr>
          <w:p w:rsidR="00A35CA0" w:rsidRPr="00CA5FBB" w:rsidRDefault="00890EF5"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ig.</w:t>
            </w:r>
          </w:p>
        </w:tc>
        <w:tc>
          <w:tcPr>
            <w:tcW w:w="821" w:type="dxa"/>
            <w:vMerge w:val="restart"/>
            <w:tcBorders>
              <w:top w:val="nil"/>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t</w:t>
            </w:r>
          </w:p>
        </w:tc>
        <w:tc>
          <w:tcPr>
            <w:tcW w:w="821" w:type="dxa"/>
            <w:vMerge w:val="restart"/>
            <w:tcBorders>
              <w:top w:val="nil"/>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df</w:t>
            </w:r>
          </w:p>
        </w:tc>
        <w:tc>
          <w:tcPr>
            <w:tcW w:w="821" w:type="dxa"/>
            <w:vMerge w:val="restart"/>
            <w:tcBorders>
              <w:top w:val="nil"/>
              <w:bottom w:val="single" w:sz="4" w:space="0" w:color="auto"/>
            </w:tcBorders>
            <w:shd w:val="clear" w:color="auto" w:fill="auto"/>
            <w:vAlign w:val="center"/>
            <w:hideMark/>
          </w:tcPr>
          <w:p w:rsidR="00A35CA0" w:rsidRPr="00CA5FBB" w:rsidRDefault="00890EF5"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ig. (2-tailed)</w:t>
            </w:r>
          </w:p>
        </w:tc>
        <w:tc>
          <w:tcPr>
            <w:tcW w:w="1194" w:type="dxa"/>
            <w:vMerge w:val="restart"/>
            <w:tcBorders>
              <w:top w:val="nil"/>
              <w:bottom w:val="single" w:sz="4" w:space="0" w:color="auto"/>
            </w:tcBorders>
            <w:shd w:val="clear" w:color="auto" w:fill="auto"/>
            <w:vAlign w:val="center"/>
            <w:hideMark/>
          </w:tcPr>
          <w:p w:rsidR="00A35CA0" w:rsidRPr="00CA5FBB" w:rsidRDefault="00890EF5" w:rsidP="00CA5FBB">
            <w:pPr>
              <w:spacing w:before="0" w:line="240" w:lineRule="auto"/>
              <w:jc w:val="center"/>
              <w:rPr>
                <w:rFonts w:eastAsia="Times New Roman"/>
                <w:b/>
                <w:color w:val="000000"/>
                <w:lang w:val="en-GB" w:eastAsia="en-GB"/>
              </w:rPr>
            </w:pPr>
            <w:r>
              <w:rPr>
                <w:rFonts w:eastAsia="Times New Roman"/>
                <w:b/>
                <w:color w:val="000000"/>
                <w:lang w:val="en-GB" w:eastAsia="en-GB"/>
              </w:rPr>
              <w:t>m</w:t>
            </w:r>
            <w:r w:rsidR="008943E4" w:rsidRPr="00CA5FBB">
              <w:rPr>
                <w:rFonts w:eastAsia="Times New Roman"/>
                <w:b/>
                <w:color w:val="000000"/>
                <w:lang w:val="en-GB" w:eastAsia="en-GB"/>
              </w:rPr>
              <w:t xml:space="preserve">ean </w:t>
            </w:r>
            <w:r>
              <w:rPr>
                <w:rFonts w:eastAsia="Times New Roman"/>
                <w:b/>
                <w:color w:val="000000"/>
                <w:lang w:val="en-GB" w:eastAsia="en-GB"/>
              </w:rPr>
              <w:t>d</w:t>
            </w:r>
            <w:r w:rsidR="008943E4" w:rsidRPr="00CA5FBB">
              <w:rPr>
                <w:rFonts w:eastAsia="Times New Roman"/>
                <w:b/>
                <w:color w:val="000000"/>
                <w:lang w:val="en-GB" w:eastAsia="en-GB"/>
              </w:rPr>
              <w:t>ifference</w:t>
            </w:r>
          </w:p>
        </w:tc>
        <w:tc>
          <w:tcPr>
            <w:tcW w:w="1194" w:type="dxa"/>
            <w:vMerge w:val="restart"/>
            <w:tcBorders>
              <w:top w:val="nil"/>
              <w:bottom w:val="single" w:sz="4" w:space="0" w:color="auto"/>
            </w:tcBorders>
            <w:shd w:val="clear" w:color="auto" w:fill="auto"/>
            <w:vAlign w:val="center"/>
            <w:hideMark/>
          </w:tcPr>
          <w:p w:rsidR="00A35CA0" w:rsidRPr="00CA5FBB" w:rsidRDefault="00890EF5" w:rsidP="00CA5FBB">
            <w:pPr>
              <w:spacing w:before="0" w:line="240" w:lineRule="auto"/>
              <w:jc w:val="center"/>
              <w:rPr>
                <w:rFonts w:eastAsia="Times New Roman"/>
                <w:b/>
                <w:color w:val="000000"/>
                <w:lang w:val="en-GB" w:eastAsia="en-GB"/>
              </w:rPr>
            </w:pPr>
            <w:r>
              <w:rPr>
                <w:rFonts w:eastAsia="Times New Roman"/>
                <w:b/>
                <w:color w:val="000000"/>
                <w:lang w:val="en-GB" w:eastAsia="en-GB"/>
              </w:rPr>
              <w:t>std. error d</w:t>
            </w:r>
            <w:r w:rsidR="008943E4" w:rsidRPr="00CA5FBB">
              <w:rPr>
                <w:rFonts w:eastAsia="Times New Roman"/>
                <w:b/>
                <w:color w:val="000000"/>
                <w:lang w:val="en-GB" w:eastAsia="en-GB"/>
              </w:rPr>
              <w:t>ifference</w:t>
            </w:r>
          </w:p>
        </w:tc>
      </w:tr>
      <w:tr w:rsidR="00894C14" w:rsidRPr="00894C14" w:rsidTr="00045771">
        <w:trPr>
          <w:trHeight w:val="493"/>
          <w:jc w:val="center"/>
        </w:trPr>
        <w:tc>
          <w:tcPr>
            <w:tcW w:w="2950" w:type="dxa"/>
            <w:gridSpan w:val="2"/>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878"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878"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821"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821"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821"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1194"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c>
          <w:tcPr>
            <w:tcW w:w="1194" w:type="dxa"/>
            <w:vMerge/>
            <w:tcBorders>
              <w:top w:val="nil"/>
              <w:bottom w:val="single" w:sz="4" w:space="0" w:color="auto"/>
            </w:tcBorders>
            <w:vAlign w:val="center"/>
            <w:hideMark/>
          </w:tcPr>
          <w:p w:rsidR="00A35CA0" w:rsidRDefault="00A35CA0" w:rsidP="00CA5FBB">
            <w:pPr>
              <w:spacing w:before="0" w:line="240" w:lineRule="auto"/>
              <w:rPr>
                <w:rFonts w:eastAsia="Times New Roman"/>
                <w:color w:val="000000"/>
                <w:lang w:val="en-GB" w:eastAsia="en-GB"/>
              </w:rPr>
            </w:pPr>
          </w:p>
        </w:tc>
      </w:tr>
      <w:tr w:rsidR="00894C14" w:rsidRPr="00894C14" w:rsidTr="00045771">
        <w:trPr>
          <w:trHeight w:hRule="exact" w:val="284"/>
          <w:jc w:val="center"/>
        </w:trPr>
        <w:tc>
          <w:tcPr>
            <w:tcW w:w="2519" w:type="dxa"/>
            <w:vMerge w:val="restart"/>
            <w:tcBorders>
              <w:top w:val="single" w:sz="4" w:space="0" w:color="auto"/>
              <w:bottom w:val="nil"/>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proximal humerus</w:t>
            </w:r>
          </w:p>
        </w:tc>
        <w:tc>
          <w:tcPr>
            <w:tcW w:w="431" w:type="dxa"/>
            <w:tcBorders>
              <w:top w:val="single" w:sz="4" w:space="0" w:color="auto"/>
              <w:bottom w:val="nil"/>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r w:rsidRPr="00894C14">
              <w:rPr>
                <w:rFonts w:eastAsia="Times New Roman"/>
                <w:color w:val="000000"/>
                <w:vertAlign w:val="superscript"/>
                <w:lang w:val="en-GB" w:eastAsia="en-GB"/>
              </w:rPr>
              <w:t>1.</w:t>
            </w:r>
          </w:p>
        </w:tc>
        <w:tc>
          <w:tcPr>
            <w:tcW w:w="878" w:type="dxa"/>
            <w:tcBorders>
              <w:top w:val="single" w:sz="4" w:space="0" w:color="auto"/>
              <w:bottom w:val="nil"/>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0.8486</w:t>
            </w:r>
          </w:p>
        </w:tc>
        <w:tc>
          <w:tcPr>
            <w:tcW w:w="878" w:type="dxa"/>
            <w:tcBorders>
              <w:top w:val="single" w:sz="4" w:space="0" w:color="auto"/>
              <w:bottom w:val="nil"/>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0.3726</w:t>
            </w:r>
          </w:p>
        </w:tc>
        <w:tc>
          <w:tcPr>
            <w:tcW w:w="821" w:type="dxa"/>
            <w:tcBorders>
              <w:top w:val="single" w:sz="4" w:space="0" w:color="auto"/>
              <w:bottom w:val="nil"/>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-0.981</w:t>
            </w:r>
          </w:p>
        </w:tc>
        <w:tc>
          <w:tcPr>
            <w:tcW w:w="821" w:type="dxa"/>
            <w:tcBorders>
              <w:top w:val="single" w:sz="4" w:space="0" w:color="auto"/>
              <w:bottom w:val="nil"/>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14</w:t>
            </w:r>
          </w:p>
        </w:tc>
        <w:tc>
          <w:tcPr>
            <w:tcW w:w="821" w:type="dxa"/>
            <w:tcBorders>
              <w:top w:val="single" w:sz="4" w:space="0" w:color="auto"/>
              <w:bottom w:val="nil"/>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0.3432</w:t>
            </w:r>
          </w:p>
        </w:tc>
        <w:tc>
          <w:tcPr>
            <w:tcW w:w="1194" w:type="dxa"/>
            <w:tcBorders>
              <w:top w:val="single" w:sz="4" w:space="0" w:color="auto"/>
              <w:bottom w:val="nil"/>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-0.3285</w:t>
            </w:r>
          </w:p>
        </w:tc>
        <w:tc>
          <w:tcPr>
            <w:tcW w:w="1194" w:type="dxa"/>
            <w:tcBorders>
              <w:top w:val="single" w:sz="4" w:space="0" w:color="auto"/>
              <w:bottom w:val="nil"/>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0.33477</w:t>
            </w:r>
          </w:p>
        </w:tc>
      </w:tr>
      <w:tr w:rsidR="00894C14" w:rsidRPr="00894C14" w:rsidTr="00045771">
        <w:trPr>
          <w:trHeight w:hRule="exact" w:val="284"/>
          <w:jc w:val="center"/>
        </w:trPr>
        <w:tc>
          <w:tcPr>
            <w:tcW w:w="2519"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top w:val="nil"/>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r w:rsidRPr="00894C14">
              <w:rPr>
                <w:rFonts w:eastAsia="Times New Roman"/>
                <w:color w:val="000000"/>
                <w:vertAlign w:val="superscript"/>
                <w:lang w:val="en-GB" w:eastAsia="en-GB"/>
              </w:rPr>
              <w:t>2.</w:t>
            </w:r>
          </w:p>
        </w:tc>
        <w:tc>
          <w:tcPr>
            <w:tcW w:w="878" w:type="dxa"/>
            <w:tcBorders>
              <w:top w:val="nil"/>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top w:val="nil"/>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top w:val="nil"/>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-1.936</w:t>
            </w:r>
          </w:p>
        </w:tc>
        <w:tc>
          <w:tcPr>
            <w:tcW w:w="821" w:type="dxa"/>
            <w:tcBorders>
              <w:top w:val="nil"/>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13.986</w:t>
            </w:r>
          </w:p>
        </w:tc>
        <w:tc>
          <w:tcPr>
            <w:tcW w:w="821" w:type="dxa"/>
            <w:tcBorders>
              <w:top w:val="nil"/>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0.0733</w:t>
            </w:r>
          </w:p>
        </w:tc>
        <w:tc>
          <w:tcPr>
            <w:tcW w:w="1194" w:type="dxa"/>
            <w:tcBorders>
              <w:top w:val="nil"/>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-0.3285</w:t>
            </w:r>
          </w:p>
        </w:tc>
        <w:tc>
          <w:tcPr>
            <w:tcW w:w="1194" w:type="dxa"/>
            <w:tcBorders>
              <w:top w:val="nil"/>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0.16964</w:t>
            </w:r>
          </w:p>
        </w:tc>
      </w:tr>
      <w:tr w:rsidR="00E97E9E"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431" w:type="dxa"/>
            <w:tcBorders>
              <w:top w:val="single" w:sz="4" w:space="0" w:color="auto"/>
            </w:tcBorders>
            <w:shd w:val="clear" w:color="auto" w:fill="auto"/>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4.0439</w:t>
            </w:r>
          </w:p>
        </w:tc>
        <w:tc>
          <w:tcPr>
            <w:tcW w:w="878"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0.048</w:t>
            </w:r>
          </w:p>
        </w:tc>
        <w:tc>
          <w:tcPr>
            <w:tcW w:w="821"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1.2167</w:t>
            </w:r>
          </w:p>
        </w:tc>
        <w:tc>
          <w:tcPr>
            <w:tcW w:w="821"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71</w:t>
            </w:r>
          </w:p>
        </w:tc>
        <w:tc>
          <w:tcPr>
            <w:tcW w:w="821"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0.2277</w:t>
            </w:r>
          </w:p>
        </w:tc>
        <w:tc>
          <w:tcPr>
            <w:tcW w:w="1194"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0.3521</w:t>
            </w:r>
          </w:p>
        </w:tc>
        <w:tc>
          <w:tcPr>
            <w:tcW w:w="1194"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0.28938</w:t>
            </w:r>
          </w:p>
        </w:tc>
      </w:tr>
      <w:tr w:rsidR="00E97E9E" w:rsidRPr="00894C14" w:rsidTr="00045771">
        <w:trPr>
          <w:trHeight w:hRule="exact" w:val="284"/>
          <w:jc w:val="center"/>
        </w:trPr>
        <w:tc>
          <w:tcPr>
            <w:tcW w:w="2519"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1.109</w:t>
            </w:r>
          </w:p>
        </w:tc>
        <w:tc>
          <w:tcPr>
            <w:tcW w:w="821"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30.988</w:t>
            </w:r>
          </w:p>
        </w:tc>
        <w:tc>
          <w:tcPr>
            <w:tcW w:w="821"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0.2759</w:t>
            </w:r>
          </w:p>
        </w:tc>
        <w:tc>
          <w:tcPr>
            <w:tcW w:w="1194"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0.3521</w:t>
            </w:r>
          </w:p>
        </w:tc>
        <w:tc>
          <w:tcPr>
            <w:tcW w:w="1194"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0.31748</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AA6F1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894C14" w:rsidRPr="00894C14">
              <w:rPr>
                <w:rFonts w:eastAsia="Times New Roman"/>
                <w:color w:val="000000"/>
                <w:lang w:val="en-GB" w:eastAsia="en-GB"/>
              </w:rPr>
              <w:t>medial epicondyle</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0.16</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0.69</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-0.586</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57</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0.56</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-0.1465</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0.25003</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-0.591</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22.003</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0.561</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-0.1465</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0.24803</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proximal radius</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0.1398</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0.7104</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-0.835</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40</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0.4086</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-0.1588</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0.19008</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-0.846</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15.381</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0.4107</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-0.1588</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0.18771</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distal radius</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8.7742</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0.012</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-1.888</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12</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0.0834</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-0.2279</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0.12068</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-3.572</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11.445</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0.004</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-0.2279</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0.0638</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proximal ulna</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0.0484</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0.8267</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-0.173</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53</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0.8632</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-0.0432</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0.24948</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-0.169</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19.351</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0.8673</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-0.0432</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0.2551</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distal ulna</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4.4059</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0.0559</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-1.589</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13</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0.136</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-0.1443</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0.09081</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-1.98</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8.8621</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0.0796</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-0.1443</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0.0729</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distal phalanges (hand)</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2.9503</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0.1064</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-0.521</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15</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0.6101</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-0.2353</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0.45188</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-0.433</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5.4586</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0.6814</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-0.2353</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0.54309</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base of metacarpal 1</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3.4915</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0.0694</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0.0528</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38</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0.9582</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0.01</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0.18942</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0.0418</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11.403</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0.9674</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0.01</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0.23913</w:t>
            </w:r>
          </w:p>
        </w:tc>
      </w:tr>
      <w:tr w:rsidR="00E97E9E" w:rsidRPr="00894C14" w:rsidTr="00045771">
        <w:trPr>
          <w:trHeight w:hRule="exact" w:val="284"/>
          <w:jc w:val="center"/>
        </w:trPr>
        <w:tc>
          <w:tcPr>
            <w:tcW w:w="2519" w:type="dxa"/>
            <w:vMerge w:val="restart"/>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proximal and middlephalanges (hand)</w:t>
            </w:r>
          </w:p>
        </w:tc>
        <w:tc>
          <w:tcPr>
            <w:tcW w:w="431"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0.4025</w:t>
            </w:r>
          </w:p>
        </w:tc>
        <w:tc>
          <w:tcPr>
            <w:tcW w:w="878"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0.5296</w:t>
            </w:r>
          </w:p>
        </w:tc>
        <w:tc>
          <w:tcPr>
            <w:tcW w:w="821"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-1.261</w:t>
            </w:r>
          </w:p>
        </w:tc>
        <w:tc>
          <w:tcPr>
            <w:tcW w:w="821"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38</w:t>
            </w:r>
          </w:p>
        </w:tc>
        <w:tc>
          <w:tcPr>
            <w:tcW w:w="821"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0.215</w:t>
            </w:r>
          </w:p>
        </w:tc>
        <w:tc>
          <w:tcPr>
            <w:tcW w:w="1194"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-0.2272</w:t>
            </w:r>
          </w:p>
        </w:tc>
        <w:tc>
          <w:tcPr>
            <w:tcW w:w="1194" w:type="dxa"/>
            <w:tcBorders>
              <w:top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0.18018</w:t>
            </w:r>
          </w:p>
        </w:tc>
      </w:tr>
      <w:tr w:rsidR="00E97E9E" w:rsidRPr="00894C14" w:rsidTr="00045771">
        <w:trPr>
          <w:trHeight w:hRule="exact" w:val="284"/>
          <w:jc w:val="center"/>
        </w:trPr>
        <w:tc>
          <w:tcPr>
            <w:tcW w:w="2519"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-1.225</w:t>
            </w:r>
          </w:p>
        </w:tc>
        <w:tc>
          <w:tcPr>
            <w:tcW w:w="821"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10.428</w:t>
            </w:r>
          </w:p>
        </w:tc>
        <w:tc>
          <w:tcPr>
            <w:tcW w:w="821"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0.2475</w:t>
            </w:r>
          </w:p>
        </w:tc>
        <w:tc>
          <w:tcPr>
            <w:tcW w:w="1194"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-0.2272</w:t>
            </w:r>
          </w:p>
        </w:tc>
        <w:tc>
          <w:tcPr>
            <w:tcW w:w="1194" w:type="dxa"/>
            <w:tcBorders>
              <w:bottom w:val="single" w:sz="4" w:space="0" w:color="auto"/>
            </w:tcBorders>
            <w:shd w:val="clear" w:color="auto" w:fill="auto"/>
            <w:noWrap/>
            <w:vAlign w:val="center"/>
            <w:hideMark/>
          </w:tcPr>
          <w:p w:rsidR="00A35CA0" w:rsidRDefault="00E97E9E"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0.18545</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heads of metacarpals 2-5 (hand)</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1.8729</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0.1807</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-0.724</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32</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0.4744</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-0.1191</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0.16458</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-0.648</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10.047</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0.5313</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-0.1191</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0.18373</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femoral head</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1.2199</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0.2761</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-0.532</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39</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0.5974</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-0.091</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0.17085</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-0.499</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13.842</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0.6256</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-0.091</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0.18229</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greater trochanter</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0.2403</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0.6265</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-0.711</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43</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0.4809</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-0.1249</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0.17561</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-0.707</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16.82</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0.4893</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-0.1249</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0.17664</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lesser trochanter</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0.2129</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0.6465</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-0.885</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50</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0.3805</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-0.2079</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0.23501</w:t>
            </w:r>
          </w:p>
        </w:tc>
      </w:tr>
      <w:tr w:rsidR="00894C14" w:rsidRPr="00894C14" w:rsidTr="00045771">
        <w:trPr>
          <w:trHeight w:hRule="exact" w:val="284"/>
          <w:jc w:val="center"/>
        </w:trPr>
        <w:tc>
          <w:tcPr>
            <w:tcW w:w="2519"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-0.911</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18.983</w:t>
            </w:r>
          </w:p>
        </w:tc>
        <w:tc>
          <w:tcPr>
            <w:tcW w:w="821"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0.3736</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-0.2079</w:t>
            </w:r>
          </w:p>
        </w:tc>
        <w:tc>
          <w:tcPr>
            <w:tcW w:w="1194" w:type="dxa"/>
            <w:tcBorders>
              <w:bottom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0.22815</w:t>
            </w:r>
          </w:p>
        </w:tc>
      </w:tr>
      <w:tr w:rsidR="00894C14" w:rsidRPr="00894C14" w:rsidTr="00045771">
        <w:trPr>
          <w:trHeight w:hRule="exact" w:val="284"/>
          <w:jc w:val="center"/>
        </w:trPr>
        <w:tc>
          <w:tcPr>
            <w:tcW w:w="2519" w:type="dxa"/>
            <w:vMerge w:val="restart"/>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distal femur</w:t>
            </w:r>
          </w:p>
        </w:tc>
        <w:tc>
          <w:tcPr>
            <w:tcW w:w="431" w:type="dxa"/>
            <w:tcBorders>
              <w:top w:val="single" w:sz="4" w:space="0" w:color="auto"/>
            </w:tcBorders>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3.0085</w:t>
            </w:r>
          </w:p>
        </w:tc>
        <w:tc>
          <w:tcPr>
            <w:tcW w:w="878"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0.1021</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-1.723</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16</w:t>
            </w:r>
          </w:p>
        </w:tc>
        <w:tc>
          <w:tcPr>
            <w:tcW w:w="821"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0.1042</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-0.1583</w:t>
            </w:r>
          </w:p>
        </w:tc>
        <w:tc>
          <w:tcPr>
            <w:tcW w:w="1194" w:type="dxa"/>
            <w:tcBorders>
              <w:top w:val="single" w:sz="4" w:space="0" w:color="auto"/>
            </w:tcBorders>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0.09188</w:t>
            </w:r>
          </w:p>
        </w:tc>
      </w:tr>
      <w:tr w:rsidR="00894C14" w:rsidRPr="00894C14" w:rsidTr="00045771">
        <w:trPr>
          <w:trHeight w:hRule="exact" w:val="284"/>
          <w:jc w:val="center"/>
        </w:trPr>
        <w:tc>
          <w:tcPr>
            <w:tcW w:w="2519" w:type="dxa"/>
            <w:vMerge/>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shd w:val="clear" w:color="auto" w:fill="auto"/>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78" w:type="dxa"/>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78" w:type="dxa"/>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-2.199</w:t>
            </w:r>
          </w:p>
        </w:tc>
        <w:tc>
          <w:tcPr>
            <w:tcW w:w="821" w:type="dxa"/>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13.076</w:t>
            </w:r>
          </w:p>
        </w:tc>
        <w:tc>
          <w:tcPr>
            <w:tcW w:w="821" w:type="dxa"/>
            <w:shd w:val="clear" w:color="auto" w:fill="auto"/>
            <w:noWrap/>
            <w:vAlign w:val="center"/>
            <w:hideMark/>
          </w:tcPr>
          <w:p w:rsidR="00A35CA0" w:rsidRDefault="00894C14"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0.046</w:t>
            </w:r>
          </w:p>
        </w:tc>
        <w:tc>
          <w:tcPr>
            <w:tcW w:w="1194" w:type="dxa"/>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-0.1583</w:t>
            </w:r>
          </w:p>
        </w:tc>
        <w:tc>
          <w:tcPr>
            <w:tcW w:w="1194" w:type="dxa"/>
            <w:shd w:val="clear" w:color="auto" w:fill="auto"/>
            <w:noWrap/>
            <w:vAlign w:val="center"/>
            <w:hideMark/>
          </w:tcPr>
          <w:p w:rsidR="00A35CA0" w:rsidRDefault="00894C14"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0.07198</w:t>
            </w:r>
          </w:p>
        </w:tc>
      </w:tr>
    </w:tbl>
    <w:p w:rsidR="00D530FB" w:rsidRDefault="00D530FB" w:rsidP="00D530FB">
      <w:pPr>
        <w:pStyle w:val="ListParagraph"/>
        <w:numPr>
          <w:ilvl w:val="0"/>
          <w:numId w:val="79"/>
        </w:numPr>
        <w:spacing w:before="0" w:line="240" w:lineRule="auto"/>
        <w:rPr>
          <w:rFonts w:eastAsia="Times New Roman"/>
          <w:color w:val="000000"/>
          <w:sz w:val="20"/>
          <w:szCs w:val="20"/>
          <w:lang w:val="en-GB" w:eastAsia="en-GB"/>
        </w:rPr>
      </w:pPr>
      <w:r w:rsidRPr="00F67A8A">
        <w:rPr>
          <w:rFonts w:eastAsia="Times New Roman"/>
          <w:color w:val="000000"/>
          <w:sz w:val="20"/>
          <w:szCs w:val="20"/>
          <w:lang w:val="en-GB" w:eastAsia="en-GB"/>
        </w:rPr>
        <w:t>Equal variances assumed</w:t>
      </w:r>
    </w:p>
    <w:p w:rsidR="00D530FB" w:rsidRPr="00812DB0" w:rsidRDefault="00D530FB" w:rsidP="00D530FB">
      <w:pPr>
        <w:pStyle w:val="ListParagraph"/>
        <w:numPr>
          <w:ilvl w:val="0"/>
          <w:numId w:val="79"/>
        </w:numPr>
        <w:spacing w:before="0" w:line="240" w:lineRule="auto"/>
        <w:ind w:left="714" w:hanging="357"/>
        <w:rPr>
          <w:rFonts w:eastAsia="Times New Roman"/>
          <w:color w:val="000000"/>
          <w:sz w:val="20"/>
          <w:szCs w:val="20"/>
          <w:lang w:val="en-GB" w:eastAsia="en-GB"/>
        </w:rPr>
      </w:pPr>
      <w:r w:rsidRPr="00F67A8A">
        <w:rPr>
          <w:rFonts w:eastAsia="Times New Roman"/>
          <w:color w:val="000000"/>
          <w:sz w:val="20"/>
          <w:szCs w:val="20"/>
          <w:lang w:val="en-GB" w:eastAsia="en-GB"/>
        </w:rPr>
        <w:t>Equal variances not assumed</w:t>
      </w:r>
    </w:p>
    <w:p w:rsidR="00D530FB" w:rsidRDefault="00D530FB" w:rsidP="00D530FB">
      <w:pPr>
        <w:jc w:val="right"/>
      </w:pPr>
      <w:r>
        <w:t xml:space="preserve"> </w:t>
      </w:r>
      <w:r w:rsidR="0008519F">
        <w:t>(</w:t>
      </w:r>
      <w:proofErr w:type="gramStart"/>
      <w:r w:rsidR="0008519F">
        <w:t>continued</w:t>
      </w:r>
      <w:proofErr w:type="gramEnd"/>
      <w:r w:rsidR="0008519F">
        <w:t>)</w:t>
      </w:r>
    </w:p>
    <w:p w:rsidR="00D530FB" w:rsidRDefault="00D530FB">
      <w:pPr>
        <w:spacing w:before="0" w:after="200" w:line="276" w:lineRule="auto"/>
        <w:jc w:val="left"/>
      </w:pPr>
      <w:r>
        <w:br w:type="page"/>
      </w:r>
    </w:p>
    <w:p w:rsidR="0008519F" w:rsidRDefault="0008519F" w:rsidP="00D530FB">
      <w:pPr>
        <w:jc w:val="right"/>
      </w:pPr>
    </w:p>
    <w:tbl>
      <w:tblPr>
        <w:tblW w:w="9437" w:type="dxa"/>
        <w:jc w:val="center"/>
        <w:tblInd w:w="199" w:type="dxa"/>
        <w:tblBorders>
          <w:top w:val="single" w:sz="4" w:space="0" w:color="auto"/>
          <w:bottom w:val="single" w:sz="4" w:space="0" w:color="auto"/>
        </w:tblBorders>
        <w:tblLook w:val="04A0" w:firstRow="1" w:lastRow="0" w:firstColumn="1" w:lastColumn="0" w:noHBand="0" w:noVBand="1"/>
      </w:tblPr>
      <w:tblGrid>
        <w:gridCol w:w="2550"/>
        <w:gridCol w:w="431"/>
        <w:gridCol w:w="821"/>
        <w:gridCol w:w="821"/>
        <w:gridCol w:w="821"/>
        <w:gridCol w:w="821"/>
        <w:gridCol w:w="821"/>
        <w:gridCol w:w="1194"/>
        <w:gridCol w:w="1157"/>
      </w:tblGrid>
      <w:tr w:rsidR="0008519F" w:rsidRPr="00894C14" w:rsidTr="00885CD0">
        <w:trPr>
          <w:trHeight w:val="300"/>
          <w:jc w:val="center"/>
        </w:trPr>
        <w:tc>
          <w:tcPr>
            <w:tcW w:w="3073" w:type="dxa"/>
            <w:gridSpan w:val="2"/>
            <w:vMerge w:val="restart"/>
            <w:tcBorders>
              <w:top w:val="single" w:sz="4" w:space="0" w:color="auto"/>
              <w:bottom w:val="nil"/>
            </w:tcBorders>
            <w:shd w:val="clear" w:color="auto" w:fill="auto"/>
            <w:vAlign w:val="center"/>
          </w:tcPr>
          <w:p w:rsidR="0008519F" w:rsidRPr="00885CD0" w:rsidRDefault="00885CD0">
            <w:pPr>
              <w:spacing w:before="0" w:line="240" w:lineRule="auto"/>
              <w:jc w:val="center"/>
              <w:rPr>
                <w:rFonts w:eastAsia="Times New Roman"/>
                <w:b/>
                <w:color w:val="000000"/>
                <w:lang w:val="en-GB" w:eastAsia="en-GB"/>
              </w:rPr>
            </w:pPr>
            <w:r>
              <w:rPr>
                <w:rFonts w:eastAsia="Times New Roman"/>
                <w:b/>
                <w:color w:val="000000"/>
                <w:lang w:val="en-GB" w:eastAsia="en-GB"/>
              </w:rPr>
              <w:t>e</w:t>
            </w:r>
            <w:r w:rsidR="0008519F" w:rsidRPr="00885CD0">
              <w:rPr>
                <w:rFonts w:eastAsia="Times New Roman"/>
                <w:b/>
                <w:color w:val="000000"/>
                <w:lang w:val="en-GB" w:eastAsia="en-GB"/>
              </w:rPr>
              <w:t>piphysis</w:t>
            </w:r>
          </w:p>
        </w:tc>
        <w:tc>
          <w:tcPr>
            <w:tcW w:w="1642" w:type="dxa"/>
            <w:gridSpan w:val="2"/>
            <w:tcBorders>
              <w:top w:val="single" w:sz="4" w:space="0" w:color="auto"/>
              <w:bottom w:val="single" w:sz="4" w:space="0" w:color="auto"/>
            </w:tcBorders>
            <w:shd w:val="clear" w:color="auto" w:fill="auto"/>
            <w:noWrap/>
            <w:vAlign w:val="center"/>
          </w:tcPr>
          <w:p w:rsidR="0008519F" w:rsidRPr="00894C14" w:rsidRDefault="00885CD0" w:rsidP="00885CD0">
            <w:pPr>
              <w:spacing w:before="0" w:line="240" w:lineRule="auto"/>
              <w:jc w:val="center"/>
              <w:rPr>
                <w:rFonts w:eastAsia="Times New Roman"/>
                <w:color w:val="000000"/>
                <w:lang w:val="en-GB" w:eastAsia="en-GB"/>
              </w:rPr>
            </w:pPr>
            <w:r>
              <w:rPr>
                <w:rFonts w:eastAsia="Times New Roman"/>
                <w:b/>
                <w:color w:val="000000"/>
                <w:lang w:val="en-GB" w:eastAsia="en-GB"/>
              </w:rPr>
              <w:t>l</w:t>
            </w:r>
            <w:r w:rsidR="008943E4" w:rsidRPr="00CA5FBB">
              <w:rPr>
                <w:rFonts w:eastAsia="Times New Roman"/>
                <w:b/>
                <w:color w:val="000000"/>
                <w:lang w:val="en-GB" w:eastAsia="en-GB"/>
              </w:rPr>
              <w:t xml:space="preserve">evene's </w:t>
            </w:r>
            <w:r>
              <w:rPr>
                <w:rFonts w:eastAsia="Times New Roman"/>
                <w:b/>
                <w:color w:val="000000"/>
                <w:lang w:val="en-GB" w:eastAsia="en-GB"/>
              </w:rPr>
              <w:t>t</w:t>
            </w:r>
            <w:r w:rsidR="008943E4" w:rsidRPr="00CA5FBB">
              <w:rPr>
                <w:rFonts w:eastAsia="Times New Roman"/>
                <w:b/>
                <w:color w:val="000000"/>
                <w:lang w:val="en-GB" w:eastAsia="en-GB"/>
              </w:rPr>
              <w:t xml:space="preserve">est for </w:t>
            </w:r>
            <w:r>
              <w:rPr>
                <w:rFonts w:eastAsia="Times New Roman"/>
                <w:b/>
                <w:color w:val="000000"/>
                <w:lang w:val="en-GB" w:eastAsia="en-GB"/>
              </w:rPr>
              <w:t>e</w:t>
            </w:r>
            <w:r w:rsidR="008943E4" w:rsidRPr="00CA5FBB">
              <w:rPr>
                <w:rFonts w:eastAsia="Times New Roman"/>
                <w:b/>
                <w:color w:val="000000"/>
                <w:lang w:val="en-GB" w:eastAsia="en-GB"/>
              </w:rPr>
              <w:t xml:space="preserve">quality of </w:t>
            </w:r>
            <w:r>
              <w:rPr>
                <w:rFonts w:eastAsia="Times New Roman"/>
                <w:b/>
                <w:color w:val="000000"/>
                <w:lang w:val="en-GB" w:eastAsia="en-GB"/>
              </w:rPr>
              <w:t>v</w:t>
            </w:r>
            <w:r w:rsidR="008943E4" w:rsidRPr="00CA5FBB">
              <w:rPr>
                <w:rFonts w:eastAsia="Times New Roman"/>
                <w:b/>
                <w:color w:val="000000"/>
                <w:lang w:val="en-GB" w:eastAsia="en-GB"/>
              </w:rPr>
              <w:t>ariances</w:t>
            </w:r>
          </w:p>
        </w:tc>
        <w:tc>
          <w:tcPr>
            <w:tcW w:w="4722" w:type="dxa"/>
            <w:gridSpan w:val="5"/>
            <w:tcBorders>
              <w:top w:val="single" w:sz="4" w:space="0" w:color="auto"/>
              <w:bottom w:val="single" w:sz="4" w:space="0" w:color="auto"/>
            </w:tcBorders>
            <w:shd w:val="clear" w:color="auto" w:fill="auto"/>
            <w:noWrap/>
            <w:vAlign w:val="center"/>
          </w:tcPr>
          <w:p w:rsidR="0008519F" w:rsidRPr="00894C14" w:rsidRDefault="00885CD0">
            <w:pPr>
              <w:spacing w:before="0" w:line="240" w:lineRule="auto"/>
              <w:jc w:val="center"/>
              <w:rPr>
                <w:rFonts w:eastAsia="Times New Roman"/>
                <w:color w:val="000000"/>
                <w:lang w:val="en-GB" w:eastAsia="en-GB"/>
              </w:rPr>
            </w:pPr>
            <w:r>
              <w:rPr>
                <w:rFonts w:eastAsia="Times New Roman"/>
                <w:b/>
                <w:color w:val="000000"/>
                <w:lang w:val="en-GB" w:eastAsia="en-GB"/>
              </w:rPr>
              <w:t>t-test for equality of m</w:t>
            </w:r>
            <w:r w:rsidR="008943E4" w:rsidRPr="00CA5FBB">
              <w:rPr>
                <w:rFonts w:eastAsia="Times New Roman"/>
                <w:b/>
                <w:color w:val="000000"/>
                <w:lang w:val="en-GB" w:eastAsia="en-GB"/>
              </w:rPr>
              <w:t>eans</w:t>
            </w:r>
          </w:p>
        </w:tc>
      </w:tr>
      <w:tr w:rsidR="0008519F" w:rsidRPr="00894C14" w:rsidTr="00885CD0">
        <w:trPr>
          <w:trHeight w:val="300"/>
          <w:jc w:val="center"/>
        </w:trPr>
        <w:tc>
          <w:tcPr>
            <w:tcW w:w="3073" w:type="dxa"/>
            <w:gridSpan w:val="2"/>
            <w:vMerge/>
            <w:tcBorders>
              <w:top w:val="nil"/>
              <w:bottom w:val="single" w:sz="4" w:space="0" w:color="auto"/>
            </w:tcBorders>
            <w:shd w:val="clear" w:color="auto" w:fill="auto"/>
            <w:vAlign w:val="center"/>
          </w:tcPr>
          <w:p w:rsidR="0008519F" w:rsidRPr="00894C14" w:rsidRDefault="0008519F">
            <w:pPr>
              <w:spacing w:before="0" w:line="240" w:lineRule="auto"/>
              <w:jc w:val="center"/>
              <w:rPr>
                <w:rFonts w:eastAsia="Times New Roman"/>
                <w:color w:val="000000"/>
                <w:lang w:val="en-GB" w:eastAsia="en-GB"/>
              </w:rPr>
            </w:pPr>
          </w:p>
        </w:tc>
        <w:tc>
          <w:tcPr>
            <w:tcW w:w="821" w:type="dxa"/>
            <w:tcBorders>
              <w:top w:val="single" w:sz="4" w:space="0" w:color="auto"/>
              <w:bottom w:val="single" w:sz="4" w:space="0" w:color="auto"/>
            </w:tcBorders>
            <w:shd w:val="clear" w:color="auto" w:fill="auto"/>
            <w:noWrap/>
            <w:vAlign w:val="center"/>
          </w:tcPr>
          <w:p w:rsidR="0008519F" w:rsidRPr="00885CD0" w:rsidRDefault="0008519F">
            <w:pPr>
              <w:spacing w:before="0" w:line="240" w:lineRule="auto"/>
              <w:jc w:val="center"/>
              <w:rPr>
                <w:rFonts w:eastAsia="Times New Roman"/>
                <w:b/>
                <w:i/>
                <w:color w:val="000000"/>
                <w:lang w:val="en-GB" w:eastAsia="en-GB"/>
              </w:rPr>
            </w:pPr>
            <w:r w:rsidRPr="00885CD0">
              <w:rPr>
                <w:rFonts w:eastAsia="Times New Roman"/>
                <w:b/>
                <w:i/>
                <w:color w:val="000000"/>
                <w:lang w:val="en-GB" w:eastAsia="en-GB"/>
              </w:rPr>
              <w:t>F</w:t>
            </w:r>
          </w:p>
        </w:tc>
        <w:tc>
          <w:tcPr>
            <w:tcW w:w="821" w:type="dxa"/>
            <w:tcBorders>
              <w:top w:val="single" w:sz="4" w:space="0" w:color="auto"/>
              <w:bottom w:val="single" w:sz="4" w:space="0" w:color="auto"/>
            </w:tcBorders>
            <w:shd w:val="clear" w:color="auto" w:fill="auto"/>
            <w:noWrap/>
            <w:vAlign w:val="center"/>
          </w:tcPr>
          <w:p w:rsidR="00A35CA0" w:rsidRPr="00CA5FBB" w:rsidRDefault="00885CD0"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ig.</w:t>
            </w:r>
          </w:p>
        </w:tc>
        <w:tc>
          <w:tcPr>
            <w:tcW w:w="821" w:type="dxa"/>
            <w:tcBorders>
              <w:top w:val="single" w:sz="4" w:space="0" w:color="auto"/>
              <w:bottom w:val="single" w:sz="4" w:space="0" w:color="auto"/>
            </w:tcBorders>
            <w:shd w:val="clear" w:color="auto" w:fill="auto"/>
            <w:noWrap/>
            <w:vAlign w:val="center"/>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t</w:t>
            </w:r>
          </w:p>
        </w:tc>
        <w:tc>
          <w:tcPr>
            <w:tcW w:w="821" w:type="dxa"/>
            <w:tcBorders>
              <w:top w:val="single" w:sz="4" w:space="0" w:color="auto"/>
              <w:bottom w:val="single" w:sz="4" w:space="0" w:color="auto"/>
            </w:tcBorders>
            <w:shd w:val="clear" w:color="auto" w:fill="auto"/>
            <w:noWrap/>
            <w:vAlign w:val="center"/>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df</w:t>
            </w:r>
          </w:p>
        </w:tc>
        <w:tc>
          <w:tcPr>
            <w:tcW w:w="821" w:type="dxa"/>
            <w:tcBorders>
              <w:top w:val="single" w:sz="4" w:space="0" w:color="auto"/>
              <w:bottom w:val="single" w:sz="4" w:space="0" w:color="auto"/>
            </w:tcBorders>
            <w:shd w:val="clear" w:color="auto" w:fill="auto"/>
            <w:noWrap/>
            <w:vAlign w:val="center"/>
          </w:tcPr>
          <w:p w:rsidR="00A35CA0" w:rsidRPr="00CA5FBB" w:rsidRDefault="00885CD0"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ig. (2-tailed)</w:t>
            </w:r>
          </w:p>
        </w:tc>
        <w:tc>
          <w:tcPr>
            <w:tcW w:w="1194" w:type="dxa"/>
            <w:tcBorders>
              <w:top w:val="single" w:sz="4" w:space="0" w:color="auto"/>
              <w:bottom w:val="single" w:sz="4" w:space="0" w:color="auto"/>
            </w:tcBorders>
            <w:shd w:val="clear" w:color="auto" w:fill="auto"/>
            <w:noWrap/>
            <w:vAlign w:val="center"/>
          </w:tcPr>
          <w:p w:rsidR="00A35CA0" w:rsidRPr="00CA5FBB" w:rsidRDefault="00885CD0" w:rsidP="00CA5FBB">
            <w:pPr>
              <w:spacing w:before="0" w:line="240" w:lineRule="auto"/>
              <w:jc w:val="center"/>
              <w:rPr>
                <w:rFonts w:eastAsia="Times New Roman"/>
                <w:b/>
                <w:color w:val="000000"/>
                <w:lang w:val="en-GB" w:eastAsia="en-GB"/>
              </w:rPr>
            </w:pPr>
            <w:r>
              <w:rPr>
                <w:rFonts w:eastAsia="Times New Roman"/>
                <w:b/>
                <w:color w:val="000000"/>
                <w:lang w:val="en-GB" w:eastAsia="en-GB"/>
              </w:rPr>
              <w:t>mean d</w:t>
            </w:r>
            <w:r w:rsidR="008943E4" w:rsidRPr="00CA5FBB">
              <w:rPr>
                <w:rFonts w:eastAsia="Times New Roman"/>
                <w:b/>
                <w:color w:val="000000"/>
                <w:lang w:val="en-GB" w:eastAsia="en-GB"/>
              </w:rPr>
              <w:t>ifference</w:t>
            </w:r>
          </w:p>
        </w:tc>
        <w:tc>
          <w:tcPr>
            <w:tcW w:w="1065" w:type="dxa"/>
            <w:tcBorders>
              <w:top w:val="single" w:sz="4" w:space="0" w:color="auto"/>
              <w:bottom w:val="single" w:sz="4" w:space="0" w:color="auto"/>
            </w:tcBorders>
            <w:shd w:val="clear" w:color="auto" w:fill="auto"/>
            <w:noWrap/>
            <w:vAlign w:val="center"/>
          </w:tcPr>
          <w:p w:rsidR="00A35CA0" w:rsidRPr="00CA5FBB" w:rsidRDefault="00885CD0" w:rsidP="00CA5FBB">
            <w:pPr>
              <w:spacing w:before="0" w:line="240" w:lineRule="auto"/>
              <w:jc w:val="center"/>
              <w:rPr>
                <w:rFonts w:eastAsia="Times New Roman"/>
                <w:b/>
                <w:color w:val="000000"/>
                <w:lang w:val="en-GB" w:eastAsia="en-GB"/>
              </w:rPr>
            </w:pPr>
            <w:r>
              <w:rPr>
                <w:rFonts w:eastAsia="Times New Roman"/>
                <w:b/>
                <w:color w:val="000000"/>
                <w:lang w:val="en-GB" w:eastAsia="en-GB"/>
              </w:rPr>
              <w:t>std. e</w:t>
            </w:r>
            <w:r w:rsidR="008943E4" w:rsidRPr="00CA5FBB">
              <w:rPr>
                <w:rFonts w:eastAsia="Times New Roman"/>
                <w:b/>
                <w:color w:val="000000"/>
                <w:lang w:val="en-GB" w:eastAsia="en-GB"/>
              </w:rPr>
              <w:t xml:space="preserve">rror </w:t>
            </w:r>
            <w:r>
              <w:rPr>
                <w:rFonts w:eastAsia="Times New Roman"/>
                <w:b/>
                <w:color w:val="000000"/>
                <w:lang w:val="en-GB" w:eastAsia="en-GB"/>
              </w:rPr>
              <w:t>d</w:t>
            </w:r>
            <w:r w:rsidR="008943E4" w:rsidRPr="00CA5FBB">
              <w:rPr>
                <w:rFonts w:eastAsia="Times New Roman"/>
                <w:b/>
                <w:color w:val="000000"/>
                <w:lang w:val="en-GB" w:eastAsia="en-GB"/>
              </w:rPr>
              <w:t>ifference</w:t>
            </w:r>
          </w:p>
        </w:tc>
      </w:tr>
      <w:tr w:rsidR="0008519F" w:rsidRPr="00894C14" w:rsidTr="00885CD0">
        <w:trPr>
          <w:trHeight w:hRule="exact" w:val="284"/>
          <w:jc w:val="center"/>
        </w:trPr>
        <w:tc>
          <w:tcPr>
            <w:tcW w:w="2642" w:type="dxa"/>
            <w:vMerge w:val="restart"/>
            <w:tcBorders>
              <w:top w:val="single" w:sz="4" w:space="0" w:color="auto"/>
              <w:bottom w:val="nil"/>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proximal tibia</w:t>
            </w:r>
          </w:p>
        </w:tc>
        <w:tc>
          <w:tcPr>
            <w:tcW w:w="431" w:type="dxa"/>
            <w:tcBorders>
              <w:top w:val="single" w:sz="4" w:space="0" w:color="auto"/>
              <w:bottom w:val="nil"/>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r w:rsidR="00D530FB" w:rsidRPr="00D530FB">
              <w:rPr>
                <w:rFonts w:eastAsia="Times New Roman"/>
                <w:color w:val="000000"/>
                <w:vertAlign w:val="superscript"/>
                <w:lang w:val="en-GB" w:eastAsia="en-GB"/>
              </w:rPr>
              <w:t>1.</w:t>
            </w:r>
          </w:p>
        </w:tc>
        <w:tc>
          <w:tcPr>
            <w:tcW w:w="821" w:type="dxa"/>
            <w:tcBorders>
              <w:top w:val="single" w:sz="4" w:space="0" w:color="auto"/>
              <w:bottom w:val="nil"/>
            </w:tcBorders>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821" w:type="dxa"/>
            <w:tcBorders>
              <w:top w:val="single" w:sz="4" w:space="0" w:color="auto"/>
              <w:bottom w:val="nil"/>
            </w:tcBorders>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821" w:type="dxa"/>
            <w:tcBorders>
              <w:top w:val="single" w:sz="4" w:space="0" w:color="auto"/>
              <w:bottom w:val="nil"/>
            </w:tcBorders>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821" w:type="dxa"/>
            <w:tcBorders>
              <w:top w:val="single" w:sz="4" w:space="0" w:color="auto"/>
              <w:bottom w:val="nil"/>
            </w:tcBorders>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821" w:type="dxa"/>
            <w:tcBorders>
              <w:top w:val="single" w:sz="4" w:space="0" w:color="auto"/>
              <w:bottom w:val="nil"/>
            </w:tcBorders>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1194" w:type="dxa"/>
            <w:tcBorders>
              <w:top w:val="single" w:sz="4" w:space="0" w:color="auto"/>
              <w:bottom w:val="nil"/>
            </w:tcBorders>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1065" w:type="dxa"/>
            <w:tcBorders>
              <w:top w:val="single" w:sz="4" w:space="0" w:color="auto"/>
              <w:bottom w:val="nil"/>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0.09865</w:t>
            </w:r>
          </w:p>
        </w:tc>
      </w:tr>
      <w:tr w:rsidR="0008519F" w:rsidRPr="00894C14" w:rsidTr="00885CD0">
        <w:trPr>
          <w:trHeight w:hRule="exact" w:val="284"/>
          <w:jc w:val="center"/>
        </w:trPr>
        <w:tc>
          <w:tcPr>
            <w:tcW w:w="2642" w:type="dxa"/>
            <w:vMerge/>
            <w:tcBorders>
              <w:top w:val="nil"/>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top w:val="nil"/>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r w:rsidR="00D530FB" w:rsidRPr="00D530FB">
              <w:rPr>
                <w:rFonts w:eastAsia="Times New Roman"/>
                <w:color w:val="000000"/>
                <w:vertAlign w:val="superscript"/>
                <w:lang w:val="en-GB" w:eastAsia="en-GB"/>
              </w:rPr>
              <w:t>2.</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-2.749</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13.902</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0.016</w:t>
            </w:r>
          </w:p>
        </w:tc>
        <w:tc>
          <w:tcPr>
            <w:tcW w:w="1194"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-0.1993</w:t>
            </w:r>
          </w:p>
        </w:tc>
        <w:tc>
          <w:tcPr>
            <w:tcW w:w="1065"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0.07252</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distal tibia</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3.9417</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0.0582</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-2.653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0.014</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-0.3278</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0.12359</w:t>
            </w:r>
          </w:p>
        </w:tc>
      </w:tr>
      <w:tr w:rsidR="0008519F" w:rsidRPr="00894C14" w:rsidTr="00885CD0">
        <w:trPr>
          <w:trHeight w:hRule="exact" w:val="284"/>
          <w:jc w:val="center"/>
        </w:trPr>
        <w:tc>
          <w:tcPr>
            <w:tcW w:w="2642"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-4.372</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16.671</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4E-04</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-0.3278</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0.07497</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proximal fibula</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2.6979</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0.1169</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-2.151</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19</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0.045</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-0.2191</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0.10185</w:t>
            </w:r>
          </w:p>
        </w:tc>
      </w:tr>
      <w:tr w:rsidR="0008519F" w:rsidRPr="00894C14" w:rsidTr="00885CD0">
        <w:trPr>
          <w:trHeight w:hRule="exact" w:val="284"/>
          <w:jc w:val="center"/>
        </w:trPr>
        <w:tc>
          <w:tcPr>
            <w:tcW w:w="2642"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-3.013</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14.262</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0.009</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-0.2191</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0.07272</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distal fibula</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4.2837</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0.047</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-2.868</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29</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0.008</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-0.396</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0.1381</w:t>
            </w:r>
          </w:p>
        </w:tc>
      </w:tr>
      <w:tr w:rsidR="0008519F" w:rsidRPr="00894C14" w:rsidTr="00885CD0">
        <w:trPr>
          <w:trHeight w:hRule="exact" w:val="284"/>
          <w:jc w:val="center"/>
        </w:trPr>
        <w:tc>
          <w:tcPr>
            <w:tcW w:w="2642"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-5.177</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18.248</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6E-05</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-0.396</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0.0765</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triradiate</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0.1423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0.7075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-0.222</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0.8253</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-0.0565</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0.25474</w:t>
            </w:r>
          </w:p>
        </w:tc>
      </w:tr>
      <w:tr w:rsidR="0008519F" w:rsidRPr="00894C14" w:rsidTr="00885CD0">
        <w:trPr>
          <w:trHeight w:hRule="exact" w:val="284"/>
          <w:jc w:val="center"/>
        </w:trPr>
        <w:tc>
          <w:tcPr>
            <w:tcW w:w="2642" w:type="dxa"/>
            <w:vMerge/>
            <w:tcBorders>
              <w:bottom w:val="single" w:sz="4" w:space="0" w:color="auto"/>
            </w:tcBorders>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-0.193</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16.618</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0.8494</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-0.0565</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0.29301</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anterior inferior iliac spine</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1.1445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0.2925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-0.578</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0.5674</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-0.1511</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0.26149</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-0.484</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7.7595</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0.642</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-0.1511</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0.31237</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ischial epiphysis</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0.001</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0.979</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-.741</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0.47</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-0.1175</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0.15854</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-.693</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6.6111</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0.5117</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-0.1175</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0.16945</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calcaneus</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0.3482</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0.558</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-0.387</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46</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0.7005</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-0.096</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0.24814</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-0.353</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14.522</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0.7292</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-0.096</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0.27216</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distal phalanges (foot)</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0.885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0.3514</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-1.138</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49</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0.2608</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-0.4206</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0.36971</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-1.43</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15.923</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0.1721</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-0.4206</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0.29417</w:t>
            </w:r>
          </w:p>
        </w:tc>
      </w:tr>
      <w:tr w:rsidR="0008519F" w:rsidRPr="00894C14" w:rsidTr="00885CD0">
        <w:trPr>
          <w:trHeight w:hRule="exact" w:val="284"/>
          <w:jc w:val="center"/>
        </w:trPr>
        <w:tc>
          <w:tcPr>
            <w:tcW w:w="2642"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middle phalanges (foot)</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5.003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b/>
                <w:bCs/>
                <w:color w:val="000000"/>
                <w:sz w:val="24"/>
                <w:szCs w:val="24"/>
                <w:lang w:val="en-GB" w:eastAsia="en-GB"/>
              </w:rPr>
            </w:pPr>
            <w:r w:rsidRPr="00894C14">
              <w:rPr>
                <w:rFonts w:eastAsia="Times New Roman"/>
                <w:b/>
                <w:bCs/>
                <w:color w:val="000000"/>
                <w:lang w:val="en-GB" w:eastAsia="en-GB"/>
              </w:rPr>
              <w:t>.037</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.571</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19</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.574</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.10221</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.17889</w:t>
            </w:r>
          </w:p>
        </w:tc>
      </w:tr>
      <w:tr w:rsidR="0008519F" w:rsidRPr="00894C14" w:rsidTr="00885CD0">
        <w:trPr>
          <w:trHeight w:hRule="exact" w:val="284"/>
          <w:jc w:val="center"/>
        </w:trPr>
        <w:tc>
          <w:tcPr>
            <w:tcW w:w="2642" w:type="dxa"/>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.527</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11.494</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.608</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.10221</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.19380</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metatarsal heads 2-5 (foot)</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1.585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.217</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-.684</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31</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0.499</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-0.1175</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0.17182</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-.611</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8.339</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0.5576</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-0.1175</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0.19239</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proximal phalanges (foot)</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.373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.545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-1.036</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37</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.307</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-.18033</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.17413</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-1.036</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13.203</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.319</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-.18033</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.17404</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base of metatarsal 1</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0.597</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0.445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-1.165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0.2519</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-0.1967</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0.16881</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-1.109</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10.5</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0.2921</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-0.1967</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0.17734</w:t>
            </w:r>
          </w:p>
        </w:tc>
      </w:tr>
      <w:tr w:rsidR="0008519F" w:rsidRPr="00894C14" w:rsidTr="00885CD0">
        <w:trPr>
          <w:trHeight w:hRule="exact" w:val="284"/>
          <w:jc w:val="center"/>
        </w:trPr>
        <w:tc>
          <w:tcPr>
            <w:tcW w:w="2642" w:type="dxa"/>
            <w:vMerge w:val="restart"/>
            <w:tcBorders>
              <w:top w:val="single" w:sz="4" w:space="0" w:color="auto"/>
              <w:bottom w:val="nil"/>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medial clavicle</w:t>
            </w:r>
          </w:p>
        </w:tc>
        <w:tc>
          <w:tcPr>
            <w:tcW w:w="431" w:type="dxa"/>
            <w:tcBorders>
              <w:top w:val="single" w:sz="4" w:space="0" w:color="auto"/>
              <w:bottom w:val="nil"/>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bottom w:val="nil"/>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2.9042</w:t>
            </w:r>
          </w:p>
        </w:tc>
        <w:tc>
          <w:tcPr>
            <w:tcW w:w="821" w:type="dxa"/>
            <w:tcBorders>
              <w:top w:val="single" w:sz="4" w:space="0" w:color="auto"/>
              <w:bottom w:val="nil"/>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0.097</w:t>
            </w:r>
          </w:p>
        </w:tc>
        <w:tc>
          <w:tcPr>
            <w:tcW w:w="821" w:type="dxa"/>
            <w:tcBorders>
              <w:top w:val="single" w:sz="4" w:space="0" w:color="auto"/>
              <w:bottom w:val="nil"/>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0.3362</w:t>
            </w:r>
          </w:p>
        </w:tc>
        <w:tc>
          <w:tcPr>
            <w:tcW w:w="821" w:type="dxa"/>
            <w:tcBorders>
              <w:top w:val="single" w:sz="4" w:space="0" w:color="auto"/>
              <w:bottom w:val="nil"/>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36</w:t>
            </w:r>
          </w:p>
        </w:tc>
        <w:tc>
          <w:tcPr>
            <w:tcW w:w="821" w:type="dxa"/>
            <w:tcBorders>
              <w:top w:val="single" w:sz="4" w:space="0" w:color="auto"/>
              <w:bottom w:val="nil"/>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0.7387</w:t>
            </w:r>
          </w:p>
        </w:tc>
        <w:tc>
          <w:tcPr>
            <w:tcW w:w="1194" w:type="dxa"/>
            <w:tcBorders>
              <w:top w:val="single" w:sz="4" w:space="0" w:color="auto"/>
              <w:bottom w:val="nil"/>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0.1456</w:t>
            </w:r>
          </w:p>
        </w:tc>
        <w:tc>
          <w:tcPr>
            <w:tcW w:w="1065" w:type="dxa"/>
            <w:tcBorders>
              <w:top w:val="single" w:sz="4" w:space="0" w:color="auto"/>
              <w:bottom w:val="nil"/>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0.43297</w:t>
            </w:r>
          </w:p>
        </w:tc>
      </w:tr>
      <w:tr w:rsidR="0008519F" w:rsidRPr="00894C14" w:rsidTr="00885CD0">
        <w:trPr>
          <w:trHeight w:hRule="exact" w:val="284"/>
          <w:jc w:val="center"/>
        </w:trPr>
        <w:tc>
          <w:tcPr>
            <w:tcW w:w="2642" w:type="dxa"/>
            <w:vMerge/>
            <w:tcBorders>
              <w:top w:val="nil"/>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top w:val="nil"/>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0.2752</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10.424</w:t>
            </w:r>
          </w:p>
        </w:tc>
        <w:tc>
          <w:tcPr>
            <w:tcW w:w="821"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0.7886</w:t>
            </w:r>
          </w:p>
        </w:tc>
        <w:tc>
          <w:tcPr>
            <w:tcW w:w="1194"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0.1456</w:t>
            </w:r>
          </w:p>
        </w:tc>
        <w:tc>
          <w:tcPr>
            <w:tcW w:w="1065" w:type="dxa"/>
            <w:tcBorders>
              <w:top w:val="nil"/>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0.52898</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coracoid</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0.5122</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0.4773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0.0913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54</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0.9276</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0.0217</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0.23741</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0.0804</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18.531</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0.9368</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0.0217</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0.26939</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sub-coracoid and glenoid</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0.3009</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0.5855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-0.074</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56</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0.9411</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-0.0187</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0.25226</w:t>
            </w:r>
          </w:p>
        </w:tc>
      </w:tr>
      <w:tr w:rsidR="0008519F" w:rsidRPr="00894C14" w:rsidTr="00885CD0">
        <w:trPr>
          <w:trHeight w:hRule="exact" w:val="284"/>
          <w:jc w:val="center"/>
        </w:trPr>
        <w:tc>
          <w:tcPr>
            <w:tcW w:w="2642" w:type="dxa"/>
            <w:vMerge/>
            <w:tcBorders>
              <w:bottom w:val="single" w:sz="4" w:space="0" w:color="auto"/>
            </w:tcBorders>
            <w:shd w:val="clear" w:color="auto" w:fill="auto"/>
            <w:vAlign w:val="center"/>
            <w:hideMark/>
          </w:tcPr>
          <w:p w:rsidR="00A35CA0" w:rsidRDefault="00A35CA0" w:rsidP="00CA5FBB">
            <w:pPr>
              <w:spacing w:before="0" w:line="240" w:lineRule="auto"/>
              <w:jc w:val="center"/>
              <w:rPr>
                <w:rFonts w:eastAsia="Times New Roman"/>
                <w:color w:val="000000"/>
                <w:lang w:val="en-GB" w:eastAsia="en-GB"/>
              </w:rPr>
            </w:pPr>
          </w:p>
        </w:tc>
        <w:tc>
          <w:tcPr>
            <w:tcW w:w="431" w:type="dxa"/>
            <w:tcBorders>
              <w:bottom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-0.065</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18.247</w:t>
            </w:r>
          </w:p>
        </w:tc>
        <w:tc>
          <w:tcPr>
            <w:tcW w:w="821"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0.9488</w:t>
            </w:r>
          </w:p>
        </w:tc>
        <w:tc>
          <w:tcPr>
            <w:tcW w:w="1194"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-0.0187</w:t>
            </w:r>
          </w:p>
        </w:tc>
        <w:tc>
          <w:tcPr>
            <w:tcW w:w="1065" w:type="dxa"/>
            <w:tcBorders>
              <w:bottom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0.28792</w:t>
            </w:r>
          </w:p>
        </w:tc>
      </w:tr>
      <w:tr w:rsidR="0008519F" w:rsidRPr="00894C14" w:rsidTr="00885CD0">
        <w:trPr>
          <w:trHeight w:hRule="exact" w:val="284"/>
          <w:jc w:val="center"/>
        </w:trPr>
        <w:tc>
          <w:tcPr>
            <w:tcW w:w="2642" w:type="dxa"/>
            <w:vMerge w:val="restart"/>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lang w:val="en-GB" w:eastAsia="en-GB"/>
              </w:rPr>
            </w:pPr>
            <w:r w:rsidRPr="00894C14">
              <w:rPr>
                <w:rFonts w:eastAsia="Times New Roman"/>
                <w:color w:val="000000"/>
                <w:lang w:val="en-GB" w:eastAsia="en-GB"/>
              </w:rPr>
              <w:t>acromium</w:t>
            </w:r>
          </w:p>
        </w:tc>
        <w:tc>
          <w:tcPr>
            <w:tcW w:w="431" w:type="dxa"/>
            <w:tcBorders>
              <w:top w:val="single" w:sz="4" w:space="0" w:color="auto"/>
            </w:tcBorders>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a</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0.363</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0.56</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-.355</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10</w:t>
            </w:r>
          </w:p>
        </w:tc>
        <w:tc>
          <w:tcPr>
            <w:tcW w:w="821"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0.7296</w:t>
            </w:r>
          </w:p>
        </w:tc>
        <w:tc>
          <w:tcPr>
            <w:tcW w:w="1194"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-0.065</w:t>
            </w:r>
          </w:p>
        </w:tc>
        <w:tc>
          <w:tcPr>
            <w:tcW w:w="1065" w:type="dxa"/>
            <w:tcBorders>
              <w:top w:val="single" w:sz="4" w:space="0" w:color="auto"/>
            </w:tcBorders>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0.18285</w:t>
            </w:r>
          </w:p>
        </w:tc>
      </w:tr>
      <w:tr w:rsidR="0008519F" w:rsidRPr="00894C14" w:rsidTr="00885CD0">
        <w:trPr>
          <w:trHeight w:hRule="exact" w:val="284"/>
          <w:jc w:val="center"/>
        </w:trPr>
        <w:tc>
          <w:tcPr>
            <w:tcW w:w="2642" w:type="dxa"/>
            <w:vMerge/>
            <w:shd w:val="clear" w:color="auto" w:fill="auto"/>
            <w:vAlign w:val="center"/>
            <w:hideMark/>
          </w:tcPr>
          <w:p w:rsidR="00A35CA0" w:rsidRDefault="00A35CA0" w:rsidP="00CA5FBB">
            <w:pPr>
              <w:spacing w:before="0" w:line="240" w:lineRule="auto"/>
              <w:rPr>
                <w:rFonts w:eastAsia="Times New Roman"/>
                <w:color w:val="000000"/>
                <w:lang w:val="en-GB" w:eastAsia="en-GB"/>
              </w:rPr>
            </w:pPr>
          </w:p>
        </w:tc>
        <w:tc>
          <w:tcPr>
            <w:tcW w:w="431" w:type="dxa"/>
            <w:shd w:val="clear" w:color="auto" w:fill="auto"/>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b</w:t>
            </w:r>
          </w:p>
        </w:tc>
        <w:tc>
          <w:tcPr>
            <w:tcW w:w="821" w:type="dxa"/>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 </w:t>
            </w:r>
          </w:p>
        </w:tc>
        <w:tc>
          <w:tcPr>
            <w:tcW w:w="821" w:type="dxa"/>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-.355</w:t>
            </w:r>
          </w:p>
        </w:tc>
        <w:tc>
          <w:tcPr>
            <w:tcW w:w="821" w:type="dxa"/>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9.848</w:t>
            </w:r>
          </w:p>
        </w:tc>
        <w:tc>
          <w:tcPr>
            <w:tcW w:w="821" w:type="dxa"/>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0.7297</w:t>
            </w:r>
          </w:p>
        </w:tc>
        <w:tc>
          <w:tcPr>
            <w:tcW w:w="1194" w:type="dxa"/>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-0.065</w:t>
            </w:r>
          </w:p>
        </w:tc>
        <w:tc>
          <w:tcPr>
            <w:tcW w:w="1065" w:type="dxa"/>
            <w:shd w:val="clear" w:color="auto" w:fill="auto"/>
            <w:noWrap/>
            <w:vAlign w:val="center"/>
            <w:hideMark/>
          </w:tcPr>
          <w:p w:rsidR="00A35CA0" w:rsidRDefault="0008519F" w:rsidP="00CA5FBB">
            <w:pPr>
              <w:spacing w:before="0" w:line="240" w:lineRule="auto"/>
              <w:jc w:val="center"/>
              <w:rPr>
                <w:rFonts w:eastAsia="Times New Roman"/>
                <w:color w:val="000000"/>
                <w:sz w:val="24"/>
                <w:szCs w:val="24"/>
                <w:lang w:val="en-GB" w:eastAsia="en-GB"/>
              </w:rPr>
            </w:pPr>
            <w:r w:rsidRPr="00894C14">
              <w:rPr>
                <w:rFonts w:eastAsia="Times New Roman"/>
                <w:color w:val="000000"/>
                <w:lang w:val="en-GB" w:eastAsia="en-GB"/>
              </w:rPr>
              <w:t>0.18285</w:t>
            </w:r>
          </w:p>
        </w:tc>
      </w:tr>
    </w:tbl>
    <w:p w:rsidR="00D530FB" w:rsidRDefault="00D530FB" w:rsidP="00D530FB">
      <w:pPr>
        <w:pStyle w:val="ListParagraph"/>
        <w:numPr>
          <w:ilvl w:val="0"/>
          <w:numId w:val="80"/>
        </w:numPr>
        <w:spacing w:before="0" w:line="240" w:lineRule="auto"/>
        <w:rPr>
          <w:rFonts w:eastAsia="Times New Roman"/>
          <w:color w:val="000000"/>
          <w:sz w:val="20"/>
          <w:szCs w:val="20"/>
          <w:lang w:val="en-GB" w:eastAsia="en-GB"/>
        </w:rPr>
      </w:pPr>
      <w:r w:rsidRPr="00F67A8A">
        <w:rPr>
          <w:rFonts w:eastAsia="Times New Roman"/>
          <w:color w:val="000000"/>
          <w:sz w:val="20"/>
          <w:szCs w:val="20"/>
          <w:lang w:val="en-GB" w:eastAsia="en-GB"/>
        </w:rPr>
        <w:t>Equal variances assumed</w:t>
      </w:r>
    </w:p>
    <w:p w:rsidR="00D530FB" w:rsidRPr="00812DB0" w:rsidRDefault="00D530FB" w:rsidP="00D530FB">
      <w:pPr>
        <w:pStyle w:val="ListParagraph"/>
        <w:numPr>
          <w:ilvl w:val="0"/>
          <w:numId w:val="80"/>
        </w:numPr>
        <w:spacing w:before="0" w:line="240" w:lineRule="auto"/>
        <w:ind w:left="714" w:hanging="357"/>
        <w:rPr>
          <w:rFonts w:eastAsia="Times New Roman"/>
          <w:color w:val="000000"/>
          <w:sz w:val="20"/>
          <w:szCs w:val="20"/>
          <w:lang w:val="en-GB" w:eastAsia="en-GB"/>
        </w:rPr>
      </w:pPr>
      <w:r w:rsidRPr="00F67A8A">
        <w:rPr>
          <w:rFonts w:eastAsia="Times New Roman"/>
          <w:color w:val="000000"/>
          <w:sz w:val="20"/>
          <w:szCs w:val="20"/>
          <w:lang w:val="en-GB" w:eastAsia="en-GB"/>
        </w:rPr>
        <w:t>Equal variances not assumed</w:t>
      </w:r>
    </w:p>
    <w:p w:rsidR="0008519F" w:rsidRDefault="0008519F">
      <w:pPr>
        <w:spacing w:before="0" w:after="200" w:line="276" w:lineRule="auto"/>
        <w:jc w:val="left"/>
        <w:rPr>
          <w:b/>
          <w:i/>
          <w:noProof/>
        </w:rPr>
      </w:pPr>
      <w:r>
        <w:rPr>
          <w:b/>
          <w:i/>
          <w:noProof/>
        </w:rPr>
        <w:br w:type="page"/>
      </w:r>
    </w:p>
    <w:p w:rsidR="005F52F0" w:rsidRPr="00B07FB8" w:rsidRDefault="00CE5B24" w:rsidP="002E17E6">
      <w:pPr>
        <w:tabs>
          <w:tab w:val="left" w:pos="360"/>
        </w:tabs>
        <w:spacing w:line="240" w:lineRule="auto"/>
        <w:rPr>
          <w:b/>
          <w:i/>
          <w:noProof/>
        </w:rPr>
      </w:pPr>
      <w:r>
        <w:rPr>
          <w:b/>
          <w:i/>
          <w:noProof/>
        </w:rPr>
        <w:lastRenderedPageBreak/>
        <w:t>4.2.2</w:t>
      </w:r>
      <w:r w:rsidR="005A29FF" w:rsidRPr="00B07FB8">
        <w:rPr>
          <w:b/>
          <w:i/>
          <w:noProof/>
        </w:rPr>
        <w:t>.</w:t>
      </w:r>
      <w:r w:rsidR="00006290">
        <w:rPr>
          <w:b/>
          <w:i/>
          <w:noProof/>
        </w:rPr>
        <w:t>d</w:t>
      </w:r>
      <w:r w:rsidR="005A29FF" w:rsidRPr="00B07FB8">
        <w:rPr>
          <w:b/>
          <w:i/>
          <w:noProof/>
        </w:rPr>
        <w:t xml:space="preserve"> </w:t>
      </w:r>
      <w:r w:rsidR="005916E4">
        <w:rPr>
          <w:b/>
          <w:i/>
          <w:noProof/>
        </w:rPr>
        <w:t>M</w:t>
      </w:r>
      <w:r w:rsidR="005A29FF" w:rsidRPr="00B07FB8">
        <w:rPr>
          <w:b/>
          <w:i/>
          <w:noProof/>
        </w:rPr>
        <w:t>ixed sex</w:t>
      </w:r>
      <w:r w:rsidR="001E6E4D" w:rsidRPr="00B07FB8">
        <w:rPr>
          <w:b/>
          <w:i/>
          <w:noProof/>
        </w:rPr>
        <w:t xml:space="preserve"> samples</w:t>
      </w:r>
      <w:r>
        <w:rPr>
          <w:b/>
          <w:i/>
          <w:noProof/>
        </w:rPr>
        <w:t xml:space="preserve"> for modular sequence pattern</w:t>
      </w:r>
    </w:p>
    <w:p w:rsidR="00A35CA0" w:rsidRPr="00CA5FBB" w:rsidRDefault="00C7282C" w:rsidP="00CA5FBB">
      <w:pPr>
        <w:rPr>
          <w:b/>
          <w:noProof/>
          <w:color w:val="000000" w:themeColor="text1"/>
        </w:rPr>
      </w:pPr>
      <w:r>
        <w:rPr>
          <w:noProof/>
        </w:rPr>
        <w:t xml:space="preserve">Given that males and females do not show significant differences for </w:t>
      </w:r>
      <w:r w:rsidR="004F1E2E">
        <w:rPr>
          <w:noProof/>
        </w:rPr>
        <w:t xml:space="preserve">almost all </w:t>
      </w:r>
      <w:r>
        <w:rPr>
          <w:noProof/>
        </w:rPr>
        <w:t>epiphyses, it is worth exploring if a combined</w:t>
      </w:r>
      <w:r w:rsidR="00B60961">
        <w:rPr>
          <w:noProof/>
        </w:rPr>
        <w:t>-</w:t>
      </w:r>
      <w:r>
        <w:rPr>
          <w:noProof/>
        </w:rPr>
        <w:t>sex</w:t>
      </w:r>
      <w:r w:rsidR="00B60961">
        <w:rPr>
          <w:noProof/>
        </w:rPr>
        <w:t xml:space="preserve"> </w:t>
      </w:r>
      <w:r>
        <w:rPr>
          <w:noProof/>
        </w:rPr>
        <w:t xml:space="preserve">sample produces </w:t>
      </w:r>
      <w:r w:rsidR="005B7709">
        <w:rPr>
          <w:noProof/>
        </w:rPr>
        <w:t>a more distinct pattern</w:t>
      </w:r>
      <w:r>
        <w:rPr>
          <w:noProof/>
        </w:rPr>
        <w:t xml:space="preserve"> due to increased sample size.  </w:t>
      </w:r>
      <w:r w:rsidR="005F52F0" w:rsidRPr="003309BD">
        <w:rPr>
          <w:noProof/>
        </w:rPr>
        <w:t>Figures</w:t>
      </w:r>
      <w:r w:rsidR="006F2A36">
        <w:rPr>
          <w:noProof/>
        </w:rPr>
        <w:t xml:space="preserve"> 4.1</w:t>
      </w:r>
      <w:r w:rsidR="006F4D02">
        <w:rPr>
          <w:noProof/>
        </w:rPr>
        <w:t>9 and 4.20</w:t>
      </w:r>
      <w:r w:rsidR="008943E4" w:rsidRPr="00CA5FBB">
        <w:rPr>
          <w:noProof/>
          <w:color w:val="000000" w:themeColor="text1"/>
        </w:rPr>
        <w:t xml:space="preserve"> </w:t>
      </w:r>
      <w:r w:rsidR="005F52F0" w:rsidRPr="003309BD">
        <w:rPr>
          <w:noProof/>
        </w:rPr>
        <w:t xml:space="preserve">demonstrate mid-fusion and complete fusion mean value plots.  </w:t>
      </w:r>
      <w:r w:rsidR="00704185">
        <w:rPr>
          <w:noProof/>
        </w:rPr>
        <w:t xml:space="preserve">Post-hoc </w:t>
      </w:r>
      <w:r w:rsidR="005F52F0" w:rsidRPr="003309BD">
        <w:rPr>
          <w:noProof/>
        </w:rPr>
        <w:t xml:space="preserve">Bonferroni </w:t>
      </w:r>
      <w:r w:rsidR="00704185">
        <w:rPr>
          <w:noProof/>
        </w:rPr>
        <w:t xml:space="preserve">test results </w:t>
      </w:r>
      <w:r w:rsidR="005F52F0" w:rsidRPr="003309BD">
        <w:rPr>
          <w:noProof/>
        </w:rPr>
        <w:t xml:space="preserve">are available in </w:t>
      </w:r>
      <w:r w:rsidR="00704185">
        <w:rPr>
          <w:noProof/>
        </w:rPr>
        <w:t>T</w:t>
      </w:r>
      <w:r w:rsidR="005A29FF">
        <w:rPr>
          <w:noProof/>
        </w:rPr>
        <w:t>able 8.2.</w:t>
      </w:r>
      <w:r w:rsidR="00F25444">
        <w:rPr>
          <w:noProof/>
        </w:rPr>
        <w:t>2</w:t>
      </w:r>
      <w:r w:rsidR="00CA4DC1">
        <w:rPr>
          <w:noProof/>
        </w:rPr>
        <w:t>.1</w:t>
      </w:r>
      <w:r w:rsidR="005A29FF">
        <w:rPr>
          <w:noProof/>
        </w:rPr>
        <w:t xml:space="preserve"> in the digital appendix (section 8.2</w:t>
      </w:r>
      <w:r w:rsidR="00F25444">
        <w:rPr>
          <w:noProof/>
        </w:rPr>
        <w:t>.2</w:t>
      </w:r>
      <w:r w:rsidR="005A29FF">
        <w:rPr>
          <w:noProof/>
        </w:rPr>
        <w:t>)</w:t>
      </w:r>
      <w:r w:rsidR="00A74981">
        <w:rPr>
          <w:noProof/>
        </w:rPr>
        <w:t>.</w:t>
      </w:r>
    </w:p>
    <w:p w:rsidR="005F52F0" w:rsidRDefault="00B8526E" w:rsidP="005F52F0">
      <w:pPr>
        <w:tabs>
          <w:tab w:val="left" w:pos="360"/>
        </w:tabs>
        <w:spacing w:line="240" w:lineRule="auto"/>
        <w:jc w:val="center"/>
        <w:rPr>
          <w:b/>
          <w:noProof/>
          <w:color w:val="FF0000"/>
        </w:rPr>
      </w:pPr>
      <w:r>
        <w:rPr>
          <w:b/>
          <w:noProof/>
          <w:color w:val="FF0000"/>
          <w:lang w:val="en-GB" w:eastAsia="en-GB"/>
        </w:rPr>
        <w:drawing>
          <wp:inline distT="0" distB="0" distL="0" distR="0">
            <wp:extent cx="5791200" cy="48101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1200" cy="4810125"/>
                    </a:xfrm>
                    <a:prstGeom prst="rect">
                      <a:avLst/>
                    </a:prstGeom>
                    <a:noFill/>
                    <a:ln>
                      <a:noFill/>
                    </a:ln>
                  </pic:spPr>
                </pic:pic>
              </a:graphicData>
            </a:graphic>
          </wp:inline>
        </w:drawing>
      </w:r>
    </w:p>
    <w:p w:rsidR="0011695B" w:rsidRDefault="0011695B" w:rsidP="005F52F0">
      <w:pPr>
        <w:tabs>
          <w:tab w:val="left" w:pos="360"/>
        </w:tabs>
        <w:spacing w:line="240" w:lineRule="auto"/>
        <w:rPr>
          <w:b/>
          <w:noProof/>
          <w:color w:val="000000" w:themeColor="text1"/>
        </w:rPr>
      </w:pPr>
      <w:bookmarkStart w:id="514" w:name="_Toc373147479"/>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19</w:t>
      </w:r>
      <w:r w:rsidR="008943E4" w:rsidRPr="00997A01">
        <w:rPr>
          <w:b/>
        </w:rPr>
        <w:fldChar w:fldCharType="end"/>
      </w:r>
      <w:r w:rsidRPr="003309BD">
        <w:rPr>
          <w:noProof/>
          <w:color w:val="000000" w:themeColor="text1"/>
        </w:rPr>
        <w:t xml:space="preserve"> </w:t>
      </w:r>
      <w:r>
        <w:rPr>
          <w:noProof/>
          <w:color w:val="000000" w:themeColor="text1"/>
        </w:rPr>
        <w:t>M</w:t>
      </w:r>
      <w:r w:rsidRPr="003309BD">
        <w:rPr>
          <w:noProof/>
          <w:color w:val="000000" w:themeColor="text1"/>
        </w:rPr>
        <w:t xml:space="preserve">ean values for all epiphyses at mid-fusion states for combined sex </w:t>
      </w:r>
      <w:r w:rsidRPr="003309BD">
        <w:rPr>
          <w:i/>
          <w:noProof/>
          <w:color w:val="000000" w:themeColor="text1"/>
        </w:rPr>
        <w:t>Pan troglodytes</w:t>
      </w:r>
      <w:r w:rsidRPr="003309BD">
        <w:rPr>
          <w:noProof/>
          <w:color w:val="000000" w:themeColor="text1"/>
        </w:rPr>
        <w:t>.</w:t>
      </w:r>
      <w:bookmarkEnd w:id="514"/>
    </w:p>
    <w:p w:rsidR="00C359EB" w:rsidRDefault="00C359EB">
      <w:pPr>
        <w:spacing w:before="0" w:after="200" w:line="276" w:lineRule="auto"/>
        <w:jc w:val="left"/>
        <w:rPr>
          <w:noProof/>
          <w:color w:val="000000" w:themeColor="text1"/>
        </w:rPr>
      </w:pPr>
      <w:r>
        <w:rPr>
          <w:noProof/>
          <w:color w:val="000000" w:themeColor="text1"/>
        </w:rPr>
        <w:br w:type="page"/>
      </w:r>
    </w:p>
    <w:p w:rsidR="005F52F0" w:rsidRPr="00CA5FBB" w:rsidRDefault="00B8526E" w:rsidP="005F52F0">
      <w:pPr>
        <w:tabs>
          <w:tab w:val="left" w:pos="360"/>
        </w:tabs>
        <w:spacing w:line="240" w:lineRule="auto"/>
        <w:jc w:val="center"/>
        <w:rPr>
          <w:b/>
          <w:noProof/>
          <w:color w:val="000000" w:themeColor="text1"/>
        </w:rPr>
      </w:pPr>
      <w:r>
        <w:rPr>
          <w:b/>
          <w:noProof/>
          <w:color w:val="000000" w:themeColor="text1"/>
          <w:lang w:val="en-GB" w:eastAsia="en-GB"/>
        </w:rPr>
        <w:lastRenderedPageBreak/>
        <w:drawing>
          <wp:inline distT="0" distB="0" distL="0" distR="0">
            <wp:extent cx="5791200" cy="51530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1200" cy="5153025"/>
                    </a:xfrm>
                    <a:prstGeom prst="rect">
                      <a:avLst/>
                    </a:prstGeom>
                    <a:noFill/>
                    <a:ln>
                      <a:noFill/>
                    </a:ln>
                  </pic:spPr>
                </pic:pic>
              </a:graphicData>
            </a:graphic>
          </wp:inline>
        </w:drawing>
      </w:r>
    </w:p>
    <w:p w:rsidR="000D0319" w:rsidRDefault="000D0319" w:rsidP="000D0319">
      <w:pPr>
        <w:tabs>
          <w:tab w:val="left" w:pos="360"/>
        </w:tabs>
        <w:spacing w:line="240" w:lineRule="auto"/>
        <w:rPr>
          <w:noProof/>
          <w:color w:val="000000" w:themeColor="text1"/>
        </w:rPr>
      </w:pPr>
      <w:bookmarkStart w:id="515" w:name="_Toc373147480"/>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20</w:t>
      </w:r>
      <w:r w:rsidR="008943E4" w:rsidRPr="00997A01">
        <w:rPr>
          <w:b/>
        </w:rPr>
        <w:fldChar w:fldCharType="end"/>
      </w:r>
      <w:r w:rsidRPr="006631BB">
        <w:rPr>
          <w:noProof/>
          <w:color w:val="000000" w:themeColor="text1"/>
        </w:rPr>
        <w:t xml:space="preserve"> </w:t>
      </w:r>
      <w:r>
        <w:rPr>
          <w:noProof/>
          <w:color w:val="000000" w:themeColor="text1"/>
        </w:rPr>
        <w:t xml:space="preserve">Mean values for all epiphyses at complete-fusion states for combined sex </w:t>
      </w:r>
      <w:r>
        <w:rPr>
          <w:i/>
          <w:noProof/>
          <w:color w:val="000000" w:themeColor="text1"/>
        </w:rPr>
        <w:t>Pan troglodytes</w:t>
      </w:r>
      <w:r>
        <w:rPr>
          <w:noProof/>
          <w:color w:val="000000" w:themeColor="text1"/>
        </w:rPr>
        <w:t>.</w:t>
      </w:r>
      <w:bookmarkEnd w:id="515"/>
    </w:p>
    <w:p w:rsidR="00A35CA0" w:rsidRDefault="00CE689A" w:rsidP="00CA5FBB">
      <w:pPr>
        <w:rPr>
          <w:noProof/>
          <w:color w:val="000000" w:themeColor="text1"/>
        </w:rPr>
      </w:pPr>
      <w:r>
        <w:rPr>
          <w:noProof/>
          <w:color w:val="000000" w:themeColor="text1"/>
        </w:rPr>
        <w:t xml:space="preserve">It was found that increasing sample size did not greatly affect the </w:t>
      </w:r>
      <w:r w:rsidR="00702904">
        <w:rPr>
          <w:noProof/>
          <w:color w:val="000000" w:themeColor="text1"/>
        </w:rPr>
        <w:t xml:space="preserve">range of variation and the number of closely fusing epiphyses for a given epiphyses that did not show </w:t>
      </w:r>
      <w:r>
        <w:rPr>
          <w:noProof/>
          <w:color w:val="000000" w:themeColor="text1"/>
        </w:rPr>
        <w:t xml:space="preserve">statistically significant </w:t>
      </w:r>
      <w:r w:rsidR="00702904">
        <w:rPr>
          <w:noProof/>
          <w:color w:val="000000" w:themeColor="text1"/>
        </w:rPr>
        <w:t>differences did not necessarily change</w:t>
      </w:r>
      <w:r>
        <w:rPr>
          <w:noProof/>
          <w:color w:val="000000" w:themeColor="text1"/>
        </w:rPr>
        <w:t>.  In section</w:t>
      </w:r>
      <w:r w:rsidR="0083304A">
        <w:rPr>
          <w:noProof/>
          <w:color w:val="000000" w:themeColor="text1"/>
        </w:rPr>
        <w:t xml:space="preserve"> 4.2.2b</w:t>
      </w:r>
      <w:r>
        <w:rPr>
          <w:noProof/>
          <w:color w:val="000000" w:themeColor="text1"/>
        </w:rPr>
        <w:t xml:space="preserve"> the proximal humerus that was analysed to demonstrate the range of significance.  </w:t>
      </w:r>
      <w:r w:rsidR="00C94DCF">
        <w:rPr>
          <w:noProof/>
          <w:color w:val="000000" w:themeColor="text1"/>
        </w:rPr>
        <w:t>Th</w:t>
      </w:r>
      <w:r w:rsidR="00A94D9E">
        <w:rPr>
          <w:noProof/>
          <w:color w:val="000000" w:themeColor="text1"/>
        </w:rPr>
        <w:t xml:space="preserve">is </w:t>
      </w:r>
      <w:r w:rsidR="003570E2">
        <w:rPr>
          <w:noProof/>
          <w:color w:val="000000" w:themeColor="text1"/>
        </w:rPr>
        <w:t xml:space="preserve">analysis </w:t>
      </w:r>
      <w:r w:rsidR="00A94D9E">
        <w:rPr>
          <w:noProof/>
          <w:color w:val="000000" w:themeColor="text1"/>
        </w:rPr>
        <w:t>is repea</w:t>
      </w:r>
      <w:r w:rsidR="0083304A">
        <w:rPr>
          <w:noProof/>
          <w:color w:val="000000" w:themeColor="text1"/>
        </w:rPr>
        <w:t>ted here</w:t>
      </w:r>
      <w:r w:rsidR="003570E2">
        <w:rPr>
          <w:noProof/>
          <w:color w:val="000000" w:themeColor="text1"/>
        </w:rPr>
        <w:t xml:space="preserve"> for the combined-sex sample</w:t>
      </w:r>
      <w:r w:rsidR="0083304A">
        <w:rPr>
          <w:noProof/>
          <w:color w:val="000000" w:themeColor="text1"/>
        </w:rPr>
        <w:t>.  Table 4.19</w:t>
      </w:r>
      <w:r w:rsidR="00C94DCF">
        <w:rPr>
          <w:noProof/>
          <w:color w:val="000000" w:themeColor="text1"/>
        </w:rPr>
        <w:t xml:space="preserve"> </w:t>
      </w:r>
      <w:r w:rsidR="00096DCD">
        <w:rPr>
          <w:noProof/>
          <w:color w:val="000000" w:themeColor="text1"/>
        </w:rPr>
        <w:t xml:space="preserve">provides </w:t>
      </w:r>
      <w:r w:rsidR="00C94DCF">
        <w:rPr>
          <w:noProof/>
          <w:color w:val="000000" w:themeColor="text1"/>
        </w:rPr>
        <w:t xml:space="preserve">post-hoc Bonferroni test results for the proximal humerus </w:t>
      </w:r>
      <w:r w:rsidR="00AB1F97">
        <w:rPr>
          <w:noProof/>
          <w:color w:val="000000" w:themeColor="text1"/>
        </w:rPr>
        <w:t xml:space="preserve">in </w:t>
      </w:r>
      <w:r w:rsidR="00AB1F97">
        <w:rPr>
          <w:i/>
          <w:noProof/>
          <w:color w:val="000000" w:themeColor="text1"/>
        </w:rPr>
        <w:t xml:space="preserve">Pan </w:t>
      </w:r>
      <w:r w:rsidR="00AB1F97" w:rsidRPr="008F2E2E">
        <w:rPr>
          <w:i/>
          <w:noProof/>
          <w:color w:val="000000" w:themeColor="text1"/>
        </w:rPr>
        <w:t>troglodytes</w:t>
      </w:r>
      <w:r w:rsidR="00AB1F97">
        <w:rPr>
          <w:noProof/>
          <w:color w:val="000000" w:themeColor="text1"/>
        </w:rPr>
        <w:t xml:space="preserve"> when looking at combin</w:t>
      </w:r>
      <w:r w:rsidR="00C94DCF">
        <w:rPr>
          <w:noProof/>
          <w:color w:val="000000" w:themeColor="text1"/>
        </w:rPr>
        <w:t xml:space="preserve">ed-sex </w:t>
      </w:r>
      <w:r w:rsidR="008F2E2E">
        <w:rPr>
          <w:noProof/>
          <w:color w:val="000000" w:themeColor="text1"/>
        </w:rPr>
        <w:t xml:space="preserve">mid-fusion </w:t>
      </w:r>
      <w:r w:rsidR="00AB1F97">
        <w:rPr>
          <w:noProof/>
          <w:color w:val="000000" w:themeColor="text1"/>
        </w:rPr>
        <w:t>values</w:t>
      </w:r>
      <w:r w:rsidR="008F2E2E">
        <w:rPr>
          <w:noProof/>
          <w:color w:val="000000" w:themeColor="text1"/>
        </w:rPr>
        <w:t>.</w:t>
      </w:r>
      <w:r w:rsidR="00326815">
        <w:rPr>
          <w:noProof/>
          <w:color w:val="000000" w:themeColor="text1"/>
        </w:rPr>
        <w:t xml:space="preserve">  Epiphyses where sex differences were unclear or not analysed due to sample size are not included in this analysis.</w:t>
      </w:r>
    </w:p>
    <w:p w:rsidR="00C359EB" w:rsidRDefault="00C359EB">
      <w:pPr>
        <w:spacing w:before="0" w:after="200" w:line="276" w:lineRule="auto"/>
        <w:jc w:val="left"/>
        <w:rPr>
          <w:noProof/>
          <w:color w:val="000000" w:themeColor="text1"/>
        </w:rPr>
      </w:pPr>
      <w:r>
        <w:rPr>
          <w:noProof/>
          <w:color w:val="000000" w:themeColor="text1"/>
        </w:rPr>
        <w:br w:type="page"/>
      </w:r>
    </w:p>
    <w:p w:rsidR="00B37A90" w:rsidRPr="008F2E2E" w:rsidRDefault="001C49A0" w:rsidP="008F6AD8">
      <w:pPr>
        <w:tabs>
          <w:tab w:val="left" w:pos="360"/>
        </w:tabs>
        <w:spacing w:after="120" w:line="240" w:lineRule="auto"/>
        <w:rPr>
          <w:noProof/>
          <w:color w:val="000000" w:themeColor="text1"/>
        </w:rPr>
      </w:pPr>
      <w:bookmarkStart w:id="516" w:name="_Toc373180163"/>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19</w:t>
      </w:r>
      <w:r w:rsidR="008943E4">
        <w:rPr>
          <w:b/>
        </w:rPr>
        <w:fldChar w:fldCharType="end"/>
      </w:r>
      <w:r w:rsidR="008F2E2E">
        <w:rPr>
          <w:noProof/>
          <w:color w:val="000000" w:themeColor="text1"/>
        </w:rPr>
        <w:t xml:space="preserve"> Post-hoc Bonferroni tests </w:t>
      </w:r>
      <w:r w:rsidR="00097017">
        <w:rPr>
          <w:noProof/>
          <w:color w:val="000000" w:themeColor="text1"/>
        </w:rPr>
        <w:t xml:space="preserve">of </w:t>
      </w:r>
      <w:r w:rsidR="00322EDC">
        <w:rPr>
          <w:noProof/>
          <w:color w:val="000000" w:themeColor="text1"/>
        </w:rPr>
        <w:t xml:space="preserve">the proximal humerus </w:t>
      </w:r>
      <w:r w:rsidR="00097017">
        <w:rPr>
          <w:noProof/>
          <w:color w:val="000000" w:themeColor="text1"/>
        </w:rPr>
        <w:t>for</w:t>
      </w:r>
      <w:r w:rsidR="008F2E2E">
        <w:rPr>
          <w:noProof/>
          <w:color w:val="000000" w:themeColor="text1"/>
        </w:rPr>
        <w:t xml:space="preserve"> mid-fusion </w:t>
      </w:r>
      <w:r w:rsidR="00C7444F">
        <w:rPr>
          <w:noProof/>
          <w:color w:val="000000" w:themeColor="text1"/>
        </w:rPr>
        <w:t>combined</w:t>
      </w:r>
      <w:r w:rsidR="008F2E2E">
        <w:rPr>
          <w:noProof/>
          <w:color w:val="000000" w:themeColor="text1"/>
        </w:rPr>
        <w:t xml:space="preserve">-sex </w:t>
      </w:r>
      <w:r w:rsidR="00097017">
        <w:rPr>
          <w:noProof/>
          <w:color w:val="000000" w:themeColor="text1"/>
        </w:rPr>
        <w:t xml:space="preserve">fusion events in </w:t>
      </w:r>
      <w:r w:rsidR="008F2E2E">
        <w:rPr>
          <w:i/>
          <w:noProof/>
          <w:color w:val="000000" w:themeColor="text1"/>
        </w:rPr>
        <w:t>Pan troglodytes</w:t>
      </w:r>
      <w:r w:rsidR="008F2E2E">
        <w:rPr>
          <w:noProof/>
          <w:color w:val="000000" w:themeColor="text1"/>
        </w:rPr>
        <w:t>.</w:t>
      </w:r>
      <w:bookmarkEnd w:id="516"/>
    </w:p>
    <w:tbl>
      <w:tblPr>
        <w:tblW w:w="9145" w:type="dxa"/>
        <w:jc w:val="center"/>
        <w:tblBorders>
          <w:top w:val="single" w:sz="4" w:space="0" w:color="auto"/>
          <w:bottom w:val="single" w:sz="4" w:space="0" w:color="auto"/>
        </w:tblBorders>
        <w:tblLook w:val="04A0" w:firstRow="1" w:lastRow="0" w:firstColumn="1" w:lastColumn="0" w:noHBand="0" w:noVBand="1"/>
      </w:tblPr>
      <w:tblGrid>
        <w:gridCol w:w="2706"/>
        <w:gridCol w:w="1836"/>
        <w:gridCol w:w="1273"/>
        <w:gridCol w:w="1248"/>
        <w:gridCol w:w="1041"/>
        <w:gridCol w:w="1041"/>
      </w:tblGrid>
      <w:tr w:rsidR="00B97753" w:rsidRPr="00B97753" w:rsidTr="00CA5FBB">
        <w:trPr>
          <w:trHeight w:val="600"/>
          <w:jc w:val="center"/>
        </w:trPr>
        <w:tc>
          <w:tcPr>
            <w:tcW w:w="2706" w:type="dxa"/>
            <w:vMerge w:val="restart"/>
            <w:tcBorders>
              <w:top w:val="single" w:sz="4" w:space="0" w:color="auto"/>
              <w:bottom w:val="nil"/>
            </w:tcBorders>
            <w:shd w:val="clear" w:color="000000" w:fill="FFFFFF"/>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(J) proximal humerus</w:t>
            </w:r>
          </w:p>
        </w:tc>
        <w:tc>
          <w:tcPr>
            <w:tcW w:w="1836" w:type="dxa"/>
            <w:vMerge w:val="restart"/>
            <w:tcBorders>
              <w:top w:val="single" w:sz="4" w:space="0" w:color="auto"/>
              <w:bottom w:val="nil"/>
            </w:tcBorders>
            <w:shd w:val="clear" w:color="000000" w:fill="FFFFFF"/>
            <w:vAlign w:val="center"/>
            <w:hideMark/>
          </w:tcPr>
          <w:p w:rsidR="00A35CA0" w:rsidRPr="00CA5FBB" w:rsidRDefault="00AB21DB" w:rsidP="00CA5FBB">
            <w:pPr>
              <w:spacing w:before="0" w:line="240" w:lineRule="auto"/>
              <w:jc w:val="center"/>
              <w:rPr>
                <w:rFonts w:eastAsia="Times New Roman"/>
                <w:b/>
                <w:color w:val="000000"/>
                <w:lang w:val="en-GB" w:eastAsia="en-GB"/>
              </w:rPr>
            </w:pPr>
            <w:r>
              <w:rPr>
                <w:rFonts w:eastAsia="Times New Roman"/>
                <w:b/>
                <w:color w:val="000000"/>
                <w:lang w:val="en-GB" w:eastAsia="en-GB"/>
              </w:rPr>
              <w:t>m</w:t>
            </w:r>
            <w:r w:rsidR="0057703A">
              <w:rPr>
                <w:rFonts w:eastAsia="Times New Roman"/>
                <w:b/>
                <w:color w:val="000000"/>
                <w:lang w:val="en-GB" w:eastAsia="en-GB"/>
              </w:rPr>
              <w:t>ean d</w:t>
            </w:r>
            <w:r w:rsidR="008943E4" w:rsidRPr="00CA5FBB">
              <w:rPr>
                <w:rFonts w:eastAsia="Times New Roman"/>
                <w:b/>
                <w:color w:val="000000"/>
                <w:lang w:val="en-GB" w:eastAsia="en-GB"/>
              </w:rPr>
              <w:t>ifference (I-J)</w:t>
            </w:r>
          </w:p>
        </w:tc>
        <w:tc>
          <w:tcPr>
            <w:tcW w:w="1273" w:type="dxa"/>
            <w:vMerge w:val="restart"/>
            <w:tcBorders>
              <w:top w:val="single" w:sz="4" w:space="0" w:color="auto"/>
              <w:bottom w:val="nil"/>
            </w:tcBorders>
            <w:shd w:val="clear" w:color="000000" w:fill="FFFFFF"/>
            <w:vAlign w:val="center"/>
            <w:hideMark/>
          </w:tcPr>
          <w:p w:rsidR="00A35CA0" w:rsidRPr="00CA5FBB" w:rsidRDefault="00AB21DB" w:rsidP="00CA5FBB">
            <w:pPr>
              <w:spacing w:before="0" w:line="240" w:lineRule="auto"/>
              <w:jc w:val="center"/>
              <w:rPr>
                <w:rFonts w:eastAsia="Times New Roman"/>
                <w:b/>
                <w:color w:val="000000"/>
                <w:lang w:val="en-GB" w:eastAsia="en-GB"/>
              </w:rPr>
            </w:pPr>
            <w:r>
              <w:rPr>
                <w:rFonts w:eastAsia="Times New Roman"/>
                <w:b/>
                <w:color w:val="000000"/>
                <w:lang w:val="en-GB" w:eastAsia="en-GB"/>
              </w:rPr>
              <w:t>std. e</w:t>
            </w:r>
            <w:r w:rsidR="008943E4" w:rsidRPr="00CA5FBB">
              <w:rPr>
                <w:rFonts w:eastAsia="Times New Roman"/>
                <w:b/>
                <w:color w:val="000000"/>
                <w:lang w:val="en-GB" w:eastAsia="en-GB"/>
              </w:rPr>
              <w:t>rror</w:t>
            </w:r>
          </w:p>
        </w:tc>
        <w:tc>
          <w:tcPr>
            <w:tcW w:w="1248" w:type="dxa"/>
            <w:vMerge w:val="restart"/>
            <w:tcBorders>
              <w:top w:val="single" w:sz="4" w:space="0" w:color="auto"/>
              <w:bottom w:val="nil"/>
            </w:tcBorders>
            <w:shd w:val="clear" w:color="000000" w:fill="FFFFFF"/>
            <w:vAlign w:val="center"/>
            <w:hideMark/>
          </w:tcPr>
          <w:p w:rsidR="00A35CA0" w:rsidRPr="00CA5FBB" w:rsidRDefault="00AB21DB"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ig.</w:t>
            </w:r>
          </w:p>
        </w:tc>
        <w:tc>
          <w:tcPr>
            <w:tcW w:w="2082" w:type="dxa"/>
            <w:gridSpan w:val="2"/>
            <w:tcBorders>
              <w:top w:val="single" w:sz="4" w:space="0" w:color="auto"/>
              <w:bottom w:val="single" w:sz="4" w:space="0" w:color="auto"/>
            </w:tcBorders>
            <w:shd w:val="clear" w:color="000000" w:fill="FFFFFF"/>
            <w:vAlign w:val="center"/>
            <w:hideMark/>
          </w:tcPr>
          <w:p w:rsidR="00A35CA0" w:rsidRPr="00CA5FBB" w:rsidRDefault="00AB21DB" w:rsidP="00CA5FBB">
            <w:pPr>
              <w:spacing w:before="0" w:line="240" w:lineRule="auto"/>
              <w:jc w:val="center"/>
              <w:rPr>
                <w:rFonts w:eastAsia="Times New Roman"/>
                <w:b/>
                <w:color w:val="000000"/>
                <w:lang w:val="en-GB" w:eastAsia="en-GB"/>
              </w:rPr>
            </w:pPr>
            <w:r>
              <w:rPr>
                <w:rFonts w:eastAsia="Times New Roman"/>
                <w:b/>
                <w:color w:val="000000"/>
                <w:lang w:val="en-GB" w:eastAsia="en-GB"/>
              </w:rPr>
              <w:t>95% confidence i</w:t>
            </w:r>
            <w:r w:rsidR="008943E4" w:rsidRPr="00CA5FBB">
              <w:rPr>
                <w:rFonts w:eastAsia="Times New Roman"/>
                <w:b/>
                <w:color w:val="000000"/>
                <w:lang w:val="en-GB" w:eastAsia="en-GB"/>
              </w:rPr>
              <w:t>nterval</w:t>
            </w:r>
          </w:p>
        </w:tc>
      </w:tr>
      <w:tr w:rsidR="00B97753" w:rsidRPr="00B97753" w:rsidTr="00CA5FBB">
        <w:trPr>
          <w:trHeight w:val="600"/>
          <w:jc w:val="center"/>
        </w:trPr>
        <w:tc>
          <w:tcPr>
            <w:tcW w:w="2706" w:type="dxa"/>
            <w:vMerge/>
            <w:tcBorders>
              <w:top w:val="nil"/>
              <w:bottom w:val="single" w:sz="4" w:space="0" w:color="auto"/>
            </w:tcBorders>
            <w:vAlign w:val="center"/>
            <w:hideMark/>
          </w:tcPr>
          <w:p w:rsidR="00A35CA0" w:rsidRPr="00CA5FBB" w:rsidRDefault="00A35CA0" w:rsidP="00CA5FBB">
            <w:pPr>
              <w:spacing w:before="0" w:line="240" w:lineRule="auto"/>
              <w:rPr>
                <w:rFonts w:eastAsia="Times New Roman"/>
                <w:b/>
                <w:color w:val="000000"/>
                <w:lang w:val="en-GB" w:eastAsia="en-GB"/>
              </w:rPr>
            </w:pPr>
          </w:p>
        </w:tc>
        <w:tc>
          <w:tcPr>
            <w:tcW w:w="1836" w:type="dxa"/>
            <w:vMerge/>
            <w:tcBorders>
              <w:top w:val="nil"/>
              <w:bottom w:val="single" w:sz="4" w:space="0" w:color="auto"/>
            </w:tcBorders>
            <w:vAlign w:val="center"/>
            <w:hideMark/>
          </w:tcPr>
          <w:p w:rsidR="00A35CA0" w:rsidRPr="00CA5FBB" w:rsidRDefault="00A35CA0" w:rsidP="00CA5FBB">
            <w:pPr>
              <w:spacing w:before="0" w:line="240" w:lineRule="auto"/>
              <w:rPr>
                <w:rFonts w:eastAsia="Times New Roman"/>
                <w:b/>
                <w:color w:val="000000"/>
                <w:lang w:val="en-GB" w:eastAsia="en-GB"/>
              </w:rPr>
            </w:pPr>
          </w:p>
        </w:tc>
        <w:tc>
          <w:tcPr>
            <w:tcW w:w="1273" w:type="dxa"/>
            <w:vMerge/>
            <w:tcBorders>
              <w:top w:val="nil"/>
              <w:bottom w:val="single" w:sz="4" w:space="0" w:color="auto"/>
            </w:tcBorders>
            <w:vAlign w:val="center"/>
            <w:hideMark/>
          </w:tcPr>
          <w:p w:rsidR="00A35CA0" w:rsidRPr="00CA5FBB" w:rsidRDefault="00A35CA0" w:rsidP="00CA5FBB">
            <w:pPr>
              <w:spacing w:before="0" w:line="240" w:lineRule="auto"/>
              <w:rPr>
                <w:rFonts w:eastAsia="Times New Roman"/>
                <w:b/>
                <w:color w:val="000000"/>
                <w:lang w:val="en-GB" w:eastAsia="en-GB"/>
              </w:rPr>
            </w:pPr>
          </w:p>
        </w:tc>
        <w:tc>
          <w:tcPr>
            <w:tcW w:w="1248" w:type="dxa"/>
            <w:vMerge/>
            <w:tcBorders>
              <w:top w:val="nil"/>
              <w:bottom w:val="single" w:sz="4" w:space="0" w:color="auto"/>
            </w:tcBorders>
            <w:vAlign w:val="center"/>
            <w:hideMark/>
          </w:tcPr>
          <w:p w:rsidR="00A35CA0" w:rsidRPr="00CA5FBB" w:rsidRDefault="00A35CA0" w:rsidP="00CA5FBB">
            <w:pPr>
              <w:spacing w:before="0" w:line="240" w:lineRule="auto"/>
              <w:rPr>
                <w:rFonts w:eastAsia="Times New Roman"/>
                <w:b/>
                <w:color w:val="000000"/>
                <w:lang w:val="en-GB" w:eastAsia="en-GB"/>
              </w:rPr>
            </w:pPr>
          </w:p>
        </w:tc>
        <w:tc>
          <w:tcPr>
            <w:tcW w:w="1041" w:type="dxa"/>
            <w:tcBorders>
              <w:top w:val="single" w:sz="4" w:space="0" w:color="auto"/>
              <w:bottom w:val="single" w:sz="4" w:space="0" w:color="auto"/>
            </w:tcBorders>
            <w:shd w:val="clear" w:color="000000" w:fill="FFFFFF"/>
            <w:vAlign w:val="center"/>
            <w:hideMark/>
          </w:tcPr>
          <w:p w:rsidR="00A35CA0" w:rsidRPr="00CA5FBB" w:rsidRDefault="00AB21DB" w:rsidP="00CA5FBB">
            <w:pPr>
              <w:spacing w:before="0" w:line="240" w:lineRule="auto"/>
              <w:jc w:val="center"/>
              <w:rPr>
                <w:rFonts w:eastAsia="Times New Roman"/>
                <w:b/>
                <w:color w:val="000000"/>
                <w:lang w:val="en-GB" w:eastAsia="en-GB"/>
              </w:rPr>
            </w:pPr>
            <w:r>
              <w:rPr>
                <w:rFonts w:eastAsia="Times New Roman"/>
                <w:b/>
                <w:color w:val="000000"/>
                <w:lang w:val="en-GB" w:eastAsia="en-GB"/>
              </w:rPr>
              <w:t>l</w:t>
            </w:r>
            <w:r w:rsidR="008943E4" w:rsidRPr="00CA5FBB">
              <w:rPr>
                <w:rFonts w:eastAsia="Times New Roman"/>
                <w:b/>
                <w:color w:val="000000"/>
                <w:lang w:val="en-GB" w:eastAsia="en-GB"/>
              </w:rPr>
              <w:t xml:space="preserve">ower </w:t>
            </w:r>
            <w:r>
              <w:rPr>
                <w:rFonts w:eastAsia="Times New Roman"/>
                <w:b/>
                <w:color w:val="000000"/>
                <w:lang w:val="en-GB" w:eastAsia="en-GB"/>
              </w:rPr>
              <w:t>b</w:t>
            </w:r>
            <w:r w:rsidR="008943E4" w:rsidRPr="00CA5FBB">
              <w:rPr>
                <w:rFonts w:eastAsia="Times New Roman"/>
                <w:b/>
                <w:color w:val="000000"/>
                <w:lang w:val="en-GB" w:eastAsia="en-GB"/>
              </w:rPr>
              <w:t>ound</w:t>
            </w:r>
          </w:p>
        </w:tc>
        <w:tc>
          <w:tcPr>
            <w:tcW w:w="1041" w:type="dxa"/>
            <w:tcBorders>
              <w:top w:val="single" w:sz="4" w:space="0" w:color="auto"/>
              <w:bottom w:val="single" w:sz="4" w:space="0" w:color="auto"/>
            </w:tcBorders>
            <w:shd w:val="clear" w:color="000000" w:fill="FFFFFF"/>
            <w:vAlign w:val="center"/>
            <w:hideMark/>
          </w:tcPr>
          <w:p w:rsidR="00A35CA0" w:rsidRPr="00CA5FBB" w:rsidRDefault="00AB21DB" w:rsidP="00CA5FBB">
            <w:pPr>
              <w:spacing w:before="0" w:line="240" w:lineRule="auto"/>
              <w:jc w:val="center"/>
              <w:rPr>
                <w:rFonts w:eastAsia="Times New Roman"/>
                <w:b/>
                <w:color w:val="000000"/>
                <w:lang w:val="en-GB" w:eastAsia="en-GB"/>
              </w:rPr>
            </w:pPr>
            <w:r>
              <w:rPr>
                <w:rFonts w:eastAsia="Times New Roman"/>
                <w:b/>
                <w:color w:val="000000"/>
                <w:lang w:val="en-GB" w:eastAsia="en-GB"/>
              </w:rPr>
              <w:t>u</w:t>
            </w:r>
            <w:r w:rsidR="008943E4" w:rsidRPr="00CA5FBB">
              <w:rPr>
                <w:rFonts w:eastAsia="Times New Roman"/>
                <w:b/>
                <w:color w:val="000000"/>
                <w:lang w:val="en-GB" w:eastAsia="en-GB"/>
              </w:rPr>
              <w:t xml:space="preserve">pper </w:t>
            </w:r>
            <w:r>
              <w:rPr>
                <w:rFonts w:eastAsia="Times New Roman"/>
                <w:b/>
                <w:color w:val="000000"/>
                <w:lang w:val="en-GB" w:eastAsia="en-GB"/>
              </w:rPr>
              <w:t>b</w:t>
            </w:r>
            <w:r w:rsidR="008943E4" w:rsidRPr="00CA5FBB">
              <w:rPr>
                <w:rFonts w:eastAsia="Times New Roman"/>
                <w:b/>
                <w:color w:val="000000"/>
                <w:lang w:val="en-GB" w:eastAsia="en-GB"/>
              </w:rPr>
              <w:t>ound</w:t>
            </w:r>
          </w:p>
        </w:tc>
      </w:tr>
      <w:tr w:rsidR="00B97753" w:rsidRPr="00B97753" w:rsidTr="00CA5FBB">
        <w:trPr>
          <w:trHeight w:val="284"/>
          <w:jc w:val="center"/>
        </w:trPr>
        <w:tc>
          <w:tcPr>
            <w:tcW w:w="2706" w:type="dxa"/>
            <w:tcBorders>
              <w:top w:val="single" w:sz="4" w:space="0" w:color="auto"/>
            </w:tcBorders>
            <w:shd w:val="clear" w:color="000000" w:fill="FFFFFF"/>
            <w:vAlign w:val="center"/>
            <w:hideMark/>
          </w:tcPr>
          <w:p w:rsidR="00A35CA0" w:rsidRDefault="0057703A" w:rsidP="00CA5FBB">
            <w:pPr>
              <w:spacing w:before="0" w:line="240" w:lineRule="auto"/>
              <w:jc w:val="left"/>
              <w:rPr>
                <w:rFonts w:eastAsia="Times New Roman"/>
                <w:color w:val="000000"/>
                <w:lang w:val="en-GB" w:eastAsia="en-GB"/>
              </w:rPr>
            </w:pPr>
            <w:r>
              <w:rPr>
                <w:rFonts w:eastAsia="Times New Roman"/>
                <w:color w:val="000000"/>
                <w:lang w:val="en-GB" w:eastAsia="en-GB"/>
              </w:rPr>
              <w:t xml:space="preserve">humeral </w:t>
            </w:r>
            <w:r w:rsidR="00B97753" w:rsidRPr="00B97753">
              <w:rPr>
                <w:rFonts w:eastAsia="Times New Roman"/>
                <w:color w:val="000000"/>
                <w:lang w:val="en-GB" w:eastAsia="en-GB"/>
              </w:rPr>
              <w:t>medial epicondyle</w:t>
            </w:r>
          </w:p>
        </w:tc>
        <w:tc>
          <w:tcPr>
            <w:tcW w:w="1836" w:type="dxa"/>
            <w:tcBorders>
              <w:top w:val="single" w:sz="4" w:space="0" w:color="auto"/>
            </w:tcBorders>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2.23195</w:t>
            </w:r>
          </w:p>
        </w:tc>
        <w:tc>
          <w:tcPr>
            <w:tcW w:w="1273" w:type="dxa"/>
            <w:tcBorders>
              <w:top w:val="single" w:sz="4" w:space="0" w:color="auto"/>
            </w:tcBorders>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0.180259</w:t>
            </w:r>
          </w:p>
        </w:tc>
        <w:tc>
          <w:tcPr>
            <w:tcW w:w="1248" w:type="dxa"/>
            <w:tcBorders>
              <w:top w:val="single" w:sz="4" w:space="0" w:color="auto"/>
            </w:tcBorders>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tcBorders>
              <w:top w:val="single" w:sz="4" w:space="0" w:color="auto"/>
            </w:tcBorders>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1.525182</w:t>
            </w:r>
          </w:p>
        </w:tc>
        <w:tc>
          <w:tcPr>
            <w:tcW w:w="1041" w:type="dxa"/>
            <w:tcBorders>
              <w:top w:val="single" w:sz="4" w:space="0" w:color="auto"/>
            </w:tcBorders>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2.938725</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proximal radius</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1.05795</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0.183731</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0.337563</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1.77833</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distal radius</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-0.139313187</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0.159671</w:t>
            </w:r>
          </w:p>
        </w:tc>
        <w:tc>
          <w:tcPr>
            <w:tcW w:w="1248"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-0.76536</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0.486735</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proximal ulna</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1.64530</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0.19676</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0.873835</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2.41677</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distal ulna</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-0.189580745</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0.164982</w:t>
            </w:r>
          </w:p>
        </w:tc>
        <w:tc>
          <w:tcPr>
            <w:tcW w:w="1248"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-0.83645</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0.457291</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distal phalanges (hand)</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2.04857</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0.235029</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1.127054</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2.970089</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proximal and middle phalanges (hand)</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1.45960</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0.180259</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0.752829</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2.166373</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heads of metacarpals 2-5</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0.763571429</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0.202281</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.089</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-0.02954</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1.556687</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femoral head</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1.00045</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0.183731</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0.280063</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1.72083</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greater trochanter</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1.18179</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0.191901</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0.42937</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1.934202</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lesser trochanter</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1.43385</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0.224644</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0.55305</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2.314648</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distal femur</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0.051243842</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0.15533</w:t>
            </w:r>
          </w:p>
        </w:tc>
        <w:tc>
          <w:tcPr>
            <w:tcW w:w="1248"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-0.55778</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0.66027</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proximal tibia</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0.135726601</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0.15533</w:t>
            </w:r>
          </w:p>
        </w:tc>
        <w:tc>
          <w:tcPr>
            <w:tcW w:w="1248"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-0.4733</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0.744753</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distal tibia</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0.295616883</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0.167028</w:t>
            </w:r>
          </w:p>
        </w:tc>
        <w:tc>
          <w:tcPr>
            <w:tcW w:w="1248"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-0.35928</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0.950511</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proximal fibula</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0.059549689</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0.164982</w:t>
            </w:r>
          </w:p>
        </w:tc>
        <w:tc>
          <w:tcPr>
            <w:tcW w:w="1248"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-0.58732</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0.706422</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distal fibula</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0.44712406</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0.174256</w:t>
            </w:r>
          </w:p>
        </w:tc>
        <w:tc>
          <w:tcPr>
            <w:tcW w:w="1248"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-0.23611</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1.130358</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triradiate</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2.09291</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0.174256</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1.40968</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2.776148</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anterior inferior iliac spine</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1.65274</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0.356152</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.002</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0.256313</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3.049163</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iliac crest</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-.70113</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0.161318</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.008</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-1.33364</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-0.06862</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calcaneus</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1.57440</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0.202281</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0.781289</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2.367521</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talus</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2.05607</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0.313372</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0.827381</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3.284761</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distal phalanges (foot)</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1.63137</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0.180259</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0.924594</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2.338137</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middle phalanges (foot</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1.29140</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0.187588</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0.555899</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2.02691</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metatarsal heads 2-5</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.87552</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0.177116</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.001</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0.181067</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1.569964</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proximal phalanges (foot)</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1.28607</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0.208618</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0.468109</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2.104034</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base of metatarsal 1</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1.00334</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0.208618</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.001</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0.185382</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1.821306</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medial clavicle</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-0.268474026</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0.208618</w:t>
            </w:r>
          </w:p>
        </w:tc>
        <w:tc>
          <w:tcPr>
            <w:tcW w:w="1248"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-1.08644</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0.549488</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lateral clavicle</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1.090071429</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0.284635</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.072</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-0.02594</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2.206085</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coracoid</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2.02329</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0.177116</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1.328845</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2.717742</w:t>
            </w:r>
          </w:p>
        </w:tc>
      </w:tr>
      <w:tr w:rsidR="00B97753" w:rsidRPr="00B97753" w:rsidTr="00CA5FBB">
        <w:trPr>
          <w:trHeight w:val="284"/>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sub-coracoid and glenoid</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2.18607</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0.177116</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.000</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1.491623</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2.88052</w:t>
            </w:r>
          </w:p>
        </w:tc>
      </w:tr>
      <w:tr w:rsidR="00B97753" w:rsidRPr="00B97753" w:rsidTr="00CA5FBB">
        <w:trPr>
          <w:trHeight w:val="315"/>
          <w:jc w:val="center"/>
        </w:trPr>
        <w:tc>
          <w:tcPr>
            <w:tcW w:w="2706" w:type="dxa"/>
            <w:shd w:val="clear" w:color="000000" w:fill="FFFFFF"/>
            <w:vAlign w:val="center"/>
            <w:hideMark/>
          </w:tcPr>
          <w:p w:rsidR="00A35CA0" w:rsidRDefault="00B97753" w:rsidP="00CA5FBB">
            <w:pPr>
              <w:spacing w:before="0" w:line="240" w:lineRule="auto"/>
              <w:jc w:val="left"/>
              <w:rPr>
                <w:rFonts w:eastAsia="Times New Roman"/>
                <w:color w:val="000000"/>
                <w:lang w:val="en-GB" w:eastAsia="en-GB"/>
              </w:rPr>
            </w:pPr>
            <w:r w:rsidRPr="00B97753">
              <w:rPr>
                <w:rFonts w:eastAsia="Times New Roman"/>
                <w:color w:val="000000"/>
                <w:lang w:val="en-GB" w:eastAsia="en-GB"/>
              </w:rPr>
              <w:t>medial border</w:t>
            </w:r>
          </w:p>
        </w:tc>
        <w:tc>
          <w:tcPr>
            <w:tcW w:w="1836"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-.78321</w:t>
            </w:r>
          </w:p>
        </w:tc>
        <w:tc>
          <w:tcPr>
            <w:tcW w:w="1273"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0.191901</w:t>
            </w:r>
          </w:p>
        </w:tc>
        <w:tc>
          <w:tcPr>
            <w:tcW w:w="1248" w:type="dxa"/>
            <w:shd w:val="clear" w:color="auto" w:fill="auto"/>
            <w:noWrap/>
            <w:vAlign w:val="center"/>
            <w:hideMark/>
          </w:tcPr>
          <w:p w:rsidR="00A35CA0" w:rsidRDefault="000B4DD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B97753" w:rsidRPr="00B97753">
              <w:rPr>
                <w:rFonts w:eastAsia="Times New Roman"/>
                <w:color w:val="000000"/>
                <w:lang w:val="en-GB" w:eastAsia="en-GB"/>
              </w:rPr>
              <w:t>.026</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-1.53563</w:t>
            </w:r>
          </w:p>
        </w:tc>
        <w:tc>
          <w:tcPr>
            <w:tcW w:w="1041" w:type="dxa"/>
            <w:shd w:val="clear" w:color="auto" w:fill="auto"/>
            <w:noWrap/>
            <w:vAlign w:val="center"/>
            <w:hideMark/>
          </w:tcPr>
          <w:p w:rsidR="00A35CA0" w:rsidRDefault="00B97753" w:rsidP="00CA5FBB">
            <w:pPr>
              <w:spacing w:before="0" w:line="240" w:lineRule="auto"/>
              <w:jc w:val="center"/>
              <w:rPr>
                <w:rFonts w:eastAsia="Times New Roman"/>
                <w:color w:val="000000"/>
                <w:sz w:val="24"/>
                <w:szCs w:val="24"/>
                <w:lang w:val="en-GB" w:eastAsia="en-GB"/>
              </w:rPr>
            </w:pPr>
            <w:r w:rsidRPr="00B97753">
              <w:rPr>
                <w:rFonts w:eastAsia="Times New Roman"/>
                <w:color w:val="000000"/>
                <w:lang w:val="en-GB" w:eastAsia="en-GB"/>
              </w:rPr>
              <w:t>-0.0308</w:t>
            </w:r>
          </w:p>
        </w:tc>
      </w:tr>
    </w:tbl>
    <w:p w:rsidR="00A35CA0" w:rsidRDefault="008F2E2E" w:rsidP="00CA5FBB">
      <w:pPr>
        <w:rPr>
          <w:noProof/>
        </w:rPr>
      </w:pPr>
      <w:r w:rsidRPr="0003096F">
        <w:rPr>
          <w:noProof/>
        </w:rPr>
        <w:t xml:space="preserve">When this is repeated for the proximal humerus in the </w:t>
      </w:r>
      <w:r w:rsidR="00AD3AC8">
        <w:rPr>
          <w:noProof/>
        </w:rPr>
        <w:t>combin</w:t>
      </w:r>
      <w:r w:rsidRPr="0003096F">
        <w:rPr>
          <w:noProof/>
        </w:rPr>
        <w:t>ed sex-sample for mid-f</w:t>
      </w:r>
      <w:r w:rsidR="00CA4B4A">
        <w:rPr>
          <w:noProof/>
        </w:rPr>
        <w:t xml:space="preserve">usion events it </w:t>
      </w:r>
      <w:r w:rsidR="00E12A35">
        <w:rPr>
          <w:noProof/>
        </w:rPr>
        <w:t>wa</w:t>
      </w:r>
      <w:r w:rsidR="00CA4B4A">
        <w:rPr>
          <w:noProof/>
        </w:rPr>
        <w:t>s found that 11</w:t>
      </w:r>
      <w:r w:rsidRPr="0003096F">
        <w:rPr>
          <w:noProof/>
        </w:rPr>
        <w:t xml:space="preserve"> </w:t>
      </w:r>
      <w:r w:rsidR="00A03F0C">
        <w:rPr>
          <w:noProof/>
        </w:rPr>
        <w:t>of 21</w:t>
      </w:r>
      <w:r w:rsidR="00CA4B4A">
        <w:rPr>
          <w:noProof/>
        </w:rPr>
        <w:t xml:space="preserve"> </w:t>
      </w:r>
      <w:r w:rsidRPr="0003096F">
        <w:rPr>
          <w:noProof/>
        </w:rPr>
        <w:t xml:space="preserve">events showed no statistically </w:t>
      </w:r>
      <w:r w:rsidR="00CA4B4A">
        <w:rPr>
          <w:noProof/>
        </w:rPr>
        <w:t>significant differences (</w:t>
      </w:r>
      <w:r w:rsidR="00A03F0C">
        <w:rPr>
          <w:noProof/>
        </w:rPr>
        <w:t>52</w:t>
      </w:r>
      <w:r w:rsidR="00CA4B4A">
        <w:rPr>
          <w:noProof/>
        </w:rPr>
        <w:t>%)</w:t>
      </w:r>
      <w:r w:rsidRPr="0003096F">
        <w:rPr>
          <w:noProof/>
        </w:rPr>
        <w:t>.</w:t>
      </w:r>
      <w:r w:rsidR="00DC2DB9" w:rsidRPr="0003096F">
        <w:rPr>
          <w:noProof/>
        </w:rPr>
        <w:t xml:space="preserve">  </w:t>
      </w:r>
      <w:r w:rsidR="00CA4B4A">
        <w:rPr>
          <w:noProof/>
        </w:rPr>
        <w:t xml:space="preserve">However, the </w:t>
      </w:r>
      <w:r w:rsidR="00FB5ED4">
        <w:rPr>
          <w:rFonts w:eastAsia="Times New Roman"/>
          <w:color w:val="000000"/>
          <w:lang w:val="en-GB" w:eastAsia="en-GB"/>
        </w:rPr>
        <w:t>distal humerus</w:t>
      </w:r>
      <w:r w:rsidR="00CA4B4A">
        <w:rPr>
          <w:noProof/>
        </w:rPr>
        <w:t xml:space="preserve"> and ischial epiphysis were removed due to significant differences between sexes having been found.  </w:t>
      </w:r>
      <w:r w:rsidR="00DC2DB9" w:rsidRPr="0003096F">
        <w:rPr>
          <w:noProof/>
        </w:rPr>
        <w:t>The furthest non-significant epiphyses</w:t>
      </w:r>
      <w:r w:rsidR="001C3168">
        <w:rPr>
          <w:noProof/>
        </w:rPr>
        <w:t xml:space="preserve"> in terms of mean value</w:t>
      </w:r>
      <w:r w:rsidR="00DC2DB9" w:rsidRPr="0003096F">
        <w:rPr>
          <w:noProof/>
        </w:rPr>
        <w:t xml:space="preserve"> was the lateral clavicle</w:t>
      </w:r>
      <w:r w:rsidR="00B40C9C">
        <w:rPr>
          <w:noProof/>
        </w:rPr>
        <w:t xml:space="preserve"> (p = 0.068)</w:t>
      </w:r>
      <w:r w:rsidR="00DC2DB9" w:rsidRPr="0003096F">
        <w:rPr>
          <w:noProof/>
        </w:rPr>
        <w:t xml:space="preserve"> which had a mean </w:t>
      </w:r>
      <w:r w:rsidR="001F3A13">
        <w:rPr>
          <w:noProof/>
        </w:rPr>
        <w:t xml:space="preserve">difference of </w:t>
      </w:r>
      <w:r w:rsidR="00DC2DB9" w:rsidRPr="0003096F">
        <w:rPr>
          <w:noProof/>
        </w:rPr>
        <w:t>1.09077</w:t>
      </w:r>
      <w:r w:rsidR="00E12A35">
        <w:rPr>
          <w:noProof/>
        </w:rPr>
        <w:t xml:space="preserve"> </w:t>
      </w:r>
      <w:r w:rsidR="001F3A13">
        <w:rPr>
          <w:noProof/>
        </w:rPr>
        <w:t>from</w:t>
      </w:r>
      <w:r w:rsidR="00DC2DB9" w:rsidRPr="0003096F">
        <w:rPr>
          <w:noProof/>
        </w:rPr>
        <w:t xml:space="preserve"> the proximal humerus.  </w:t>
      </w:r>
      <w:r w:rsidR="00122147">
        <w:rPr>
          <w:noProof/>
        </w:rPr>
        <w:t xml:space="preserve">This epiphysis </w:t>
      </w:r>
      <w:r w:rsidR="0095213D" w:rsidRPr="0003096F">
        <w:rPr>
          <w:noProof/>
        </w:rPr>
        <w:t xml:space="preserve">had an </w:t>
      </w:r>
      <w:r w:rsidR="0095213D" w:rsidRPr="0003096F">
        <w:rPr>
          <w:noProof/>
        </w:rPr>
        <w:lastRenderedPageBreak/>
        <w:t xml:space="preserve">insufficient sample size for comparison by sex in the previous analysis so it may be discounted.  The next </w:t>
      </w:r>
      <w:r w:rsidR="00DC2DB9" w:rsidRPr="0003096F">
        <w:rPr>
          <w:noProof/>
        </w:rPr>
        <w:t xml:space="preserve">closest significant difference was </w:t>
      </w:r>
      <w:r w:rsidR="0095213D" w:rsidRPr="0003096F">
        <w:rPr>
          <w:noProof/>
        </w:rPr>
        <w:t xml:space="preserve">the </w:t>
      </w:r>
      <w:r w:rsidR="0095213D" w:rsidRPr="0003096F">
        <w:rPr>
          <w:lang w:val="en-GB" w:eastAsia="en-GB"/>
        </w:rPr>
        <w:t>heads of metacarpals 2</w:t>
      </w:r>
      <w:r w:rsidR="00E12A35">
        <w:rPr>
          <w:lang w:val="en-GB" w:eastAsia="en-GB"/>
        </w:rPr>
        <w:t xml:space="preserve"> </w:t>
      </w:r>
      <w:r w:rsidR="0095213D" w:rsidRPr="0003096F">
        <w:rPr>
          <w:lang w:val="en-GB" w:eastAsia="en-GB"/>
        </w:rPr>
        <w:t>-</w:t>
      </w:r>
      <w:r w:rsidR="00E12A35">
        <w:rPr>
          <w:lang w:val="en-GB" w:eastAsia="en-GB"/>
        </w:rPr>
        <w:t xml:space="preserve"> </w:t>
      </w:r>
      <w:r w:rsidR="0095213D" w:rsidRPr="0003096F">
        <w:rPr>
          <w:lang w:val="en-GB" w:eastAsia="en-GB"/>
        </w:rPr>
        <w:t>5 (p</w:t>
      </w:r>
      <w:r w:rsidR="00B40C9C">
        <w:rPr>
          <w:lang w:val="en-GB" w:eastAsia="en-GB"/>
        </w:rPr>
        <w:t xml:space="preserve"> </w:t>
      </w:r>
      <w:r w:rsidR="0095213D" w:rsidRPr="0003096F">
        <w:rPr>
          <w:lang w:val="en-GB" w:eastAsia="en-GB"/>
        </w:rPr>
        <w:t>=</w:t>
      </w:r>
      <w:r w:rsidR="00B40C9C">
        <w:rPr>
          <w:lang w:val="en-GB" w:eastAsia="en-GB"/>
        </w:rPr>
        <w:t xml:space="preserve"> </w:t>
      </w:r>
      <w:r w:rsidR="00122147">
        <w:rPr>
          <w:lang w:val="en-GB" w:eastAsia="en-GB"/>
        </w:rPr>
        <w:t xml:space="preserve">0.089) </w:t>
      </w:r>
      <w:r w:rsidR="00AE58E2">
        <w:rPr>
          <w:lang w:val="en-GB" w:eastAsia="en-GB"/>
        </w:rPr>
        <w:t>with</w:t>
      </w:r>
      <w:r w:rsidR="00122147">
        <w:rPr>
          <w:lang w:val="en-GB" w:eastAsia="en-GB"/>
        </w:rPr>
        <w:t xml:space="preserve"> a </w:t>
      </w:r>
      <w:r w:rsidR="00AE58E2">
        <w:rPr>
          <w:lang w:val="en-GB" w:eastAsia="en-GB"/>
        </w:rPr>
        <w:t xml:space="preserve">mean </w:t>
      </w:r>
      <w:r w:rsidR="00122147">
        <w:rPr>
          <w:lang w:val="en-GB" w:eastAsia="en-GB"/>
        </w:rPr>
        <w:t>di</w:t>
      </w:r>
      <w:r w:rsidR="00AE58E2">
        <w:rPr>
          <w:lang w:val="en-GB" w:eastAsia="en-GB"/>
        </w:rPr>
        <w:t xml:space="preserve">fference </w:t>
      </w:r>
      <w:r w:rsidR="00122147">
        <w:rPr>
          <w:lang w:val="en-GB" w:eastAsia="en-GB"/>
        </w:rPr>
        <w:t xml:space="preserve">of 0.76357.  The nearest epiphysis with a significant difference was the medial border of the scapula at </w:t>
      </w:r>
      <w:r w:rsidR="00A81E7C">
        <w:rPr>
          <w:lang w:val="en-GB" w:eastAsia="en-GB"/>
        </w:rPr>
        <w:t xml:space="preserve">a mean differences of </w:t>
      </w:r>
      <w:r w:rsidR="00122147">
        <w:rPr>
          <w:lang w:val="en-GB" w:eastAsia="en-GB"/>
        </w:rPr>
        <w:t>0.78321 (p</w:t>
      </w:r>
      <w:r w:rsidR="00AE58E2">
        <w:rPr>
          <w:lang w:val="en-GB" w:eastAsia="en-GB"/>
        </w:rPr>
        <w:t xml:space="preserve"> </w:t>
      </w:r>
      <w:r w:rsidR="00122147">
        <w:rPr>
          <w:lang w:val="en-GB" w:eastAsia="en-GB"/>
        </w:rPr>
        <w:t>=</w:t>
      </w:r>
      <w:r w:rsidR="00AE58E2">
        <w:rPr>
          <w:lang w:val="en-GB" w:eastAsia="en-GB"/>
        </w:rPr>
        <w:t xml:space="preserve"> </w:t>
      </w:r>
      <w:r w:rsidR="00122147">
        <w:rPr>
          <w:lang w:val="en-GB" w:eastAsia="en-GB"/>
        </w:rPr>
        <w:t>0.026).</w:t>
      </w:r>
      <w:r w:rsidR="00232259">
        <w:rPr>
          <w:lang w:val="en-GB" w:eastAsia="en-GB"/>
        </w:rPr>
        <w:t xml:space="preserve">  These values are very similar to the values demonstrated for the proximal epiphysis when only females were considered.  </w:t>
      </w:r>
      <w:r w:rsidR="003679A3">
        <w:rPr>
          <w:lang w:val="en-GB" w:eastAsia="en-GB"/>
        </w:rPr>
        <w:t xml:space="preserve">This pattern is repeated for all other epiphyses as may be observed in </w:t>
      </w:r>
      <w:r w:rsidR="00E12A35">
        <w:rPr>
          <w:lang w:val="en-GB" w:eastAsia="en-GB"/>
        </w:rPr>
        <w:t>T</w:t>
      </w:r>
      <w:r w:rsidR="003679A3">
        <w:rPr>
          <w:lang w:val="en-GB" w:eastAsia="en-GB"/>
        </w:rPr>
        <w:t>able 8.2.</w:t>
      </w:r>
      <w:r w:rsidR="00624749">
        <w:rPr>
          <w:lang w:val="en-GB" w:eastAsia="en-GB"/>
        </w:rPr>
        <w:t>2</w:t>
      </w:r>
      <w:r w:rsidR="00A51CD1">
        <w:rPr>
          <w:lang w:val="en-GB" w:eastAsia="en-GB"/>
        </w:rPr>
        <w:t>.1</w:t>
      </w:r>
      <w:r w:rsidR="003679A3">
        <w:rPr>
          <w:lang w:val="en-GB" w:eastAsia="en-GB"/>
        </w:rPr>
        <w:t xml:space="preserve"> in the digital appendix</w:t>
      </w:r>
      <w:r w:rsidR="00851DDC">
        <w:rPr>
          <w:lang w:val="en-GB" w:eastAsia="en-GB"/>
        </w:rPr>
        <w:t xml:space="preserve"> (section 8.2</w:t>
      </w:r>
      <w:r w:rsidR="00624749">
        <w:rPr>
          <w:lang w:val="en-GB" w:eastAsia="en-GB"/>
        </w:rPr>
        <w:t>.2</w:t>
      </w:r>
      <w:r w:rsidR="00851DDC">
        <w:rPr>
          <w:lang w:val="en-GB" w:eastAsia="en-GB"/>
        </w:rPr>
        <w:t>)</w:t>
      </w:r>
      <w:r w:rsidR="003679A3">
        <w:rPr>
          <w:lang w:val="en-GB" w:eastAsia="en-GB"/>
        </w:rPr>
        <w:t>.</w:t>
      </w:r>
      <w:r w:rsidR="00851DDC">
        <w:rPr>
          <w:lang w:val="en-GB" w:eastAsia="en-GB"/>
        </w:rPr>
        <w:t xml:space="preserve">  Combining sex does not appear to make fusion event order clearer.</w:t>
      </w:r>
    </w:p>
    <w:p w:rsidR="00122147" w:rsidRPr="00B07FB8" w:rsidRDefault="00CE5B24" w:rsidP="005F52F0">
      <w:pPr>
        <w:tabs>
          <w:tab w:val="left" w:pos="360"/>
        </w:tabs>
        <w:spacing w:line="240" w:lineRule="auto"/>
        <w:rPr>
          <w:b/>
          <w:i/>
          <w:noProof/>
          <w:color w:val="000000" w:themeColor="text1"/>
        </w:rPr>
      </w:pPr>
      <w:r>
        <w:rPr>
          <w:b/>
          <w:i/>
          <w:noProof/>
          <w:color w:val="000000" w:themeColor="text1"/>
        </w:rPr>
        <w:t>4.2.2</w:t>
      </w:r>
      <w:r w:rsidR="00006290">
        <w:rPr>
          <w:b/>
          <w:i/>
          <w:noProof/>
          <w:color w:val="000000" w:themeColor="text1"/>
        </w:rPr>
        <w:t>e</w:t>
      </w:r>
      <w:r w:rsidR="00D856BC" w:rsidRPr="00B07FB8">
        <w:rPr>
          <w:b/>
          <w:i/>
          <w:noProof/>
          <w:color w:val="000000" w:themeColor="text1"/>
        </w:rPr>
        <w:t xml:space="preserve"> Sequence of mean epiphyseal fusion values</w:t>
      </w:r>
    </w:p>
    <w:p w:rsidR="00145333" w:rsidRDefault="00F759C9">
      <w:pPr>
        <w:rPr>
          <w:noProof/>
        </w:rPr>
      </w:pPr>
      <w:r>
        <w:rPr>
          <w:noProof/>
        </w:rPr>
        <w:t xml:space="preserve">Despite seriation analysis demonstrating significant amounts of overlap in ranges, it is possible to order epiphyses based on their mean epiphyseal fusion value ranges.  Table </w:t>
      </w:r>
      <w:r w:rsidR="00BA40A3">
        <w:rPr>
          <w:noProof/>
        </w:rPr>
        <w:t>4.20</w:t>
      </w:r>
      <w:r>
        <w:rPr>
          <w:noProof/>
        </w:rPr>
        <w:t xml:space="preserve"> </w:t>
      </w:r>
      <w:r w:rsidR="00E318EF">
        <w:rPr>
          <w:noProof/>
        </w:rPr>
        <w:t>presents</w:t>
      </w:r>
      <w:r>
        <w:rPr>
          <w:noProof/>
        </w:rPr>
        <w:t xml:space="preserve"> mid-fusion sequence order for </w:t>
      </w:r>
      <w:r>
        <w:rPr>
          <w:i/>
          <w:noProof/>
        </w:rPr>
        <w:t xml:space="preserve">Pan </w:t>
      </w:r>
      <w:r w:rsidR="008943E4" w:rsidRPr="00CA5FBB">
        <w:rPr>
          <w:i/>
          <w:noProof/>
        </w:rPr>
        <w:t xml:space="preserve">troglodytes </w:t>
      </w:r>
      <w:r w:rsidR="00BA40A3">
        <w:rPr>
          <w:noProof/>
        </w:rPr>
        <w:t>males and females.  Table 4.21</w:t>
      </w:r>
      <w:r w:rsidR="008943E4" w:rsidRPr="00CA5FBB">
        <w:rPr>
          <w:noProof/>
        </w:rPr>
        <w:t xml:space="preserve"> </w:t>
      </w:r>
      <w:r w:rsidR="009F597D">
        <w:rPr>
          <w:noProof/>
        </w:rPr>
        <w:t xml:space="preserve">provides </w:t>
      </w:r>
      <w:r w:rsidR="008943E4" w:rsidRPr="00CA5FBB">
        <w:rPr>
          <w:noProof/>
        </w:rPr>
        <w:t>values for complete fusion.</w:t>
      </w:r>
    </w:p>
    <w:p w:rsidR="00145333" w:rsidRPr="002B1DA0" w:rsidRDefault="00145333" w:rsidP="00145333">
      <w:pPr>
        <w:tabs>
          <w:tab w:val="left" w:pos="360"/>
        </w:tabs>
        <w:spacing w:line="240" w:lineRule="auto"/>
        <w:rPr>
          <w:b/>
          <w:i/>
          <w:noProof/>
        </w:rPr>
      </w:pPr>
      <w:r>
        <w:rPr>
          <w:b/>
          <w:i/>
          <w:noProof/>
        </w:rPr>
        <w:t>4.2.2f</w:t>
      </w:r>
      <w:r w:rsidRPr="002B1DA0">
        <w:rPr>
          <w:b/>
          <w:i/>
          <w:noProof/>
        </w:rPr>
        <w:t xml:space="preserve"> </w:t>
      </w:r>
      <w:r>
        <w:rPr>
          <w:b/>
          <w:i/>
          <w:noProof/>
        </w:rPr>
        <w:t xml:space="preserve">Seriation fusion event for </w:t>
      </w:r>
      <w:r w:rsidRPr="00646F39">
        <w:rPr>
          <w:b/>
          <w:noProof/>
        </w:rPr>
        <w:t>Pan paniscus</w:t>
      </w:r>
    </w:p>
    <w:p w:rsidR="00145333" w:rsidRDefault="00145333" w:rsidP="00145333">
      <w:pPr>
        <w:rPr>
          <w:noProof/>
        </w:rPr>
      </w:pPr>
      <w:r>
        <w:rPr>
          <w:noProof/>
        </w:rPr>
        <w:t xml:space="preserve">With substantially fewer data for </w:t>
      </w:r>
      <w:r>
        <w:rPr>
          <w:i/>
          <w:noProof/>
        </w:rPr>
        <w:t>Pan paniscus</w:t>
      </w:r>
      <w:r>
        <w:rPr>
          <w:noProof/>
        </w:rPr>
        <w:t xml:space="preserve"> it would be unlikely that </w:t>
      </w:r>
      <w:r w:rsidR="009E0B11">
        <w:rPr>
          <w:noProof/>
        </w:rPr>
        <w:t xml:space="preserve">analysis of mean epiphyseal fusion value for ordering fusion events </w:t>
      </w:r>
      <w:r>
        <w:rPr>
          <w:noProof/>
        </w:rPr>
        <w:t xml:space="preserve">would be either useful or applicable.  There were too few individuals </w:t>
      </w:r>
      <w:r w:rsidR="009A13C1">
        <w:rPr>
          <w:noProof/>
        </w:rPr>
        <w:t xml:space="preserve">present </w:t>
      </w:r>
      <w:r>
        <w:rPr>
          <w:noProof/>
        </w:rPr>
        <w:t>to provide sufficient data for ranges to be analysed.</w:t>
      </w:r>
    </w:p>
    <w:p w:rsidR="00145333" w:rsidRDefault="00145333">
      <w:pPr>
        <w:spacing w:before="0" w:after="200" w:line="276" w:lineRule="auto"/>
        <w:jc w:val="left"/>
        <w:rPr>
          <w:noProof/>
        </w:rPr>
      </w:pPr>
      <w:r>
        <w:rPr>
          <w:noProof/>
        </w:rPr>
        <w:br w:type="page"/>
      </w:r>
    </w:p>
    <w:p w:rsidR="005F52F0" w:rsidRPr="00CA5FBB" w:rsidRDefault="001C49A0" w:rsidP="008F6AD8">
      <w:pPr>
        <w:tabs>
          <w:tab w:val="left" w:pos="360"/>
        </w:tabs>
        <w:spacing w:after="120" w:line="240" w:lineRule="auto"/>
        <w:rPr>
          <w:b/>
          <w:noProof/>
          <w:color w:val="000000" w:themeColor="text1"/>
        </w:rPr>
      </w:pPr>
      <w:bookmarkStart w:id="517" w:name="_Toc373180164"/>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20</w:t>
      </w:r>
      <w:r w:rsidR="008943E4">
        <w:rPr>
          <w:b/>
        </w:rPr>
        <w:fldChar w:fldCharType="end"/>
      </w:r>
      <w:r w:rsidR="005F52F0" w:rsidRPr="004F6F92">
        <w:rPr>
          <w:noProof/>
          <w:color w:val="000000" w:themeColor="text1"/>
        </w:rPr>
        <w:t xml:space="preserve"> </w:t>
      </w:r>
      <w:r w:rsidR="00F759C9" w:rsidRPr="004F6F92">
        <w:rPr>
          <w:noProof/>
          <w:color w:val="000000" w:themeColor="text1"/>
        </w:rPr>
        <w:t>S</w:t>
      </w:r>
      <w:r w:rsidR="005F52F0" w:rsidRPr="004F6F92">
        <w:rPr>
          <w:noProof/>
          <w:color w:val="000000" w:themeColor="text1"/>
        </w:rPr>
        <w:t>equence order of mean</w:t>
      </w:r>
      <w:r w:rsidR="00066DD5">
        <w:rPr>
          <w:noProof/>
          <w:color w:val="000000" w:themeColor="text1"/>
        </w:rPr>
        <w:t xml:space="preserve"> values</w:t>
      </w:r>
      <w:r w:rsidR="005F52F0" w:rsidRPr="004F6F92">
        <w:rPr>
          <w:noProof/>
          <w:color w:val="000000" w:themeColor="text1"/>
        </w:rPr>
        <w:t xml:space="preserve"> from lowest to highest for mid-fusion </w:t>
      </w:r>
      <w:r w:rsidR="005F52F0" w:rsidRPr="004F6F92">
        <w:rPr>
          <w:i/>
          <w:noProof/>
          <w:color w:val="000000" w:themeColor="text1"/>
        </w:rPr>
        <w:t>Pan troglodytes</w:t>
      </w:r>
      <w:r w:rsidR="005F52F0" w:rsidRPr="004F6F92">
        <w:rPr>
          <w:noProof/>
          <w:color w:val="000000" w:themeColor="text1"/>
        </w:rPr>
        <w:t xml:space="preserve"> males and females.</w:t>
      </w:r>
      <w:bookmarkEnd w:id="517"/>
    </w:p>
    <w:tbl>
      <w:tblPr>
        <w:tblW w:w="9337" w:type="dxa"/>
        <w:jc w:val="center"/>
        <w:tblBorders>
          <w:top w:val="single" w:sz="4" w:space="0" w:color="auto"/>
          <w:bottom w:val="single" w:sz="4" w:space="0" w:color="auto"/>
        </w:tblBorders>
        <w:tblLook w:val="04A0" w:firstRow="1" w:lastRow="0" w:firstColumn="1" w:lastColumn="0" w:noHBand="0" w:noVBand="1"/>
      </w:tblPr>
      <w:tblGrid>
        <w:gridCol w:w="962"/>
        <w:gridCol w:w="1275"/>
        <w:gridCol w:w="2936"/>
        <w:gridCol w:w="1320"/>
        <w:gridCol w:w="2844"/>
      </w:tblGrid>
      <w:tr w:rsidR="005F52F0" w:rsidRPr="004F6F92" w:rsidTr="001F2EB9">
        <w:trPr>
          <w:trHeight w:hRule="exact" w:val="1075"/>
          <w:jc w:val="center"/>
        </w:trPr>
        <w:tc>
          <w:tcPr>
            <w:tcW w:w="960" w:type="dxa"/>
            <w:tcBorders>
              <w:top w:val="single" w:sz="4" w:space="0" w:color="auto"/>
              <w:bottom w:val="single" w:sz="4" w:space="0" w:color="auto"/>
            </w:tcBorders>
            <w:shd w:val="clear" w:color="auto" w:fill="auto"/>
            <w:noWrap/>
            <w:vAlign w:val="center"/>
            <w:hideMark/>
          </w:tcPr>
          <w:p w:rsidR="00A35CA0" w:rsidRPr="00CA5FBB" w:rsidRDefault="00406B8C"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o</w:t>
            </w:r>
            <w:r w:rsidR="008943E4" w:rsidRPr="00CA5FBB">
              <w:rPr>
                <w:rFonts w:eastAsia="Times New Roman"/>
                <w:b/>
                <w:bCs/>
                <w:color w:val="000000" w:themeColor="text1"/>
                <w:lang w:val="en-GB" w:eastAsia="en-GB"/>
              </w:rPr>
              <w:t>rder number</w:t>
            </w:r>
          </w:p>
        </w:tc>
        <w:tc>
          <w:tcPr>
            <w:tcW w:w="1275" w:type="dxa"/>
            <w:tcBorders>
              <w:top w:val="single" w:sz="4" w:space="0" w:color="auto"/>
              <w:bottom w:val="single" w:sz="4" w:space="0" w:color="auto"/>
            </w:tcBorders>
            <w:shd w:val="clear" w:color="auto" w:fill="auto"/>
            <w:noWrap/>
            <w:vAlign w:val="center"/>
            <w:hideMark/>
          </w:tcPr>
          <w:p w:rsidR="00A35CA0" w:rsidRPr="00CA5FBB" w:rsidRDefault="00406B8C"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m</w:t>
            </w:r>
            <w:r w:rsidR="008943E4" w:rsidRPr="00CA5FBB">
              <w:rPr>
                <w:rFonts w:eastAsia="Times New Roman"/>
                <w:b/>
                <w:bCs/>
                <w:color w:val="000000" w:themeColor="text1"/>
                <w:lang w:val="en-GB" w:eastAsia="en-GB"/>
              </w:rPr>
              <w:t>ean</w:t>
            </w:r>
            <w:r w:rsidR="001F2EB9">
              <w:rPr>
                <w:rFonts w:eastAsia="Times New Roman"/>
                <w:b/>
                <w:bCs/>
                <w:color w:val="000000" w:themeColor="text1"/>
                <w:lang w:val="en-GB" w:eastAsia="en-GB"/>
              </w:rPr>
              <w:t xml:space="preserve"> epiphyseal fusion score </w:t>
            </w:r>
          </w:p>
        </w:tc>
        <w:tc>
          <w:tcPr>
            <w:tcW w:w="2937" w:type="dxa"/>
            <w:tcBorders>
              <w:top w:val="single" w:sz="4" w:space="0" w:color="auto"/>
              <w:bottom w:val="single" w:sz="4" w:space="0" w:color="auto"/>
            </w:tcBorders>
            <w:shd w:val="clear" w:color="auto" w:fill="auto"/>
            <w:noWrap/>
            <w:vAlign w:val="center"/>
            <w:hideMark/>
          </w:tcPr>
          <w:p w:rsidR="00A35CA0" w:rsidRPr="00CA5FBB" w:rsidRDefault="00406B8C"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e</w:t>
            </w:r>
            <w:r w:rsidR="008943E4" w:rsidRPr="00CA5FBB">
              <w:rPr>
                <w:rFonts w:eastAsia="Times New Roman"/>
                <w:b/>
                <w:bCs/>
                <w:color w:val="000000" w:themeColor="text1"/>
                <w:lang w:val="en-GB" w:eastAsia="en-GB"/>
              </w:rPr>
              <w:t>piphysis (females)</w:t>
            </w:r>
          </w:p>
        </w:tc>
        <w:tc>
          <w:tcPr>
            <w:tcW w:w="1320" w:type="dxa"/>
            <w:tcBorders>
              <w:top w:val="single" w:sz="4" w:space="0" w:color="auto"/>
              <w:bottom w:val="single" w:sz="4" w:space="0" w:color="auto"/>
            </w:tcBorders>
            <w:shd w:val="clear" w:color="auto" w:fill="auto"/>
            <w:noWrap/>
            <w:vAlign w:val="center"/>
            <w:hideMark/>
          </w:tcPr>
          <w:p w:rsidR="00A35CA0" w:rsidRPr="00CA5FBB" w:rsidRDefault="001F2EB9"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m</w:t>
            </w:r>
            <w:r w:rsidRPr="00CA5FBB">
              <w:rPr>
                <w:rFonts w:eastAsia="Times New Roman"/>
                <w:b/>
                <w:bCs/>
                <w:color w:val="000000" w:themeColor="text1"/>
                <w:lang w:val="en-GB" w:eastAsia="en-GB"/>
              </w:rPr>
              <w:t>ean</w:t>
            </w:r>
            <w:r>
              <w:rPr>
                <w:rFonts w:eastAsia="Times New Roman"/>
                <w:b/>
                <w:bCs/>
                <w:color w:val="000000" w:themeColor="text1"/>
                <w:lang w:val="en-GB" w:eastAsia="en-GB"/>
              </w:rPr>
              <w:t xml:space="preserve"> epiphyseal fusion score</w:t>
            </w:r>
          </w:p>
        </w:tc>
        <w:tc>
          <w:tcPr>
            <w:tcW w:w="2845" w:type="dxa"/>
            <w:tcBorders>
              <w:top w:val="single" w:sz="4" w:space="0" w:color="auto"/>
              <w:bottom w:val="single" w:sz="4" w:space="0" w:color="auto"/>
            </w:tcBorders>
            <w:shd w:val="clear" w:color="auto" w:fill="auto"/>
            <w:noWrap/>
            <w:vAlign w:val="center"/>
            <w:hideMark/>
          </w:tcPr>
          <w:p w:rsidR="00A35CA0" w:rsidRPr="00CA5FBB" w:rsidRDefault="00406B8C"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e</w:t>
            </w:r>
            <w:r w:rsidR="008943E4" w:rsidRPr="00CA5FBB">
              <w:rPr>
                <w:rFonts w:eastAsia="Times New Roman"/>
                <w:b/>
                <w:bCs/>
                <w:color w:val="000000" w:themeColor="text1"/>
                <w:lang w:val="en-GB" w:eastAsia="en-GB"/>
              </w:rPr>
              <w:t>piphysis (males)</w:t>
            </w:r>
          </w:p>
        </w:tc>
      </w:tr>
      <w:tr w:rsidR="005F52F0" w:rsidRPr="00045AC3" w:rsidTr="001F2EB9">
        <w:trPr>
          <w:trHeight w:hRule="exact" w:val="284"/>
          <w:jc w:val="center"/>
        </w:trPr>
        <w:tc>
          <w:tcPr>
            <w:tcW w:w="960" w:type="dxa"/>
            <w:tcBorders>
              <w:top w:val="single" w:sz="4" w:space="0" w:color="auto"/>
            </w:tcBorders>
            <w:shd w:val="clear" w:color="auto" w:fill="auto"/>
            <w:noWrap/>
            <w:vAlign w:val="center"/>
            <w:hideMark/>
          </w:tcPr>
          <w:p w:rsidR="00A35CA0" w:rsidRDefault="005F52F0" w:rsidP="00CA5FBB">
            <w:pPr>
              <w:spacing w:before="0" w:line="240" w:lineRule="auto"/>
              <w:jc w:val="center"/>
              <w:rPr>
                <w:rFonts w:eastAsia="Times New Roman"/>
                <w:color w:val="000000"/>
                <w:lang w:val="en-GB" w:eastAsia="en-GB"/>
              </w:rPr>
            </w:pPr>
            <w:r w:rsidRPr="00045AC3">
              <w:rPr>
                <w:rFonts w:eastAsia="Times New Roman"/>
                <w:color w:val="000000"/>
                <w:lang w:val="en-GB" w:eastAsia="en-GB"/>
              </w:rPr>
              <w:t>1</w:t>
            </w:r>
          </w:p>
        </w:tc>
        <w:tc>
          <w:tcPr>
            <w:tcW w:w="1275" w:type="dxa"/>
            <w:tcBorders>
              <w:top w:val="single" w:sz="4" w:space="0" w:color="auto"/>
            </w:tcBorders>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1.09</w:t>
            </w:r>
          </w:p>
        </w:tc>
        <w:tc>
          <w:tcPr>
            <w:tcW w:w="2937"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1320" w:type="dxa"/>
            <w:tcBorders>
              <w:top w:val="single" w:sz="4" w:space="0" w:color="auto"/>
            </w:tcBorders>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1.25</w:t>
            </w:r>
          </w:p>
        </w:tc>
        <w:tc>
          <w:tcPr>
            <w:tcW w:w="2845"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1.63</w:t>
            </w:r>
          </w:p>
        </w:tc>
        <w:tc>
          <w:tcPr>
            <w:tcW w:w="2937" w:type="dxa"/>
            <w:shd w:val="clear" w:color="auto" w:fill="auto"/>
            <w:noWrap/>
            <w:vAlign w:val="center"/>
            <w:hideMark/>
          </w:tcPr>
          <w:p w:rsidR="00A35CA0" w:rsidRDefault="00D759E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5F52F0" w:rsidRPr="00045AC3">
              <w:rPr>
                <w:rFonts w:eastAsia="Times New Roman"/>
                <w:color w:val="000000"/>
                <w:lang w:val="en-GB" w:eastAsia="en-GB"/>
              </w:rPr>
              <w:t>medial epicondyle</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1.53</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talus</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1.72</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sub-coracoid and glenoid</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1.62</w:t>
            </w:r>
          </w:p>
        </w:tc>
        <w:tc>
          <w:tcPr>
            <w:tcW w:w="2845" w:type="dxa"/>
            <w:shd w:val="clear" w:color="auto" w:fill="auto"/>
            <w:noWrap/>
            <w:vAlign w:val="center"/>
            <w:hideMark/>
          </w:tcPr>
          <w:p w:rsidR="00A35CA0" w:rsidRDefault="00D759E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5F52F0" w:rsidRPr="00045AC3">
              <w:rPr>
                <w:rFonts w:eastAsia="Times New Roman"/>
                <w:color w:val="000000"/>
                <w:lang w:val="en-GB" w:eastAsia="en-GB"/>
              </w:rPr>
              <w:t>medial epicondyle</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1.78</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phalanges (hand)</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1.63</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sub-coracoid and glenoid</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5</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1.78</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triradiate</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1.73</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coracoid</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6</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1.89</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talus</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1.75</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triradiate</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7</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1.92</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coracoid</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1.83</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phalanges (hand)</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8</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2.28</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ulna</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2.01</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base of metacarpal 1</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9</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2.28</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phalanges foot</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2.08</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phalanges foot</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10</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2.33</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and middle phalanges</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2.10</w:t>
            </w:r>
          </w:p>
        </w:tc>
        <w:tc>
          <w:tcPr>
            <w:tcW w:w="2845" w:type="dxa"/>
            <w:shd w:val="clear" w:color="000000" w:fill="FFFFFF"/>
            <w:noWrap/>
            <w:vAlign w:val="center"/>
            <w:hideMark/>
          </w:tcPr>
          <w:p w:rsidR="00A35CA0" w:rsidRDefault="007C7A4A"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c</w:t>
            </w:r>
            <w:r w:rsidR="005F52F0" w:rsidRPr="00045AC3">
              <w:rPr>
                <w:rFonts w:eastAsia="Times New Roman"/>
                <w:color w:val="000000"/>
                <w:lang w:val="en-GB" w:eastAsia="en-GB"/>
              </w:rPr>
              <w:t>alcaneal epiphysis fusion</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11</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2.38</w:t>
            </w:r>
          </w:p>
        </w:tc>
        <w:tc>
          <w:tcPr>
            <w:tcW w:w="2937" w:type="dxa"/>
            <w:shd w:val="clear" w:color="000000" w:fill="FFFFFF"/>
            <w:noWrap/>
            <w:vAlign w:val="center"/>
            <w:hideMark/>
          </w:tcPr>
          <w:p w:rsidR="00A35CA0" w:rsidRDefault="007C7A4A"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c</w:t>
            </w:r>
            <w:r w:rsidR="005F52F0" w:rsidRPr="00045AC3">
              <w:rPr>
                <w:rFonts w:eastAsia="Times New Roman"/>
                <w:color w:val="000000"/>
                <w:lang w:val="en-GB" w:eastAsia="en-GB"/>
              </w:rPr>
              <w:t>alcaneal epiphysis fusion</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2.15</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ulna</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12</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2.50</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phalanges foot</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2.24</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lesser trochanter</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13</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2.57</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lesser trochanter</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2.53</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and middle phalanges</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14</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2.57</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middle phalanges foot</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2.54</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middle phalanges foot</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15</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2.65</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greater trochanter</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2.75</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greater trochanter</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16</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2.78</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radius</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2.75</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phalanges foot</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17</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2.81</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base of metacarpal 1</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2.75</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base of metatarsal 1</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18</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2.88</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femoral head</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2.81</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femoral head</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19</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2.89</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base of metatarsal 1</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2.85</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radius</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20</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2.94</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metatarsal heads 2-5</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3.17</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metatarsal heads 2-5</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21</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3.04</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heads of metacarpals 2.5</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3.24</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heads of metacarpals 2.5</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22</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3.39</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fibula</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3.43</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fibula</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23</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3.58</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tibia</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3.46</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acromium</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24</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3.75</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humerus</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3.53</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tibia</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25</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3.79</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tibia</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3.53</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tibia</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26</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3.81</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fibula</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3.62</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femur</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27</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3.86</w:t>
            </w:r>
          </w:p>
        </w:tc>
        <w:tc>
          <w:tcPr>
            <w:tcW w:w="2937"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medial clavicle</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3.62</w:t>
            </w:r>
          </w:p>
        </w:tc>
        <w:tc>
          <w:tcPr>
            <w:tcW w:w="2845" w:type="dxa"/>
            <w:shd w:val="clear" w:color="000000" w:fill="FFFFFF"/>
            <w:noWrap/>
            <w:vAlign w:val="center"/>
            <w:hideMark/>
          </w:tcPr>
          <w:p w:rsidR="00A35CA0" w:rsidRDefault="0028308B"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i</w:t>
            </w:r>
            <w:r w:rsidR="005F52F0" w:rsidRPr="00045AC3">
              <w:rPr>
                <w:rFonts w:eastAsia="Times New Roman"/>
                <w:color w:val="000000"/>
                <w:lang w:val="en-GB" w:eastAsia="en-GB"/>
              </w:rPr>
              <w:t>schial epiphysis fusion</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28</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3.87</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femur</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3.73</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radius</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29</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4.11</w:t>
            </w:r>
          </w:p>
        </w:tc>
        <w:tc>
          <w:tcPr>
            <w:tcW w:w="2937" w:type="dxa"/>
            <w:shd w:val="clear" w:color="000000" w:fill="FFFFFF"/>
            <w:noWrap/>
            <w:vAlign w:val="center"/>
            <w:hideMark/>
          </w:tcPr>
          <w:p w:rsidR="00A35CA0" w:rsidRDefault="0028308B"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i</w:t>
            </w:r>
            <w:r w:rsidR="005F52F0" w:rsidRPr="00045AC3">
              <w:rPr>
                <w:rFonts w:eastAsia="Times New Roman"/>
                <w:color w:val="000000"/>
                <w:lang w:val="en-GB" w:eastAsia="en-GB"/>
              </w:rPr>
              <w:t>schial epiphysis fusion</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3.76</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fibula</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30</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4.13</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ulna</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3.85</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ulna</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31</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4.13</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distal radius</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4.16</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proximal humerus</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32</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4.23</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acromium</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4.59</w:t>
            </w:r>
          </w:p>
        </w:tc>
        <w:tc>
          <w:tcPr>
            <w:tcW w:w="2845" w:type="dxa"/>
            <w:shd w:val="clear" w:color="000000" w:fill="FFFFFF"/>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medial clavicle</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33</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4.52</w:t>
            </w:r>
          </w:p>
        </w:tc>
        <w:tc>
          <w:tcPr>
            <w:tcW w:w="2937" w:type="dxa"/>
            <w:shd w:val="clear" w:color="000000" w:fill="FFFFFF"/>
            <w:noWrap/>
            <w:vAlign w:val="center"/>
            <w:hideMark/>
          </w:tcPr>
          <w:p w:rsidR="00A35CA0" w:rsidRDefault="0028308B"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i</w:t>
            </w:r>
            <w:r w:rsidR="005F52F0" w:rsidRPr="00045AC3">
              <w:rPr>
                <w:rFonts w:eastAsia="Times New Roman"/>
                <w:color w:val="000000"/>
                <w:lang w:val="en-GB" w:eastAsia="en-GB"/>
              </w:rPr>
              <w:t>liac crest fusion</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4.67</w:t>
            </w:r>
          </w:p>
        </w:tc>
        <w:tc>
          <w:tcPr>
            <w:tcW w:w="284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medial border of scapula</w:t>
            </w:r>
          </w:p>
        </w:tc>
      </w:tr>
      <w:tr w:rsidR="005F52F0" w:rsidRPr="00045AC3" w:rsidTr="001F2EB9">
        <w:trPr>
          <w:trHeight w:hRule="exact" w:val="284"/>
          <w:jc w:val="center"/>
        </w:trPr>
        <w:tc>
          <w:tcPr>
            <w:tcW w:w="96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34</w:t>
            </w:r>
          </w:p>
        </w:tc>
        <w:tc>
          <w:tcPr>
            <w:tcW w:w="1275"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4.63</w:t>
            </w:r>
          </w:p>
        </w:tc>
        <w:tc>
          <w:tcPr>
            <w:tcW w:w="2937"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medial border of scapula</w:t>
            </w:r>
          </w:p>
        </w:tc>
        <w:tc>
          <w:tcPr>
            <w:tcW w:w="1320" w:type="dxa"/>
            <w:shd w:val="clear" w:color="auto" w:fill="auto"/>
            <w:noWrap/>
            <w:vAlign w:val="center"/>
            <w:hideMark/>
          </w:tcPr>
          <w:p w:rsidR="00A35CA0" w:rsidRDefault="005F52F0" w:rsidP="00CA5FBB">
            <w:pPr>
              <w:spacing w:before="0" w:line="240" w:lineRule="auto"/>
              <w:jc w:val="center"/>
              <w:rPr>
                <w:rFonts w:eastAsia="Times New Roman"/>
                <w:color w:val="000000"/>
                <w:sz w:val="24"/>
                <w:szCs w:val="24"/>
                <w:lang w:val="en-GB" w:eastAsia="en-GB"/>
              </w:rPr>
            </w:pPr>
            <w:r w:rsidRPr="00045AC3">
              <w:rPr>
                <w:rFonts w:eastAsia="Times New Roman"/>
                <w:color w:val="000000"/>
                <w:lang w:val="en-GB" w:eastAsia="en-GB"/>
              </w:rPr>
              <w:t>4.71</w:t>
            </w:r>
          </w:p>
        </w:tc>
        <w:tc>
          <w:tcPr>
            <w:tcW w:w="2845" w:type="dxa"/>
            <w:shd w:val="clear" w:color="000000" w:fill="FFFFFF"/>
            <w:noWrap/>
            <w:vAlign w:val="center"/>
            <w:hideMark/>
          </w:tcPr>
          <w:p w:rsidR="00A35CA0" w:rsidRDefault="0028308B"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i</w:t>
            </w:r>
            <w:r w:rsidR="005F52F0" w:rsidRPr="00045AC3">
              <w:rPr>
                <w:rFonts w:eastAsia="Times New Roman"/>
                <w:color w:val="000000"/>
                <w:lang w:val="en-GB" w:eastAsia="en-GB"/>
              </w:rPr>
              <w:t>liac crest fusion</w:t>
            </w:r>
          </w:p>
        </w:tc>
      </w:tr>
    </w:tbl>
    <w:p w:rsidR="005F52F0" w:rsidRPr="00CA5FBB" w:rsidRDefault="005F52F0" w:rsidP="00406B8C">
      <w:pPr>
        <w:tabs>
          <w:tab w:val="left" w:pos="360"/>
        </w:tabs>
        <w:spacing w:before="120" w:line="240" w:lineRule="auto"/>
        <w:rPr>
          <w:b/>
          <w:noProof/>
          <w:color w:val="000000" w:themeColor="text1"/>
        </w:rPr>
      </w:pPr>
      <w:r w:rsidRPr="00045AC3">
        <w:rPr>
          <w:noProof/>
          <w:color w:val="000000" w:themeColor="text1"/>
          <w:sz w:val="20"/>
          <w:szCs w:val="20"/>
        </w:rPr>
        <w:t>Note: the lateral clavicle and the anterior inferior iliac spine have been omitted from this list.</w:t>
      </w:r>
    </w:p>
    <w:p w:rsidR="00145333" w:rsidRDefault="00145333">
      <w:pPr>
        <w:spacing w:before="0" w:after="200" w:line="276" w:lineRule="auto"/>
        <w:jc w:val="left"/>
        <w:rPr>
          <w:b/>
        </w:rPr>
      </w:pPr>
      <w:r>
        <w:rPr>
          <w:b/>
        </w:rPr>
        <w:br w:type="page"/>
      </w:r>
    </w:p>
    <w:p w:rsidR="00EB27B8" w:rsidRPr="00CA5FBB" w:rsidRDefault="006841AE" w:rsidP="008F6AD8">
      <w:pPr>
        <w:tabs>
          <w:tab w:val="left" w:pos="360"/>
        </w:tabs>
        <w:spacing w:after="120" w:line="240" w:lineRule="auto"/>
        <w:rPr>
          <w:b/>
          <w:noProof/>
          <w:color w:val="000000" w:themeColor="text1"/>
        </w:rPr>
      </w:pPr>
      <w:bookmarkStart w:id="518" w:name="_Toc373180165"/>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21</w:t>
      </w:r>
      <w:r w:rsidR="008943E4">
        <w:rPr>
          <w:b/>
        </w:rPr>
        <w:fldChar w:fldCharType="end"/>
      </w:r>
      <w:r w:rsidR="00060D18" w:rsidRPr="004F6F92">
        <w:rPr>
          <w:noProof/>
          <w:color w:val="000000" w:themeColor="text1"/>
        </w:rPr>
        <w:t xml:space="preserve"> Sequence order of mean</w:t>
      </w:r>
      <w:r w:rsidR="00EB27B8" w:rsidRPr="004F6F92">
        <w:rPr>
          <w:noProof/>
          <w:color w:val="000000" w:themeColor="text1"/>
        </w:rPr>
        <w:t xml:space="preserve"> from lowest to highest for complete </w:t>
      </w:r>
      <w:r w:rsidR="00060D18" w:rsidRPr="004F6F92">
        <w:rPr>
          <w:noProof/>
          <w:color w:val="000000" w:themeColor="text1"/>
        </w:rPr>
        <w:t xml:space="preserve">fusion </w:t>
      </w:r>
      <w:r w:rsidR="00060D18" w:rsidRPr="00B016A5">
        <w:rPr>
          <w:i/>
          <w:noProof/>
          <w:color w:val="000000" w:themeColor="text1"/>
        </w:rPr>
        <w:t>Pan troglodytes</w:t>
      </w:r>
      <w:r w:rsidR="00060D18" w:rsidRPr="00B016A5">
        <w:rPr>
          <w:noProof/>
          <w:color w:val="000000" w:themeColor="text1"/>
        </w:rPr>
        <w:t xml:space="preserve"> males and females.</w:t>
      </w:r>
      <w:bookmarkEnd w:id="518"/>
    </w:p>
    <w:tbl>
      <w:tblPr>
        <w:tblW w:w="9337" w:type="dxa"/>
        <w:jc w:val="center"/>
        <w:tblBorders>
          <w:top w:val="single" w:sz="4" w:space="0" w:color="auto"/>
          <w:bottom w:val="single" w:sz="4" w:space="0" w:color="auto"/>
        </w:tblBorders>
        <w:tblLook w:val="04A0" w:firstRow="1" w:lastRow="0" w:firstColumn="1" w:lastColumn="0" w:noHBand="0" w:noVBand="1"/>
      </w:tblPr>
      <w:tblGrid>
        <w:gridCol w:w="962"/>
        <w:gridCol w:w="1275"/>
        <w:gridCol w:w="2863"/>
        <w:gridCol w:w="1245"/>
        <w:gridCol w:w="2992"/>
      </w:tblGrid>
      <w:tr w:rsidR="006A455A" w:rsidRPr="004F6F92" w:rsidTr="00A05856">
        <w:trPr>
          <w:trHeight w:hRule="exact" w:val="791"/>
          <w:jc w:val="center"/>
        </w:trPr>
        <w:tc>
          <w:tcPr>
            <w:tcW w:w="962" w:type="dxa"/>
            <w:tcBorders>
              <w:top w:val="single" w:sz="4" w:space="0" w:color="auto"/>
              <w:bottom w:val="single" w:sz="4" w:space="0" w:color="auto"/>
            </w:tcBorders>
            <w:shd w:val="clear" w:color="auto" w:fill="auto"/>
            <w:noWrap/>
            <w:vAlign w:val="center"/>
            <w:hideMark/>
          </w:tcPr>
          <w:p w:rsidR="00A35CA0" w:rsidRPr="00CA5FBB" w:rsidRDefault="00EB3757"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o</w:t>
            </w:r>
            <w:r w:rsidR="008943E4" w:rsidRPr="00CA5FBB">
              <w:rPr>
                <w:rFonts w:eastAsia="Times New Roman"/>
                <w:b/>
                <w:bCs/>
                <w:color w:val="000000" w:themeColor="text1"/>
                <w:lang w:val="en-GB" w:eastAsia="en-GB"/>
              </w:rPr>
              <w:t>rder number</w:t>
            </w:r>
          </w:p>
        </w:tc>
        <w:tc>
          <w:tcPr>
            <w:tcW w:w="1275" w:type="dxa"/>
            <w:tcBorders>
              <w:top w:val="single" w:sz="4" w:space="0" w:color="auto"/>
              <w:bottom w:val="single" w:sz="4" w:space="0" w:color="auto"/>
            </w:tcBorders>
            <w:shd w:val="clear" w:color="auto" w:fill="auto"/>
            <w:noWrap/>
            <w:vAlign w:val="center"/>
            <w:hideMark/>
          </w:tcPr>
          <w:p w:rsidR="00A35CA0" w:rsidRPr="00CA5FBB" w:rsidRDefault="00A05856"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m</w:t>
            </w:r>
            <w:r w:rsidRPr="00CA5FBB">
              <w:rPr>
                <w:rFonts w:eastAsia="Times New Roman"/>
                <w:b/>
                <w:bCs/>
                <w:color w:val="000000" w:themeColor="text1"/>
                <w:lang w:val="en-GB" w:eastAsia="en-GB"/>
              </w:rPr>
              <w:t>ean</w:t>
            </w:r>
            <w:r>
              <w:rPr>
                <w:rFonts w:eastAsia="Times New Roman"/>
                <w:b/>
                <w:bCs/>
                <w:color w:val="000000" w:themeColor="text1"/>
                <w:lang w:val="en-GB" w:eastAsia="en-GB"/>
              </w:rPr>
              <w:t xml:space="preserve"> epiphyseal fusion score</w:t>
            </w:r>
          </w:p>
        </w:tc>
        <w:tc>
          <w:tcPr>
            <w:tcW w:w="2863" w:type="dxa"/>
            <w:tcBorders>
              <w:top w:val="single" w:sz="4" w:space="0" w:color="auto"/>
              <w:bottom w:val="single" w:sz="4" w:space="0" w:color="auto"/>
            </w:tcBorders>
            <w:shd w:val="clear" w:color="auto" w:fill="auto"/>
            <w:noWrap/>
            <w:vAlign w:val="center"/>
            <w:hideMark/>
          </w:tcPr>
          <w:p w:rsidR="00A35CA0" w:rsidRPr="00CA5FBB" w:rsidRDefault="00EB3757"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e</w:t>
            </w:r>
            <w:r w:rsidR="008943E4" w:rsidRPr="00CA5FBB">
              <w:rPr>
                <w:rFonts w:eastAsia="Times New Roman"/>
                <w:b/>
                <w:bCs/>
                <w:color w:val="000000" w:themeColor="text1"/>
                <w:lang w:val="en-GB" w:eastAsia="en-GB"/>
              </w:rPr>
              <w:t>piphysis (females)</w:t>
            </w:r>
          </w:p>
        </w:tc>
        <w:tc>
          <w:tcPr>
            <w:tcW w:w="1245" w:type="dxa"/>
            <w:tcBorders>
              <w:top w:val="single" w:sz="4" w:space="0" w:color="auto"/>
              <w:bottom w:val="single" w:sz="4" w:space="0" w:color="auto"/>
            </w:tcBorders>
            <w:shd w:val="clear" w:color="auto" w:fill="auto"/>
            <w:noWrap/>
            <w:vAlign w:val="center"/>
            <w:hideMark/>
          </w:tcPr>
          <w:p w:rsidR="00A35CA0" w:rsidRPr="00CA5FBB" w:rsidRDefault="00A05856"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m</w:t>
            </w:r>
            <w:r w:rsidRPr="00CA5FBB">
              <w:rPr>
                <w:rFonts w:eastAsia="Times New Roman"/>
                <w:b/>
                <w:bCs/>
                <w:color w:val="000000" w:themeColor="text1"/>
                <w:lang w:val="en-GB" w:eastAsia="en-GB"/>
              </w:rPr>
              <w:t>ean</w:t>
            </w:r>
            <w:r>
              <w:rPr>
                <w:rFonts w:eastAsia="Times New Roman"/>
                <w:b/>
                <w:bCs/>
                <w:color w:val="000000" w:themeColor="text1"/>
                <w:lang w:val="en-GB" w:eastAsia="en-GB"/>
              </w:rPr>
              <w:t xml:space="preserve"> epiphyseal fusion score</w:t>
            </w:r>
          </w:p>
        </w:tc>
        <w:tc>
          <w:tcPr>
            <w:tcW w:w="2992" w:type="dxa"/>
            <w:tcBorders>
              <w:top w:val="single" w:sz="4" w:space="0" w:color="auto"/>
              <w:bottom w:val="single" w:sz="4" w:space="0" w:color="auto"/>
            </w:tcBorders>
            <w:shd w:val="clear" w:color="auto" w:fill="auto"/>
            <w:noWrap/>
            <w:vAlign w:val="center"/>
            <w:hideMark/>
          </w:tcPr>
          <w:p w:rsidR="00A35CA0" w:rsidRPr="00CA5FBB" w:rsidRDefault="00EB3757" w:rsidP="00CA5FBB">
            <w:pPr>
              <w:spacing w:before="0" w:line="240" w:lineRule="auto"/>
              <w:jc w:val="center"/>
              <w:rPr>
                <w:rFonts w:eastAsia="Times New Roman"/>
                <w:b/>
                <w:bCs/>
                <w:color w:val="000000" w:themeColor="text1"/>
                <w:lang w:val="en-GB" w:eastAsia="en-GB"/>
              </w:rPr>
            </w:pPr>
            <w:r>
              <w:rPr>
                <w:rFonts w:eastAsia="Times New Roman"/>
                <w:b/>
                <w:bCs/>
                <w:color w:val="000000" w:themeColor="text1"/>
                <w:lang w:val="en-GB" w:eastAsia="en-GB"/>
              </w:rPr>
              <w:t>e</w:t>
            </w:r>
            <w:r w:rsidR="008943E4" w:rsidRPr="00CA5FBB">
              <w:rPr>
                <w:rFonts w:eastAsia="Times New Roman"/>
                <w:b/>
                <w:bCs/>
                <w:color w:val="000000" w:themeColor="text1"/>
                <w:lang w:val="en-GB" w:eastAsia="en-GB"/>
              </w:rPr>
              <w:t>piphysis (males)</w:t>
            </w:r>
          </w:p>
        </w:tc>
      </w:tr>
      <w:tr w:rsidR="006A455A" w:rsidRPr="00EB27B8" w:rsidTr="00A05856">
        <w:trPr>
          <w:trHeight w:hRule="exact" w:val="284"/>
          <w:jc w:val="center"/>
        </w:trPr>
        <w:tc>
          <w:tcPr>
            <w:tcW w:w="962" w:type="dxa"/>
            <w:tcBorders>
              <w:top w:val="single" w:sz="4" w:space="0" w:color="auto"/>
            </w:tcBorders>
            <w:shd w:val="clear" w:color="auto" w:fill="auto"/>
            <w:noWrap/>
            <w:vAlign w:val="center"/>
            <w:hideMark/>
          </w:tcPr>
          <w:p w:rsidR="00A35CA0" w:rsidRDefault="00EB27B8" w:rsidP="00CA5FBB">
            <w:pPr>
              <w:spacing w:before="0" w:line="240" w:lineRule="auto"/>
              <w:jc w:val="center"/>
              <w:rPr>
                <w:rFonts w:eastAsia="Times New Roman"/>
                <w:color w:val="000000"/>
                <w:lang w:val="en-GB" w:eastAsia="en-GB"/>
              </w:rPr>
            </w:pPr>
            <w:r w:rsidRPr="00EB27B8">
              <w:rPr>
                <w:rFonts w:eastAsia="Times New Roman"/>
                <w:color w:val="000000"/>
                <w:lang w:val="en-GB" w:eastAsia="en-GB"/>
              </w:rPr>
              <w:t>1</w:t>
            </w:r>
          </w:p>
        </w:tc>
        <w:tc>
          <w:tcPr>
            <w:tcW w:w="1275" w:type="dxa"/>
            <w:tcBorders>
              <w:top w:val="single" w:sz="4" w:space="0" w:color="auto"/>
            </w:tcBorders>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4.52</w:t>
            </w:r>
          </w:p>
        </w:tc>
        <w:tc>
          <w:tcPr>
            <w:tcW w:w="2863" w:type="dxa"/>
            <w:tcBorders>
              <w:top w:val="single" w:sz="4" w:space="0" w:color="auto"/>
            </w:tcBorders>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humerus</w:t>
            </w:r>
          </w:p>
        </w:tc>
        <w:tc>
          <w:tcPr>
            <w:tcW w:w="1245" w:type="dxa"/>
            <w:tcBorders>
              <w:top w:val="single" w:sz="4" w:space="0" w:color="auto"/>
            </w:tcBorders>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4.85</w:t>
            </w:r>
          </w:p>
        </w:tc>
        <w:tc>
          <w:tcPr>
            <w:tcW w:w="2992" w:type="dxa"/>
            <w:tcBorders>
              <w:top w:val="single" w:sz="4" w:space="0" w:color="auto"/>
            </w:tcBorders>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humerus</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3.57</w:t>
            </w:r>
          </w:p>
        </w:tc>
        <w:tc>
          <w:tcPr>
            <w:tcW w:w="2863"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3.22</w:t>
            </w:r>
          </w:p>
        </w:tc>
        <w:tc>
          <w:tcPr>
            <w:tcW w:w="2992"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3.84</w:t>
            </w:r>
          </w:p>
        </w:tc>
        <w:tc>
          <w:tcPr>
            <w:tcW w:w="2863" w:type="dxa"/>
            <w:shd w:val="clear" w:color="auto" w:fill="auto"/>
            <w:noWrap/>
            <w:vAlign w:val="center"/>
            <w:hideMark/>
          </w:tcPr>
          <w:p w:rsidR="00A35CA0" w:rsidRDefault="00D759E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EB27B8" w:rsidRPr="00EB27B8">
              <w:rPr>
                <w:rFonts w:eastAsia="Times New Roman"/>
                <w:color w:val="000000"/>
                <w:lang w:val="en-GB" w:eastAsia="en-GB"/>
              </w:rPr>
              <w:t>medial epicondyle</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3.99</w:t>
            </w:r>
          </w:p>
        </w:tc>
        <w:tc>
          <w:tcPr>
            <w:tcW w:w="2992" w:type="dxa"/>
            <w:shd w:val="clear" w:color="auto" w:fill="auto"/>
            <w:noWrap/>
            <w:vAlign w:val="center"/>
            <w:hideMark/>
          </w:tcPr>
          <w:p w:rsidR="00A35CA0" w:rsidRDefault="00D759E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EB27B8" w:rsidRPr="00EB27B8">
              <w:rPr>
                <w:rFonts w:eastAsia="Times New Roman"/>
                <w:color w:val="000000"/>
                <w:lang w:val="en-GB" w:eastAsia="en-GB"/>
              </w:rPr>
              <w:t>medial epicondyle</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4.21</w:t>
            </w:r>
          </w:p>
        </w:tc>
        <w:tc>
          <w:tcPr>
            <w:tcW w:w="2863"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radius</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4.37</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radius</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5</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4.68</w:t>
            </w:r>
          </w:p>
        </w:tc>
        <w:tc>
          <w:tcPr>
            <w:tcW w:w="2863"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radius</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4.90</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radius</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6</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3.89</w:t>
            </w:r>
          </w:p>
        </w:tc>
        <w:tc>
          <w:tcPr>
            <w:tcW w:w="2863"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ulna</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3.93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ulna</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7</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4.71</w:t>
            </w:r>
          </w:p>
        </w:tc>
        <w:tc>
          <w:tcPr>
            <w:tcW w:w="2863"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ulna</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4.85</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ulna</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8</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3.64</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phalanges hand</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3.87</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phalanges hand</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9</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4.28</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base of metacarpal 1 hand</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4.27</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base of metacarpal 1 hand</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10</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4.26</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and middle phalanges hand</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4.49</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and middle phalanges hand</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11</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4.37</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heads of metacarpals 2-5 hand</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4.49</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heads of metacarpals 2-5 hand</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12</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4.28</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femoral head</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4.37</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femoral head</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13</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4.20</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greater trochanter</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4.33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greater trochanter</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14</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3.98</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lesser trochanter</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4.19</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lesser trochanter</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15</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4.67</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femur</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4.83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femur</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16</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4.63</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tibia</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4.83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tibia</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17</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4.50</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tibial</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4.83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tibial</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18</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4.59</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fibula</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4.83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fibula</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19</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4.43</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fibula</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4.83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fibula</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20</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3.93</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triradiate</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3.99</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triradiate</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21</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4.26</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anterior inferior iliac spine</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4.41</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anterior inferior iliac spine</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22</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4.59</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ischial epiphysis</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4.72</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iliac crest</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23</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4.03</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calcaneus</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4.71</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ischial epiphysis</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24</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3.44</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talus</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4.13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calcaneus</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25</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4.16</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phalanges foot</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2.76</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talus</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26</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4.26</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middle phalanges foot</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4.22</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distal phalanges foot</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27</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4.37</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metatarsal heads 2-5 foot</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4.42</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middle phalanges foot</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28</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4.27</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phalanges foot</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4.49</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metatarsal heads 2-5 foot</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29</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4.31</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base of metatarsal 1 fusion foot</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4.45</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proximal phalanges foot</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30</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4.57</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medial clavicle</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4.51</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base of metatarsal 1 fusion foot</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31</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3.77</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lateral clavicle</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4.94</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medial clavicle</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32</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3.96</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coracoid</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3.62</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lateral clavicle</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33</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3.89</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sub-coracoid center and glenoid</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3.93</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coracoid</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34</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4.65</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acromium</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3.91</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sub-coracoid center and glenoid</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35</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4.91</w:t>
            </w:r>
          </w:p>
        </w:tc>
        <w:tc>
          <w:tcPr>
            <w:tcW w:w="2863" w:type="dxa"/>
            <w:shd w:val="clear" w:color="000000" w:fill="FFFFFF"/>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medial border</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4.71</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acromium</w:t>
            </w:r>
          </w:p>
        </w:tc>
      </w:tr>
      <w:tr w:rsidR="006A455A" w:rsidRPr="00EB27B8" w:rsidTr="00A05856">
        <w:trPr>
          <w:trHeight w:hRule="exact" w:val="284"/>
          <w:jc w:val="center"/>
        </w:trPr>
        <w:tc>
          <w:tcPr>
            <w:tcW w:w="96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36</w:t>
            </w:r>
          </w:p>
        </w:tc>
        <w:tc>
          <w:tcPr>
            <w:tcW w:w="127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 </w:t>
            </w:r>
          </w:p>
        </w:tc>
        <w:tc>
          <w:tcPr>
            <w:tcW w:w="2863"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 </w:t>
            </w:r>
          </w:p>
        </w:tc>
        <w:tc>
          <w:tcPr>
            <w:tcW w:w="1245"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4.88</w:t>
            </w:r>
          </w:p>
        </w:tc>
        <w:tc>
          <w:tcPr>
            <w:tcW w:w="2992" w:type="dxa"/>
            <w:shd w:val="clear" w:color="auto" w:fill="auto"/>
            <w:noWrap/>
            <w:vAlign w:val="center"/>
            <w:hideMark/>
          </w:tcPr>
          <w:p w:rsidR="00A35CA0" w:rsidRDefault="00EB27B8" w:rsidP="00CA5FBB">
            <w:pPr>
              <w:spacing w:before="0" w:line="240" w:lineRule="auto"/>
              <w:jc w:val="center"/>
              <w:rPr>
                <w:rFonts w:eastAsia="Times New Roman"/>
                <w:color w:val="000000"/>
                <w:sz w:val="24"/>
                <w:szCs w:val="24"/>
                <w:lang w:val="en-GB" w:eastAsia="en-GB"/>
              </w:rPr>
            </w:pPr>
            <w:r w:rsidRPr="00EB27B8">
              <w:rPr>
                <w:rFonts w:eastAsia="Times New Roman"/>
                <w:color w:val="000000"/>
                <w:lang w:val="en-GB" w:eastAsia="en-GB"/>
              </w:rPr>
              <w:t>medial border</w:t>
            </w:r>
          </w:p>
        </w:tc>
      </w:tr>
    </w:tbl>
    <w:p w:rsidR="005F52F0" w:rsidRPr="002B1DA0" w:rsidRDefault="00EB27B8" w:rsidP="009620C9">
      <w:pPr>
        <w:tabs>
          <w:tab w:val="left" w:pos="360"/>
        </w:tabs>
        <w:spacing w:before="120" w:line="240" w:lineRule="auto"/>
        <w:rPr>
          <w:b/>
          <w:i/>
          <w:noProof/>
        </w:rPr>
      </w:pPr>
      <w:r w:rsidRPr="00EB27B8">
        <w:rPr>
          <w:noProof/>
          <w:color w:val="000000" w:themeColor="text1"/>
          <w:sz w:val="20"/>
          <w:szCs w:val="20"/>
        </w:rPr>
        <w:t>Note: ischial epiphysis not included for females</w:t>
      </w:r>
      <w:r>
        <w:rPr>
          <w:noProof/>
          <w:color w:val="000000" w:themeColor="text1"/>
          <w:sz w:val="20"/>
          <w:szCs w:val="20"/>
        </w:rPr>
        <w:t xml:space="preserve"> as there wer no individuals contributing complete fusion values.</w:t>
      </w:r>
    </w:p>
    <w:p w:rsidR="00145333" w:rsidRDefault="00145333">
      <w:pPr>
        <w:spacing w:before="0" w:after="200" w:line="276" w:lineRule="auto"/>
        <w:jc w:val="left"/>
        <w:rPr>
          <w:b/>
          <w:i/>
          <w:noProof/>
        </w:rPr>
      </w:pPr>
      <w:r>
        <w:rPr>
          <w:b/>
          <w:i/>
          <w:noProof/>
        </w:rPr>
        <w:br w:type="page"/>
      </w:r>
    </w:p>
    <w:p w:rsidR="002E17E6" w:rsidRPr="006631BB" w:rsidRDefault="009908AE" w:rsidP="00D263E8">
      <w:pPr>
        <w:pStyle w:val="Heading2"/>
      </w:pPr>
      <w:bookmarkStart w:id="519" w:name="_Toc373477799"/>
      <w:bookmarkStart w:id="520" w:name="_Toc373480797"/>
      <w:r>
        <w:lastRenderedPageBreak/>
        <w:t>Analysis of allometric relationships</w:t>
      </w:r>
      <w:r w:rsidR="00887034">
        <w:t xml:space="preserve"> within </w:t>
      </w:r>
      <w:r w:rsidR="00887034" w:rsidRPr="008430DC">
        <w:t>Pan</w:t>
      </w:r>
      <w:bookmarkEnd w:id="519"/>
      <w:bookmarkEnd w:id="520"/>
    </w:p>
    <w:p w:rsidR="00781AC6" w:rsidRPr="0072474E" w:rsidRDefault="00781AC6" w:rsidP="00D263E8">
      <w:pPr>
        <w:pStyle w:val="Heading3"/>
      </w:pPr>
      <w:bookmarkStart w:id="521" w:name="_Toc373477800"/>
      <w:bookmarkStart w:id="522" w:name="_Toc373480798"/>
      <w:r>
        <w:t>Confirming allometric relationships established in the past and adding new sub</w:t>
      </w:r>
      <w:r w:rsidR="000128EE">
        <w:t>-</w:t>
      </w:r>
      <w:r>
        <w:t>species of Pan</w:t>
      </w:r>
      <w:bookmarkEnd w:id="521"/>
      <w:bookmarkEnd w:id="522"/>
    </w:p>
    <w:p w:rsidR="00A35CA0" w:rsidRDefault="00222978" w:rsidP="00CA5FBB">
      <w:pPr>
        <w:rPr>
          <w:noProof/>
          <w:color w:val="000000" w:themeColor="text1"/>
        </w:rPr>
      </w:pPr>
      <w:r>
        <w:rPr>
          <w:noProof/>
        </w:rPr>
        <w:t xml:space="preserve">This section will assess </w:t>
      </w:r>
      <w:r w:rsidR="009627FD">
        <w:rPr>
          <w:noProof/>
        </w:rPr>
        <w:t xml:space="preserve">allometric relationships between long-bones </w:t>
      </w:r>
      <w:r>
        <w:rPr>
          <w:noProof/>
        </w:rPr>
        <w:t>in a similar manner to Shea (1981)</w:t>
      </w:r>
      <w:r w:rsidR="000E5F28">
        <w:rPr>
          <w:noProof/>
        </w:rPr>
        <w:t>.  This analysis will</w:t>
      </w:r>
      <w:r w:rsidR="002E17E6">
        <w:rPr>
          <w:noProof/>
        </w:rPr>
        <w:t xml:space="preserve"> ex</w:t>
      </w:r>
      <w:r w:rsidR="00683DAC">
        <w:rPr>
          <w:noProof/>
        </w:rPr>
        <w:t>pand</w:t>
      </w:r>
      <w:r w:rsidR="002E17E6">
        <w:rPr>
          <w:noProof/>
        </w:rPr>
        <w:t xml:space="preserve"> </w:t>
      </w:r>
      <w:r w:rsidR="000E5F28">
        <w:rPr>
          <w:noProof/>
        </w:rPr>
        <w:t>upon Shea’s (1981)</w:t>
      </w:r>
      <w:r w:rsidR="009620C9">
        <w:rPr>
          <w:noProof/>
        </w:rPr>
        <w:t xml:space="preserve"> work</w:t>
      </w:r>
      <w:r w:rsidR="000E5F28">
        <w:rPr>
          <w:noProof/>
        </w:rPr>
        <w:t xml:space="preserve"> by including the sub-species </w:t>
      </w:r>
      <w:r w:rsidR="003C0199">
        <w:rPr>
          <w:i/>
          <w:noProof/>
        </w:rPr>
        <w:t>Pan troglodytes schweinfurthii</w:t>
      </w:r>
      <w:r w:rsidR="000E5F28" w:rsidRPr="00EE395F">
        <w:rPr>
          <w:noProof/>
        </w:rPr>
        <w:t>¸</w:t>
      </w:r>
      <w:r w:rsidR="008E3DBB">
        <w:rPr>
          <w:noProof/>
        </w:rPr>
        <w:t xml:space="preserve"> </w:t>
      </w:r>
      <w:r w:rsidR="000E5F28" w:rsidRPr="000E5F28">
        <w:rPr>
          <w:noProof/>
        </w:rPr>
        <w:t xml:space="preserve">which was not present in Shea’s original </w:t>
      </w:r>
      <w:r w:rsidR="000E5F28">
        <w:rPr>
          <w:noProof/>
        </w:rPr>
        <w:t>sample</w:t>
      </w:r>
      <w:r w:rsidR="002E17E6" w:rsidRPr="000E5F28">
        <w:rPr>
          <w:noProof/>
        </w:rPr>
        <w:t>.</w:t>
      </w:r>
      <w:r w:rsidR="002E17E6">
        <w:rPr>
          <w:noProof/>
        </w:rPr>
        <w:t xml:space="preserve">  It should be noted that </w:t>
      </w:r>
      <w:r w:rsidR="002E17E6">
        <w:rPr>
          <w:noProof/>
          <w:color w:val="000000" w:themeColor="text1"/>
        </w:rPr>
        <w:t xml:space="preserve">Shea’s (1981) bonobo data </w:t>
      </w:r>
      <w:r w:rsidR="001208A4">
        <w:rPr>
          <w:noProof/>
          <w:color w:val="000000" w:themeColor="text1"/>
        </w:rPr>
        <w:t xml:space="preserve">was produced using the same </w:t>
      </w:r>
      <w:r w:rsidR="002E17E6">
        <w:rPr>
          <w:noProof/>
          <w:color w:val="000000" w:themeColor="text1"/>
        </w:rPr>
        <w:t>individuals at the Museum of Central Africa</w:t>
      </w:r>
      <w:r w:rsidR="00F00DA0">
        <w:rPr>
          <w:noProof/>
          <w:color w:val="000000" w:themeColor="text1"/>
        </w:rPr>
        <w:t xml:space="preserve"> as the bonobos in this study</w:t>
      </w:r>
      <w:r w:rsidR="002E17E6">
        <w:rPr>
          <w:noProof/>
          <w:color w:val="000000" w:themeColor="text1"/>
        </w:rPr>
        <w:t>.</w:t>
      </w:r>
      <w:r w:rsidR="002808D0">
        <w:rPr>
          <w:noProof/>
        </w:rPr>
        <w:t xml:space="preserve">  </w:t>
      </w:r>
      <w:r w:rsidR="002E17E6" w:rsidRPr="006631BB">
        <w:rPr>
          <w:noProof/>
          <w:color w:val="000000" w:themeColor="text1"/>
        </w:rPr>
        <w:t xml:space="preserve">As outlined in </w:t>
      </w:r>
      <w:r w:rsidR="002808D0">
        <w:rPr>
          <w:noProof/>
          <w:color w:val="000000" w:themeColor="text1"/>
        </w:rPr>
        <w:t>C</w:t>
      </w:r>
      <w:r w:rsidR="002E17E6" w:rsidRPr="006631BB">
        <w:rPr>
          <w:noProof/>
          <w:color w:val="000000" w:themeColor="text1"/>
        </w:rPr>
        <w:t xml:space="preserve">hapter 2, Shea (1981) </w:t>
      </w:r>
      <w:r w:rsidR="00987F69">
        <w:rPr>
          <w:noProof/>
          <w:color w:val="000000" w:themeColor="text1"/>
        </w:rPr>
        <w:t>applied</w:t>
      </w:r>
      <w:r w:rsidR="002E17E6" w:rsidRPr="006631BB">
        <w:rPr>
          <w:noProof/>
          <w:color w:val="000000" w:themeColor="text1"/>
        </w:rPr>
        <w:t xml:space="preserve"> </w:t>
      </w:r>
      <w:r w:rsidR="004572B2">
        <w:rPr>
          <w:noProof/>
          <w:color w:val="000000" w:themeColor="text1"/>
        </w:rPr>
        <w:t xml:space="preserve">regression </w:t>
      </w:r>
      <w:r w:rsidR="002E17E6" w:rsidRPr="006631BB">
        <w:rPr>
          <w:noProof/>
          <w:color w:val="000000" w:themeColor="text1"/>
        </w:rPr>
        <w:t xml:space="preserve">analysis </w:t>
      </w:r>
      <w:r w:rsidR="004572B2">
        <w:rPr>
          <w:noProof/>
          <w:color w:val="000000" w:themeColor="text1"/>
        </w:rPr>
        <w:t>to</w:t>
      </w:r>
      <w:r w:rsidR="00987F69">
        <w:rPr>
          <w:noProof/>
          <w:color w:val="000000" w:themeColor="text1"/>
        </w:rPr>
        <w:t xml:space="preserve"> </w:t>
      </w:r>
      <w:r w:rsidR="004572B2">
        <w:rPr>
          <w:noProof/>
          <w:color w:val="000000" w:themeColor="text1"/>
        </w:rPr>
        <w:t>l</w:t>
      </w:r>
      <w:r w:rsidR="004572B2" w:rsidRPr="006631BB">
        <w:rPr>
          <w:noProof/>
          <w:color w:val="000000" w:themeColor="text1"/>
        </w:rPr>
        <w:t>og</w:t>
      </w:r>
      <w:r w:rsidR="004572B2" w:rsidRPr="006631BB">
        <w:rPr>
          <w:noProof/>
          <w:color w:val="000000" w:themeColor="text1"/>
          <w:vertAlign w:val="subscript"/>
        </w:rPr>
        <w:t>10</w:t>
      </w:r>
      <w:r w:rsidR="002E17E6" w:rsidRPr="006631BB">
        <w:rPr>
          <w:noProof/>
          <w:color w:val="000000" w:themeColor="text1"/>
        </w:rPr>
        <w:t>-scaled inter-membral ind</w:t>
      </w:r>
      <w:r w:rsidR="00683DAC">
        <w:rPr>
          <w:noProof/>
          <w:color w:val="000000" w:themeColor="text1"/>
        </w:rPr>
        <w:t>ex</w:t>
      </w:r>
      <w:r w:rsidR="002E17E6" w:rsidRPr="006631BB">
        <w:rPr>
          <w:noProof/>
          <w:color w:val="000000" w:themeColor="text1"/>
        </w:rPr>
        <w:t xml:space="preserve">es.  </w:t>
      </w:r>
      <w:r w:rsidR="00987F69">
        <w:rPr>
          <w:noProof/>
          <w:color w:val="000000" w:themeColor="text1"/>
        </w:rPr>
        <w:t xml:space="preserve">He </w:t>
      </w:r>
      <w:r w:rsidR="002E17E6">
        <w:rPr>
          <w:noProof/>
          <w:color w:val="000000" w:themeColor="text1"/>
        </w:rPr>
        <w:t>also evalu</w:t>
      </w:r>
      <w:r w:rsidR="00070FC5">
        <w:rPr>
          <w:noProof/>
          <w:color w:val="000000" w:themeColor="text1"/>
        </w:rPr>
        <w:t>a</w:t>
      </w:r>
      <w:r w:rsidR="002E17E6">
        <w:rPr>
          <w:noProof/>
          <w:color w:val="000000" w:themeColor="text1"/>
        </w:rPr>
        <w:t xml:space="preserve">ted </w:t>
      </w:r>
      <w:r w:rsidR="00EE2E1F">
        <w:rPr>
          <w:noProof/>
          <w:color w:val="000000" w:themeColor="text1"/>
        </w:rPr>
        <w:t xml:space="preserve">variables not considered in the present study including </w:t>
      </w:r>
      <w:r w:rsidR="002E17E6">
        <w:rPr>
          <w:noProof/>
          <w:color w:val="000000" w:themeColor="text1"/>
        </w:rPr>
        <w:t>trunk length</w:t>
      </w:r>
      <w:r w:rsidR="00EE2E1F">
        <w:rPr>
          <w:noProof/>
          <w:color w:val="000000" w:themeColor="text1"/>
        </w:rPr>
        <w:t>,</w:t>
      </w:r>
      <w:r w:rsidR="002E17E6">
        <w:rPr>
          <w:noProof/>
          <w:color w:val="000000" w:themeColor="text1"/>
        </w:rPr>
        <w:t xml:space="preserve"> body weight</w:t>
      </w:r>
      <w:r w:rsidR="00EE2E1F">
        <w:rPr>
          <w:noProof/>
          <w:color w:val="000000" w:themeColor="text1"/>
        </w:rPr>
        <w:t xml:space="preserve"> and</w:t>
      </w:r>
      <w:r w:rsidR="00CF4C37" w:rsidRPr="00CF4C37">
        <w:rPr>
          <w:noProof/>
          <w:color w:val="000000" w:themeColor="text1"/>
        </w:rPr>
        <w:t xml:space="preserve"> </w:t>
      </w:r>
      <w:r w:rsidR="00CF4C37">
        <w:rPr>
          <w:noProof/>
          <w:color w:val="000000" w:themeColor="text1"/>
        </w:rPr>
        <w:t>postural changes.</w:t>
      </w:r>
      <w:r w:rsidR="002E17E6">
        <w:rPr>
          <w:noProof/>
          <w:color w:val="000000" w:themeColor="text1"/>
        </w:rPr>
        <w:t xml:space="preserve"> </w:t>
      </w:r>
      <w:r w:rsidR="00740975">
        <w:rPr>
          <w:noProof/>
          <w:color w:val="000000" w:themeColor="text1"/>
        </w:rPr>
        <w:t xml:space="preserve"> </w:t>
      </w:r>
      <w:r w:rsidR="008F5718">
        <w:rPr>
          <w:noProof/>
          <w:color w:val="000000" w:themeColor="text1"/>
        </w:rPr>
        <w:t xml:space="preserve">Shea </w:t>
      </w:r>
      <w:r w:rsidR="00EE2E1F">
        <w:rPr>
          <w:noProof/>
          <w:color w:val="000000" w:themeColor="text1"/>
        </w:rPr>
        <w:t xml:space="preserve">made </w:t>
      </w:r>
      <w:r w:rsidR="002E17E6">
        <w:rPr>
          <w:noProof/>
          <w:color w:val="000000" w:themeColor="text1"/>
        </w:rPr>
        <w:t>two particularly important observations</w:t>
      </w:r>
      <w:r w:rsidR="002E17E6" w:rsidRPr="006631BB">
        <w:rPr>
          <w:noProof/>
          <w:color w:val="000000" w:themeColor="text1"/>
        </w:rPr>
        <w:t>:</w:t>
      </w:r>
    </w:p>
    <w:p w:rsidR="00A35CA0" w:rsidRDefault="002E17E6" w:rsidP="00CA5FBB">
      <w:pPr>
        <w:pStyle w:val="ListParagraph"/>
        <w:numPr>
          <w:ilvl w:val="0"/>
          <w:numId w:val="19"/>
        </w:numPr>
        <w:tabs>
          <w:tab w:val="left" w:pos="360"/>
        </w:tabs>
        <w:rPr>
          <w:noProof/>
          <w:color w:val="000000" w:themeColor="text1"/>
        </w:rPr>
      </w:pPr>
      <w:r>
        <w:rPr>
          <w:noProof/>
          <w:color w:val="000000" w:themeColor="text1"/>
        </w:rPr>
        <w:t xml:space="preserve">Growth in </w:t>
      </w:r>
      <w:r>
        <w:rPr>
          <w:i/>
          <w:noProof/>
          <w:color w:val="000000" w:themeColor="text1"/>
        </w:rPr>
        <w:t xml:space="preserve">Pan troglodytes </w:t>
      </w:r>
      <w:r>
        <w:rPr>
          <w:noProof/>
          <w:color w:val="000000" w:themeColor="text1"/>
        </w:rPr>
        <w:t xml:space="preserve">and </w:t>
      </w:r>
      <w:r>
        <w:rPr>
          <w:i/>
          <w:noProof/>
          <w:color w:val="000000" w:themeColor="text1"/>
        </w:rPr>
        <w:t>Pan paniscus</w:t>
      </w:r>
      <w:r>
        <w:rPr>
          <w:noProof/>
          <w:color w:val="000000" w:themeColor="text1"/>
        </w:rPr>
        <w:t xml:space="preserve"> limbs is </w:t>
      </w:r>
      <w:r w:rsidR="00F87217">
        <w:rPr>
          <w:noProof/>
          <w:color w:val="000000" w:themeColor="text1"/>
        </w:rPr>
        <w:t>effectively</w:t>
      </w:r>
      <w:r w:rsidR="00D708F8">
        <w:rPr>
          <w:noProof/>
          <w:color w:val="000000" w:themeColor="text1"/>
        </w:rPr>
        <w:t xml:space="preserve"> isometric (</w:t>
      </w:r>
      <w:r w:rsidR="00F87217">
        <w:rPr>
          <w:noProof/>
          <w:color w:val="000000" w:themeColor="text1"/>
        </w:rPr>
        <w:t>the ratios of limb lengths are static throughout growth</w:t>
      </w:r>
      <w:r w:rsidRPr="009A1A8B">
        <w:rPr>
          <w:noProof/>
          <w:color w:val="000000" w:themeColor="text1"/>
        </w:rPr>
        <w:t>)</w:t>
      </w:r>
    </w:p>
    <w:p w:rsidR="00A35CA0" w:rsidRDefault="00A35CA0" w:rsidP="00CA5FBB">
      <w:pPr>
        <w:pStyle w:val="ListParagraph"/>
        <w:tabs>
          <w:tab w:val="left" w:pos="360"/>
        </w:tabs>
        <w:rPr>
          <w:rFonts w:eastAsia="Times New Roman"/>
          <w:color w:val="222222"/>
          <w:lang w:val="en-GB" w:eastAsia="en-GB"/>
        </w:rPr>
      </w:pPr>
    </w:p>
    <w:p w:rsidR="00A35CA0" w:rsidRDefault="002E17E6" w:rsidP="00CA5FBB">
      <w:pPr>
        <w:pStyle w:val="ListParagraph"/>
        <w:numPr>
          <w:ilvl w:val="0"/>
          <w:numId w:val="19"/>
        </w:numPr>
        <w:tabs>
          <w:tab w:val="left" w:pos="360"/>
        </w:tabs>
        <w:rPr>
          <w:rFonts w:eastAsia="Times New Roman"/>
          <w:color w:val="222222"/>
          <w:lang w:val="en-GB" w:eastAsia="en-GB"/>
        </w:rPr>
      </w:pPr>
      <w:r w:rsidRPr="009A1A8B">
        <w:rPr>
          <w:noProof/>
          <w:color w:val="000000" w:themeColor="text1"/>
        </w:rPr>
        <w:t xml:space="preserve">The average leg length is a little bit longer in </w:t>
      </w:r>
      <w:r w:rsidRPr="009A1A8B">
        <w:rPr>
          <w:i/>
          <w:noProof/>
          <w:color w:val="000000" w:themeColor="text1"/>
        </w:rPr>
        <w:t>Pan paniscus</w:t>
      </w:r>
      <w:r w:rsidRPr="009A1A8B">
        <w:rPr>
          <w:noProof/>
          <w:color w:val="000000" w:themeColor="text1"/>
        </w:rPr>
        <w:t xml:space="preserve"> and this </w:t>
      </w:r>
      <w:r w:rsidR="00C96916">
        <w:rPr>
          <w:noProof/>
          <w:color w:val="000000" w:themeColor="text1"/>
        </w:rPr>
        <w:t xml:space="preserve">may </w:t>
      </w:r>
      <w:r w:rsidR="00D44591">
        <w:rPr>
          <w:noProof/>
          <w:color w:val="000000" w:themeColor="text1"/>
        </w:rPr>
        <w:t xml:space="preserve">be </w:t>
      </w:r>
      <w:r w:rsidRPr="009A1A8B">
        <w:rPr>
          <w:noProof/>
          <w:color w:val="000000" w:themeColor="text1"/>
        </w:rPr>
        <w:t>observable in growth trajectories.</w:t>
      </w:r>
    </w:p>
    <w:p w:rsidR="00A35CA0" w:rsidRDefault="005E4FFE" w:rsidP="00CA5FBB">
      <w:pPr>
        <w:rPr>
          <w:noProof/>
          <w:color w:val="000000" w:themeColor="text1"/>
        </w:rPr>
      </w:pPr>
      <w:r>
        <w:rPr>
          <w:noProof/>
        </w:rPr>
        <w:t>All dat</w:t>
      </w:r>
      <w:r w:rsidR="00086AF0">
        <w:rPr>
          <w:noProof/>
        </w:rPr>
        <w:t xml:space="preserve">a were analysed using SPSS </w:t>
      </w:r>
      <w:r w:rsidR="00861DD1">
        <w:rPr>
          <w:noProof/>
        </w:rPr>
        <w:t xml:space="preserve">Statistics </w:t>
      </w:r>
      <w:r w:rsidR="00086AF0">
        <w:rPr>
          <w:noProof/>
        </w:rPr>
        <w:t xml:space="preserve">21.  </w:t>
      </w:r>
      <w:r w:rsidR="00A1338E">
        <w:rPr>
          <w:noProof/>
        </w:rPr>
        <w:t>Regression</w:t>
      </w:r>
      <w:r w:rsidR="009B6E41">
        <w:rPr>
          <w:noProof/>
        </w:rPr>
        <w:t xml:space="preserve"> analysis is presented for a pooled sample using all </w:t>
      </w:r>
      <w:r w:rsidR="009B6E41">
        <w:rPr>
          <w:i/>
          <w:noProof/>
        </w:rPr>
        <w:t xml:space="preserve">Pan troglodytes </w:t>
      </w:r>
      <w:r w:rsidR="009B6E41">
        <w:rPr>
          <w:noProof/>
        </w:rPr>
        <w:t xml:space="preserve">individuals in the dataset including all sub-species.  </w:t>
      </w:r>
      <w:r w:rsidR="00803720">
        <w:rPr>
          <w:noProof/>
        </w:rPr>
        <w:t xml:space="preserve">The results of </w:t>
      </w:r>
      <w:r w:rsidR="000762F5">
        <w:rPr>
          <w:noProof/>
        </w:rPr>
        <w:t xml:space="preserve">regression </w:t>
      </w:r>
      <w:r w:rsidR="009B6E41">
        <w:rPr>
          <w:noProof/>
        </w:rPr>
        <w:t xml:space="preserve">applied at the species level demonstrated a high degree of linearity with an </w:t>
      </w:r>
      <w:r w:rsidR="00592EBF">
        <w:rPr>
          <w:i/>
          <w:noProof/>
        </w:rPr>
        <w:t>R</w:t>
      </w:r>
      <w:r w:rsidR="00592EBF" w:rsidRPr="00592EBF">
        <w:rPr>
          <w:noProof/>
          <w:vertAlign w:val="superscript"/>
        </w:rPr>
        <w:t>2</w:t>
      </w:r>
      <w:r w:rsidR="009B6E41">
        <w:rPr>
          <w:noProof/>
        </w:rPr>
        <w:t xml:space="preserve"> value of 0.97</w:t>
      </w:r>
      <w:r w:rsidR="00086AF0">
        <w:rPr>
          <w:noProof/>
        </w:rPr>
        <w:t>.</w:t>
      </w:r>
      <w:r w:rsidR="009B6E41">
        <w:rPr>
          <w:noProof/>
        </w:rPr>
        <w:t xml:space="preserve">  The high level of agreement for long-bone lengths in this analysis suggested that separate analysis determining linear regression results for individual sub-species of </w:t>
      </w:r>
      <w:r w:rsidR="009B6E41">
        <w:rPr>
          <w:i/>
          <w:noProof/>
        </w:rPr>
        <w:t xml:space="preserve">Pan troglodytes </w:t>
      </w:r>
      <w:r w:rsidR="009B6E41">
        <w:rPr>
          <w:noProof/>
        </w:rPr>
        <w:t>would not return meaningfully different results.</w:t>
      </w:r>
      <w:r w:rsidR="00086AF0">
        <w:rPr>
          <w:noProof/>
        </w:rPr>
        <w:t xml:space="preserve">  </w:t>
      </w:r>
      <w:r w:rsidR="00DC5524" w:rsidRPr="007C4882">
        <w:rPr>
          <w:noProof/>
        </w:rPr>
        <w:t>Figure</w:t>
      </w:r>
      <w:r w:rsidR="00AD2CF8">
        <w:rPr>
          <w:noProof/>
        </w:rPr>
        <w:t xml:space="preserve"> 4.</w:t>
      </w:r>
      <w:r w:rsidR="00FD3D5C">
        <w:rPr>
          <w:noProof/>
        </w:rPr>
        <w:t>21</w:t>
      </w:r>
      <w:r w:rsidR="00BA0907" w:rsidRPr="006631BB">
        <w:rPr>
          <w:noProof/>
        </w:rPr>
        <w:t xml:space="preserve"> </w:t>
      </w:r>
      <w:r w:rsidR="00065170">
        <w:rPr>
          <w:noProof/>
        </w:rPr>
        <w:t xml:space="preserve">presents a scatterplot for </w:t>
      </w:r>
      <w:r w:rsidR="00065170">
        <w:rPr>
          <w:noProof/>
          <w:color w:val="000000" w:themeColor="text1"/>
        </w:rPr>
        <w:t>l</w:t>
      </w:r>
      <w:r w:rsidR="00065170" w:rsidRPr="006631BB">
        <w:rPr>
          <w:noProof/>
          <w:color w:val="000000" w:themeColor="text1"/>
        </w:rPr>
        <w:t>og</w:t>
      </w:r>
      <w:r w:rsidR="00065170" w:rsidRPr="006631BB">
        <w:rPr>
          <w:noProof/>
          <w:color w:val="000000" w:themeColor="text1"/>
          <w:vertAlign w:val="subscript"/>
        </w:rPr>
        <w:t>10</w:t>
      </w:r>
      <w:r w:rsidR="00065170" w:rsidRPr="006631BB">
        <w:rPr>
          <w:noProof/>
        </w:rPr>
        <w:t xml:space="preserve">-scaled arm (humerus </w:t>
      </w:r>
      <w:r w:rsidR="00065170">
        <w:rPr>
          <w:noProof/>
        </w:rPr>
        <w:t xml:space="preserve">+ </w:t>
      </w:r>
      <w:r w:rsidR="00065170" w:rsidRPr="006631BB">
        <w:rPr>
          <w:noProof/>
        </w:rPr>
        <w:t xml:space="preserve">radius) vs. leg (femur </w:t>
      </w:r>
      <w:r w:rsidR="00065170">
        <w:rPr>
          <w:noProof/>
        </w:rPr>
        <w:t xml:space="preserve">+ </w:t>
      </w:r>
      <w:r w:rsidR="00065170" w:rsidRPr="006631BB">
        <w:rPr>
          <w:noProof/>
        </w:rPr>
        <w:t xml:space="preserve"> tibia) </w:t>
      </w:r>
      <w:r w:rsidR="00065170">
        <w:rPr>
          <w:noProof/>
        </w:rPr>
        <w:t xml:space="preserve">data as well as a regression line </w:t>
      </w:r>
      <w:r w:rsidR="00065170" w:rsidRPr="006631BB">
        <w:rPr>
          <w:noProof/>
        </w:rPr>
        <w:t xml:space="preserve">for </w:t>
      </w:r>
      <w:r w:rsidR="00065170">
        <w:rPr>
          <w:i/>
          <w:noProof/>
        </w:rPr>
        <w:t xml:space="preserve">Pan troglodytes </w:t>
      </w:r>
      <w:r w:rsidR="00065170" w:rsidRPr="006631BB">
        <w:rPr>
          <w:noProof/>
        </w:rPr>
        <w:t>male</w:t>
      </w:r>
      <w:r w:rsidR="00086AF0">
        <w:rPr>
          <w:noProof/>
        </w:rPr>
        <w:t xml:space="preserve">s. </w:t>
      </w:r>
      <w:r w:rsidR="00065170" w:rsidRPr="006631BB">
        <w:rPr>
          <w:noProof/>
        </w:rPr>
        <w:t xml:space="preserve"> </w:t>
      </w:r>
      <w:r w:rsidR="00086AF0">
        <w:rPr>
          <w:noProof/>
        </w:rPr>
        <w:t xml:space="preserve">This includes </w:t>
      </w:r>
      <w:r w:rsidR="002E17E6">
        <w:rPr>
          <w:noProof/>
        </w:rPr>
        <w:t>individuals from all sub-species</w:t>
      </w:r>
      <w:r w:rsidR="002E17E6" w:rsidRPr="006631BB">
        <w:rPr>
          <w:noProof/>
        </w:rPr>
        <w:t xml:space="preserve">.  </w:t>
      </w:r>
      <w:r w:rsidR="00AD2CF8">
        <w:rPr>
          <w:noProof/>
        </w:rPr>
        <w:t>Table 4.2</w:t>
      </w:r>
      <w:r w:rsidR="00FD3D5C">
        <w:rPr>
          <w:noProof/>
        </w:rPr>
        <w:t>2</w:t>
      </w:r>
      <w:r>
        <w:rPr>
          <w:noProof/>
        </w:rPr>
        <w:t xml:space="preserve"> shows </w:t>
      </w:r>
      <w:r w:rsidR="00592EBF">
        <w:rPr>
          <w:i/>
          <w:noProof/>
        </w:rPr>
        <w:t>R</w:t>
      </w:r>
      <w:r w:rsidR="00592EBF" w:rsidRPr="00592EBF">
        <w:rPr>
          <w:noProof/>
          <w:vertAlign w:val="superscript"/>
        </w:rPr>
        <w:t>2</w:t>
      </w:r>
      <w:r>
        <w:rPr>
          <w:noProof/>
        </w:rPr>
        <w:t xml:space="preserve"> values for linear regression analysis.</w:t>
      </w:r>
    </w:p>
    <w:p w:rsidR="00A35CA0" w:rsidRPr="00CA5FBB" w:rsidRDefault="00A35CA0" w:rsidP="00CA5FBB">
      <w:pPr>
        <w:tabs>
          <w:tab w:val="left" w:pos="360"/>
        </w:tabs>
        <w:spacing w:line="240" w:lineRule="auto"/>
        <w:jc w:val="center"/>
        <w:rPr>
          <w:b/>
          <w:noProof/>
          <w:color w:val="000000" w:themeColor="text1"/>
        </w:rPr>
      </w:pPr>
      <w:r w:rsidRPr="00CA5FBB">
        <w:rPr>
          <w:b/>
          <w:noProof/>
          <w:color w:val="000000" w:themeColor="text1"/>
          <w:lang w:val="en-GB" w:eastAsia="en-GB"/>
        </w:rPr>
        <w:lastRenderedPageBreak/>
        <w:drawing>
          <wp:inline distT="0" distB="0" distL="0" distR="0" wp14:anchorId="09A17AEB" wp14:editId="12F53FB2">
            <wp:extent cx="4667250" cy="36777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7250" cy="3677727"/>
                    </a:xfrm>
                    <a:prstGeom prst="rect">
                      <a:avLst/>
                    </a:prstGeom>
                    <a:noFill/>
                    <a:ln>
                      <a:noFill/>
                    </a:ln>
                  </pic:spPr>
                </pic:pic>
              </a:graphicData>
            </a:graphic>
          </wp:inline>
        </w:drawing>
      </w:r>
    </w:p>
    <w:p w:rsidR="00BA0907" w:rsidRDefault="00BA0907" w:rsidP="002E17E6">
      <w:pPr>
        <w:tabs>
          <w:tab w:val="left" w:pos="360"/>
        </w:tabs>
        <w:spacing w:line="240" w:lineRule="auto"/>
        <w:rPr>
          <w:noProof/>
          <w:color w:val="000000" w:themeColor="text1"/>
        </w:rPr>
      </w:pPr>
      <w:bookmarkStart w:id="523" w:name="_Toc373147481"/>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proofErr w:type="gramStart"/>
      <w:r w:rsidR="00795735">
        <w:rPr>
          <w:b/>
          <w:noProof/>
        </w:rPr>
        <w:t>21</w:t>
      </w:r>
      <w:r w:rsidR="008943E4" w:rsidRPr="00997A01">
        <w:rPr>
          <w:b/>
        </w:rPr>
        <w:fldChar w:fldCharType="end"/>
      </w:r>
      <w:r w:rsidRPr="006631BB">
        <w:rPr>
          <w:noProof/>
          <w:color w:val="000000" w:themeColor="text1"/>
        </w:rPr>
        <w:t xml:space="preserve"> </w:t>
      </w:r>
      <w:r w:rsidR="00A96744">
        <w:rPr>
          <w:noProof/>
          <w:color w:val="000000" w:themeColor="text1"/>
        </w:rPr>
        <w:t>l</w:t>
      </w:r>
      <w:r w:rsidRPr="006631BB">
        <w:rPr>
          <w:noProof/>
          <w:color w:val="000000" w:themeColor="text1"/>
        </w:rPr>
        <w:t>og</w:t>
      </w:r>
      <w:r w:rsidRPr="006631BB">
        <w:rPr>
          <w:noProof/>
          <w:color w:val="000000" w:themeColor="text1"/>
          <w:vertAlign w:val="subscript"/>
        </w:rPr>
        <w:t>10</w:t>
      </w:r>
      <w:r w:rsidRPr="006631BB">
        <w:rPr>
          <w:noProof/>
          <w:color w:val="000000" w:themeColor="text1"/>
        </w:rPr>
        <w:t xml:space="preserve"> regression for male </w:t>
      </w:r>
      <w:r w:rsidRPr="006631BB">
        <w:rPr>
          <w:i/>
          <w:noProof/>
          <w:color w:val="000000" w:themeColor="text1"/>
        </w:rPr>
        <w:t>Pan troglodytes</w:t>
      </w:r>
      <w:r>
        <w:rPr>
          <w:noProof/>
          <w:color w:val="000000" w:themeColor="text1"/>
        </w:rPr>
        <w:t xml:space="preserve"> upper vs. lower limb.</w:t>
      </w:r>
      <w:bookmarkEnd w:id="523"/>
      <w:proofErr w:type="gramEnd"/>
    </w:p>
    <w:p w:rsidR="00DA333B" w:rsidRPr="00CA5FBB" w:rsidRDefault="00253A6D" w:rsidP="008F6AD8">
      <w:pPr>
        <w:tabs>
          <w:tab w:val="left" w:pos="360"/>
        </w:tabs>
        <w:spacing w:after="120" w:line="240" w:lineRule="auto"/>
        <w:rPr>
          <w:b/>
          <w:noProof/>
          <w:color w:val="000000" w:themeColor="text1"/>
        </w:rPr>
      </w:pPr>
      <w:bookmarkStart w:id="524" w:name="_Toc373180166"/>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22</w:t>
      </w:r>
      <w:r w:rsidR="008943E4">
        <w:rPr>
          <w:b/>
        </w:rPr>
        <w:fldChar w:fldCharType="end"/>
      </w:r>
      <w:r w:rsidR="002E17E6" w:rsidRPr="004F6F92">
        <w:rPr>
          <w:noProof/>
          <w:color w:val="000000" w:themeColor="text1"/>
        </w:rPr>
        <w:t xml:space="preserve"> Regression summary for male </w:t>
      </w:r>
      <w:r w:rsidR="002E17E6" w:rsidRPr="004F6F92">
        <w:rPr>
          <w:i/>
          <w:noProof/>
          <w:color w:val="000000" w:themeColor="text1"/>
        </w:rPr>
        <w:t>Pan troglodytes</w:t>
      </w:r>
      <w:r w:rsidR="002E17E6" w:rsidRPr="004F6F92">
        <w:rPr>
          <w:noProof/>
          <w:color w:val="000000" w:themeColor="text1"/>
        </w:rPr>
        <w:t xml:space="preserve"> upper vs. lower limb</w:t>
      </w:r>
      <w:r w:rsidR="00DA333B" w:rsidRPr="004F6F92">
        <w:rPr>
          <w:noProof/>
          <w:color w:val="000000" w:themeColor="text1"/>
        </w:rPr>
        <w:t>.</w:t>
      </w:r>
      <w:bookmarkEnd w:id="524"/>
    </w:p>
    <w:tbl>
      <w:tblPr>
        <w:tblW w:w="9371" w:type="dxa"/>
        <w:jc w:val="center"/>
        <w:tblInd w:w="93" w:type="dxa"/>
        <w:tblBorders>
          <w:top w:val="single" w:sz="4" w:space="0" w:color="auto"/>
          <w:bottom w:val="single" w:sz="4" w:space="0" w:color="auto"/>
        </w:tblBorders>
        <w:tblLook w:val="04A0" w:firstRow="1" w:lastRow="0" w:firstColumn="1" w:lastColumn="0" w:noHBand="0" w:noVBand="1"/>
      </w:tblPr>
      <w:tblGrid>
        <w:gridCol w:w="1240"/>
        <w:gridCol w:w="960"/>
        <w:gridCol w:w="2260"/>
        <w:gridCol w:w="2140"/>
        <w:gridCol w:w="2771"/>
      </w:tblGrid>
      <w:tr w:rsidR="004F6F92" w:rsidRPr="00A96744" w:rsidTr="00A96744">
        <w:trPr>
          <w:trHeight w:val="300"/>
          <w:jc w:val="center"/>
        </w:trPr>
        <w:tc>
          <w:tcPr>
            <w:tcW w:w="1240" w:type="dxa"/>
            <w:tcBorders>
              <w:top w:val="single" w:sz="4" w:space="0" w:color="auto"/>
              <w:bottom w:val="single" w:sz="4" w:space="0" w:color="auto"/>
            </w:tcBorders>
            <w:shd w:val="clear" w:color="auto" w:fill="auto"/>
            <w:noWrap/>
            <w:vAlign w:val="center"/>
            <w:hideMark/>
          </w:tcPr>
          <w:p w:rsidR="00A35CA0" w:rsidRPr="00CA5FBB" w:rsidRDefault="00A96744" w:rsidP="00CA5FBB">
            <w:pPr>
              <w:spacing w:before="0" w:line="240" w:lineRule="auto"/>
              <w:jc w:val="center"/>
              <w:rPr>
                <w:rFonts w:eastAsia="Times New Roman"/>
                <w:b/>
                <w:color w:val="000000" w:themeColor="text1"/>
                <w:lang w:val="en-GB" w:eastAsia="en-GB"/>
              </w:rPr>
            </w:pPr>
            <w:r w:rsidRPr="00A96744">
              <w:rPr>
                <w:rFonts w:eastAsia="Times New Roman"/>
                <w:b/>
                <w:color w:val="000000" w:themeColor="text1"/>
                <w:lang w:eastAsia="en-GB"/>
              </w:rPr>
              <w:t>m</w:t>
            </w:r>
            <w:r w:rsidR="008943E4" w:rsidRPr="00CA5FBB">
              <w:rPr>
                <w:rFonts w:eastAsia="Times New Roman"/>
                <w:b/>
                <w:color w:val="000000" w:themeColor="text1"/>
                <w:lang w:eastAsia="en-GB"/>
              </w:rPr>
              <w:t>odel</w:t>
            </w:r>
          </w:p>
        </w:tc>
        <w:tc>
          <w:tcPr>
            <w:tcW w:w="960" w:type="dxa"/>
            <w:tcBorders>
              <w:top w:val="single" w:sz="4" w:space="0" w:color="auto"/>
              <w:bottom w:val="single" w:sz="4" w:space="0" w:color="auto"/>
            </w:tcBorders>
            <w:shd w:val="clear" w:color="auto" w:fill="auto"/>
            <w:noWrap/>
            <w:vAlign w:val="center"/>
            <w:hideMark/>
          </w:tcPr>
          <w:p w:rsidR="00A35CA0" w:rsidRPr="00CA5FBB" w:rsidRDefault="00A96744" w:rsidP="00CA5FBB">
            <w:pPr>
              <w:spacing w:before="0" w:line="240" w:lineRule="auto"/>
              <w:jc w:val="center"/>
              <w:rPr>
                <w:rFonts w:eastAsia="Times New Roman"/>
                <w:b/>
                <w:color w:val="000000" w:themeColor="text1"/>
                <w:lang w:val="en-GB" w:eastAsia="en-GB"/>
              </w:rPr>
            </w:pPr>
            <w:r w:rsidRPr="00A96744">
              <w:rPr>
                <w:b/>
                <w:i/>
                <w:noProof/>
              </w:rPr>
              <w:t>R</w:t>
            </w:r>
          </w:p>
        </w:tc>
        <w:tc>
          <w:tcPr>
            <w:tcW w:w="2260" w:type="dxa"/>
            <w:tcBorders>
              <w:top w:val="single" w:sz="4" w:space="0" w:color="auto"/>
              <w:bottom w:val="single" w:sz="4" w:space="0" w:color="auto"/>
            </w:tcBorders>
            <w:shd w:val="clear" w:color="auto" w:fill="auto"/>
            <w:noWrap/>
            <w:vAlign w:val="center"/>
            <w:hideMark/>
          </w:tcPr>
          <w:p w:rsidR="00A35CA0" w:rsidRPr="00CA5FBB" w:rsidRDefault="00A96744" w:rsidP="00CA5FBB">
            <w:pPr>
              <w:spacing w:before="0" w:line="240" w:lineRule="auto"/>
              <w:jc w:val="center"/>
              <w:rPr>
                <w:rFonts w:eastAsia="Times New Roman"/>
                <w:b/>
                <w:color w:val="000000" w:themeColor="text1"/>
                <w:lang w:val="en-GB" w:eastAsia="en-GB"/>
              </w:rPr>
            </w:pPr>
            <w:r w:rsidRPr="00A96744">
              <w:rPr>
                <w:b/>
                <w:i/>
                <w:noProof/>
              </w:rPr>
              <w:t>R</w:t>
            </w:r>
            <w:r w:rsidRPr="00A96744">
              <w:rPr>
                <w:b/>
                <w:noProof/>
                <w:vertAlign w:val="superscript"/>
              </w:rPr>
              <w:t>2</w:t>
            </w:r>
          </w:p>
        </w:tc>
        <w:tc>
          <w:tcPr>
            <w:tcW w:w="2140" w:type="dxa"/>
            <w:tcBorders>
              <w:top w:val="single" w:sz="4" w:space="0" w:color="auto"/>
              <w:bottom w:val="single" w:sz="4" w:space="0" w:color="auto"/>
            </w:tcBorders>
            <w:shd w:val="clear" w:color="auto" w:fill="auto"/>
            <w:noWrap/>
            <w:vAlign w:val="center"/>
            <w:hideMark/>
          </w:tcPr>
          <w:p w:rsidR="00A35CA0" w:rsidRPr="00CA5FBB" w:rsidRDefault="00A96744" w:rsidP="00CA5FBB">
            <w:pPr>
              <w:spacing w:before="0" w:line="240" w:lineRule="auto"/>
              <w:jc w:val="center"/>
              <w:rPr>
                <w:rFonts w:eastAsia="Times New Roman"/>
                <w:b/>
                <w:color w:val="000000" w:themeColor="text1"/>
                <w:lang w:val="en-GB" w:eastAsia="en-GB"/>
              </w:rPr>
            </w:pPr>
            <w:r w:rsidRPr="00A96744">
              <w:rPr>
                <w:rFonts w:eastAsia="Times New Roman"/>
                <w:b/>
                <w:color w:val="000000" w:themeColor="text1"/>
                <w:lang w:eastAsia="en-GB"/>
              </w:rPr>
              <w:t>a</w:t>
            </w:r>
            <w:r w:rsidR="008943E4" w:rsidRPr="00CA5FBB">
              <w:rPr>
                <w:rFonts w:eastAsia="Times New Roman"/>
                <w:b/>
                <w:color w:val="000000" w:themeColor="text1"/>
                <w:lang w:eastAsia="en-GB"/>
              </w:rPr>
              <w:t xml:space="preserve">djusted </w:t>
            </w:r>
            <w:r w:rsidRPr="00A96744">
              <w:rPr>
                <w:b/>
                <w:i/>
                <w:noProof/>
              </w:rPr>
              <w:t>R</w:t>
            </w:r>
            <w:r w:rsidRPr="00A96744">
              <w:rPr>
                <w:b/>
                <w:noProof/>
                <w:vertAlign w:val="superscript"/>
              </w:rPr>
              <w:t>2</w:t>
            </w:r>
          </w:p>
        </w:tc>
        <w:tc>
          <w:tcPr>
            <w:tcW w:w="2771" w:type="dxa"/>
            <w:tcBorders>
              <w:top w:val="single" w:sz="4" w:space="0" w:color="auto"/>
              <w:bottom w:val="single" w:sz="4" w:space="0" w:color="auto"/>
            </w:tcBorders>
            <w:shd w:val="clear" w:color="auto" w:fill="auto"/>
            <w:noWrap/>
            <w:vAlign w:val="center"/>
            <w:hideMark/>
          </w:tcPr>
          <w:p w:rsidR="00A35CA0" w:rsidRPr="00CA5FBB" w:rsidRDefault="00A96744" w:rsidP="00CA5FBB">
            <w:pPr>
              <w:spacing w:before="0" w:line="240" w:lineRule="auto"/>
              <w:jc w:val="center"/>
              <w:rPr>
                <w:rFonts w:eastAsia="Times New Roman"/>
                <w:b/>
                <w:color w:val="000000" w:themeColor="text1"/>
                <w:lang w:val="en-GB" w:eastAsia="en-GB"/>
              </w:rPr>
            </w:pPr>
            <w:r w:rsidRPr="00A96744">
              <w:rPr>
                <w:rFonts w:eastAsia="Times New Roman"/>
                <w:b/>
                <w:color w:val="000000" w:themeColor="text1"/>
                <w:lang w:eastAsia="en-GB"/>
              </w:rPr>
              <w:t>s</w:t>
            </w:r>
            <w:r w:rsidR="008943E4" w:rsidRPr="00CA5FBB">
              <w:rPr>
                <w:rFonts w:eastAsia="Times New Roman"/>
                <w:b/>
                <w:color w:val="000000" w:themeColor="text1"/>
                <w:lang w:eastAsia="en-GB"/>
              </w:rPr>
              <w:t xml:space="preserve">td. </w:t>
            </w:r>
            <w:r w:rsidRPr="00A96744">
              <w:rPr>
                <w:rFonts w:eastAsia="Times New Roman"/>
                <w:b/>
                <w:color w:val="000000" w:themeColor="text1"/>
                <w:lang w:eastAsia="en-GB"/>
              </w:rPr>
              <w:t>e</w:t>
            </w:r>
            <w:r w:rsidR="008943E4" w:rsidRPr="00CA5FBB">
              <w:rPr>
                <w:rFonts w:eastAsia="Times New Roman"/>
                <w:b/>
                <w:color w:val="000000" w:themeColor="text1"/>
                <w:lang w:eastAsia="en-GB"/>
              </w:rPr>
              <w:t xml:space="preserve">rror of the </w:t>
            </w:r>
            <w:r w:rsidRPr="00A96744">
              <w:rPr>
                <w:rFonts w:eastAsia="Times New Roman"/>
                <w:b/>
                <w:color w:val="000000" w:themeColor="text1"/>
                <w:lang w:eastAsia="en-GB"/>
              </w:rPr>
              <w:t>e</w:t>
            </w:r>
            <w:r w:rsidR="008943E4" w:rsidRPr="00CA5FBB">
              <w:rPr>
                <w:rFonts w:eastAsia="Times New Roman"/>
                <w:b/>
                <w:color w:val="000000" w:themeColor="text1"/>
                <w:lang w:eastAsia="en-GB"/>
              </w:rPr>
              <w:t>stimate</w:t>
            </w:r>
          </w:p>
        </w:tc>
      </w:tr>
      <w:tr w:rsidR="004F6F92" w:rsidRPr="004F6F92" w:rsidTr="00A96744">
        <w:trPr>
          <w:trHeight w:val="360"/>
          <w:jc w:val="center"/>
        </w:trPr>
        <w:tc>
          <w:tcPr>
            <w:tcW w:w="1240" w:type="dxa"/>
            <w:tcBorders>
              <w:top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color w:val="000000" w:themeColor="text1"/>
                <w:lang w:val="en-GB" w:eastAsia="en-GB"/>
              </w:rPr>
            </w:pPr>
            <w:r w:rsidRPr="00CA5FBB">
              <w:rPr>
                <w:rFonts w:eastAsia="Times New Roman"/>
                <w:color w:val="000000" w:themeColor="text1"/>
                <w:lang w:eastAsia="en-GB"/>
              </w:rPr>
              <w:t>1</w:t>
            </w:r>
          </w:p>
        </w:tc>
        <w:tc>
          <w:tcPr>
            <w:tcW w:w="960" w:type="dxa"/>
            <w:tcBorders>
              <w:top w:val="single" w:sz="4" w:space="0" w:color="auto"/>
            </w:tcBorders>
            <w:shd w:val="clear" w:color="auto" w:fill="auto"/>
            <w:noWrap/>
            <w:vAlign w:val="center"/>
            <w:hideMark/>
          </w:tcPr>
          <w:p w:rsidR="00A35CA0" w:rsidRPr="00CA5FBB" w:rsidRDefault="00AE53F6" w:rsidP="00CA5FBB">
            <w:pPr>
              <w:spacing w:before="0" w:line="240" w:lineRule="auto"/>
              <w:jc w:val="center"/>
              <w:rPr>
                <w:rFonts w:eastAsia="Times New Roman"/>
                <w:color w:val="000000" w:themeColor="text1"/>
                <w:lang w:val="en-GB" w:eastAsia="en-GB"/>
              </w:rPr>
            </w:pPr>
            <w:r>
              <w:rPr>
                <w:rFonts w:eastAsia="Times New Roman"/>
                <w:color w:val="000000" w:themeColor="text1"/>
                <w:lang w:eastAsia="en-GB"/>
              </w:rPr>
              <w:t>0</w:t>
            </w:r>
            <w:r w:rsidR="008943E4" w:rsidRPr="00CA5FBB">
              <w:rPr>
                <w:rFonts w:eastAsia="Times New Roman"/>
                <w:color w:val="000000" w:themeColor="text1"/>
                <w:lang w:eastAsia="en-GB"/>
              </w:rPr>
              <w:t>.985</w:t>
            </w:r>
            <w:r w:rsidR="008943E4" w:rsidRPr="00CA5FBB">
              <w:rPr>
                <w:rFonts w:eastAsia="Times New Roman"/>
                <w:color w:val="000000" w:themeColor="text1"/>
                <w:vertAlign w:val="superscript"/>
                <w:lang w:eastAsia="en-GB"/>
              </w:rPr>
              <w:t>a</w:t>
            </w:r>
          </w:p>
        </w:tc>
        <w:tc>
          <w:tcPr>
            <w:tcW w:w="2260" w:type="dxa"/>
            <w:tcBorders>
              <w:top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color w:val="000000" w:themeColor="text1"/>
                <w:lang w:val="en-GB" w:eastAsia="en-GB"/>
              </w:rPr>
            </w:pPr>
            <w:r w:rsidRPr="00CA5FBB">
              <w:rPr>
                <w:rFonts w:eastAsia="Times New Roman"/>
                <w:color w:val="000000" w:themeColor="text1"/>
                <w:lang w:eastAsia="en-GB"/>
              </w:rPr>
              <w:t>0.97</w:t>
            </w:r>
          </w:p>
        </w:tc>
        <w:tc>
          <w:tcPr>
            <w:tcW w:w="2140" w:type="dxa"/>
            <w:tcBorders>
              <w:top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color w:val="000000" w:themeColor="text1"/>
                <w:lang w:val="en-GB" w:eastAsia="en-GB"/>
              </w:rPr>
            </w:pPr>
            <w:r w:rsidRPr="00CA5FBB">
              <w:rPr>
                <w:rFonts w:eastAsia="Times New Roman"/>
                <w:color w:val="000000" w:themeColor="text1"/>
                <w:lang w:eastAsia="en-GB"/>
              </w:rPr>
              <w:t>0.969</w:t>
            </w:r>
          </w:p>
        </w:tc>
        <w:tc>
          <w:tcPr>
            <w:tcW w:w="2771" w:type="dxa"/>
            <w:tcBorders>
              <w:top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color w:val="000000" w:themeColor="text1"/>
                <w:lang w:val="en-GB" w:eastAsia="en-GB"/>
              </w:rPr>
            </w:pPr>
            <w:r w:rsidRPr="00CA5FBB">
              <w:rPr>
                <w:rFonts w:eastAsia="Times New Roman"/>
                <w:color w:val="000000" w:themeColor="text1"/>
                <w:lang w:eastAsia="en-GB"/>
              </w:rPr>
              <w:t>0.01557</w:t>
            </w:r>
          </w:p>
        </w:tc>
      </w:tr>
    </w:tbl>
    <w:p w:rsidR="00A35CA0" w:rsidRDefault="00556D98" w:rsidP="00CA5FBB">
      <w:pPr>
        <w:pStyle w:val="ListParagraph"/>
        <w:numPr>
          <w:ilvl w:val="0"/>
          <w:numId w:val="44"/>
        </w:numPr>
        <w:tabs>
          <w:tab w:val="left" w:pos="360"/>
        </w:tabs>
        <w:spacing w:before="0" w:line="240" w:lineRule="auto"/>
        <w:ind w:hanging="860"/>
        <w:rPr>
          <w:rFonts w:eastAsia="Times New Roman"/>
          <w:color w:val="000000"/>
          <w:sz w:val="20"/>
          <w:szCs w:val="20"/>
          <w:lang w:eastAsia="en-GB"/>
        </w:rPr>
      </w:pPr>
      <w:r w:rsidRPr="00556D98">
        <w:rPr>
          <w:rFonts w:eastAsia="Times New Roman"/>
          <w:color w:val="000000"/>
          <w:sz w:val="20"/>
          <w:szCs w:val="20"/>
          <w:lang w:eastAsia="en-GB"/>
        </w:rPr>
        <w:t xml:space="preserve">Predictors: (Constant), </w:t>
      </w:r>
      <w:r w:rsidRPr="00556D98">
        <w:rPr>
          <w:rFonts w:eastAsia="Times New Roman"/>
          <w:i/>
          <w:color w:val="000000"/>
          <w:sz w:val="20"/>
          <w:szCs w:val="20"/>
          <w:lang w:eastAsia="en-GB"/>
        </w:rPr>
        <w:t>Pan troglodytes</w:t>
      </w:r>
      <w:r w:rsidRPr="00556D98">
        <w:rPr>
          <w:rFonts w:eastAsia="Times New Roman"/>
          <w:color w:val="000000"/>
          <w:sz w:val="20"/>
          <w:szCs w:val="20"/>
          <w:lang w:eastAsia="en-GB"/>
        </w:rPr>
        <w:t xml:space="preserve"> male lower limb</w:t>
      </w:r>
    </w:p>
    <w:p w:rsidR="0035295B" w:rsidRDefault="00FB0B3A">
      <w:pPr>
        <w:rPr>
          <w:noProof/>
          <w:color w:val="000000" w:themeColor="text1"/>
        </w:rPr>
      </w:pPr>
      <w:r>
        <w:rPr>
          <w:noProof/>
          <w:color w:val="000000" w:themeColor="text1"/>
        </w:rPr>
        <w:t xml:space="preserve">Regression analysis </w:t>
      </w:r>
      <w:r w:rsidR="00FF7E4F">
        <w:rPr>
          <w:noProof/>
          <w:color w:val="000000" w:themeColor="text1"/>
        </w:rPr>
        <w:t xml:space="preserve">was carried out for </w:t>
      </w:r>
      <w:r w:rsidR="00FF7E4F">
        <w:rPr>
          <w:i/>
          <w:noProof/>
          <w:color w:val="000000" w:themeColor="text1"/>
        </w:rPr>
        <w:t xml:space="preserve">Pan </w:t>
      </w:r>
      <w:r w:rsidR="00FF7E4F" w:rsidRPr="00FF7E4F">
        <w:rPr>
          <w:i/>
          <w:noProof/>
          <w:color w:val="000000" w:themeColor="text1"/>
        </w:rPr>
        <w:t>troglodytes</w:t>
      </w:r>
      <w:r w:rsidR="00FF7E4F">
        <w:rPr>
          <w:noProof/>
          <w:color w:val="000000" w:themeColor="text1"/>
        </w:rPr>
        <w:t xml:space="preserve"> females and both </w:t>
      </w:r>
      <w:r>
        <w:rPr>
          <w:noProof/>
          <w:color w:val="000000" w:themeColor="text1"/>
        </w:rPr>
        <w:t xml:space="preserve">male and female </w:t>
      </w:r>
      <w:r>
        <w:rPr>
          <w:i/>
          <w:noProof/>
          <w:color w:val="000000" w:themeColor="text1"/>
        </w:rPr>
        <w:t>Pan paniscus</w:t>
      </w:r>
      <w:r w:rsidR="00FF7E4F">
        <w:rPr>
          <w:noProof/>
          <w:color w:val="000000" w:themeColor="text1"/>
        </w:rPr>
        <w:t xml:space="preserve">.  </w:t>
      </w:r>
      <w:r w:rsidR="00C26C3E">
        <w:rPr>
          <w:noProof/>
          <w:color w:val="000000" w:themeColor="text1"/>
        </w:rPr>
        <w:t>Detailed</w:t>
      </w:r>
      <w:r w:rsidR="00FF7E4F">
        <w:rPr>
          <w:noProof/>
          <w:color w:val="000000" w:themeColor="text1"/>
        </w:rPr>
        <w:t xml:space="preserve"> results are available </w:t>
      </w:r>
      <w:r w:rsidR="00C26C3E" w:rsidRPr="00C26C3E">
        <w:rPr>
          <w:noProof/>
          <w:color w:val="000000" w:themeColor="text1"/>
        </w:rPr>
        <w:t>in appendix section</w:t>
      </w:r>
      <w:r w:rsidR="00FF7E4F" w:rsidRPr="00C26C3E">
        <w:rPr>
          <w:noProof/>
          <w:color w:val="000000" w:themeColor="text1"/>
        </w:rPr>
        <w:t xml:space="preserve"> </w:t>
      </w:r>
      <w:r w:rsidR="00C26C3E" w:rsidRPr="00C26C3E">
        <w:rPr>
          <w:noProof/>
          <w:color w:val="000000" w:themeColor="text1"/>
        </w:rPr>
        <w:t>8.6</w:t>
      </w:r>
      <w:r w:rsidR="009469D8">
        <w:rPr>
          <w:noProof/>
          <w:color w:val="000000" w:themeColor="text1"/>
        </w:rPr>
        <w:t>.  Table 4.</w:t>
      </w:r>
      <w:r w:rsidR="00916D5D">
        <w:rPr>
          <w:noProof/>
          <w:color w:val="000000" w:themeColor="text1"/>
        </w:rPr>
        <w:t>2</w:t>
      </w:r>
      <w:r w:rsidR="00281EDF">
        <w:rPr>
          <w:noProof/>
          <w:color w:val="000000" w:themeColor="text1"/>
        </w:rPr>
        <w:t>3</w:t>
      </w:r>
      <w:r w:rsidR="00FF7E4F">
        <w:rPr>
          <w:noProof/>
          <w:color w:val="000000" w:themeColor="text1"/>
        </w:rPr>
        <w:t xml:space="preserve"> b</w:t>
      </w:r>
      <w:r w:rsidR="002A2B71">
        <w:rPr>
          <w:noProof/>
          <w:color w:val="000000" w:themeColor="text1"/>
        </w:rPr>
        <w:t xml:space="preserve">elow </w:t>
      </w:r>
      <w:r>
        <w:rPr>
          <w:noProof/>
          <w:color w:val="000000" w:themeColor="text1"/>
        </w:rPr>
        <w:t>presents</w:t>
      </w:r>
      <w:r w:rsidR="002A2B71">
        <w:rPr>
          <w:noProof/>
          <w:color w:val="000000" w:themeColor="text1"/>
        </w:rPr>
        <w:t xml:space="preserve"> </w:t>
      </w:r>
      <w:r w:rsidR="00A13FD6">
        <w:rPr>
          <w:i/>
          <w:noProof/>
        </w:rPr>
        <w:t>R</w:t>
      </w:r>
      <w:r w:rsidR="00A13FD6" w:rsidRPr="00592EBF">
        <w:rPr>
          <w:noProof/>
          <w:vertAlign w:val="superscript"/>
        </w:rPr>
        <w:t>2</w:t>
      </w:r>
      <w:r w:rsidR="00A13FD6">
        <w:rPr>
          <w:noProof/>
          <w:vertAlign w:val="superscript"/>
        </w:rPr>
        <w:t xml:space="preserve"> </w:t>
      </w:r>
      <w:r w:rsidR="002A2B71">
        <w:rPr>
          <w:noProof/>
          <w:color w:val="000000" w:themeColor="text1"/>
        </w:rPr>
        <w:t>values from these analyses.</w:t>
      </w:r>
      <w:r w:rsidR="00B02653">
        <w:rPr>
          <w:noProof/>
          <w:color w:val="000000" w:themeColor="text1"/>
        </w:rPr>
        <w:t xml:space="preserve">  All </w:t>
      </w:r>
      <w:r w:rsidR="00A13FD6">
        <w:rPr>
          <w:i/>
          <w:noProof/>
        </w:rPr>
        <w:t>R</w:t>
      </w:r>
      <w:r w:rsidR="00A13FD6" w:rsidRPr="00592EBF">
        <w:rPr>
          <w:noProof/>
          <w:vertAlign w:val="superscript"/>
        </w:rPr>
        <w:t>2</w:t>
      </w:r>
      <w:r w:rsidR="00B02653">
        <w:rPr>
          <w:noProof/>
          <w:color w:val="000000" w:themeColor="text1"/>
        </w:rPr>
        <w:t xml:space="preserve"> results demonstrated a linear relationship for both species and sexes.</w:t>
      </w:r>
      <w:r w:rsidR="00916D5D">
        <w:rPr>
          <w:noProof/>
          <w:color w:val="000000" w:themeColor="text1"/>
        </w:rPr>
        <w:t xml:space="preserve">  Figure 4.</w:t>
      </w:r>
      <w:r w:rsidR="00281EDF">
        <w:rPr>
          <w:noProof/>
          <w:color w:val="000000" w:themeColor="text1"/>
        </w:rPr>
        <w:t>22</w:t>
      </w:r>
      <w:r w:rsidR="005620CF">
        <w:rPr>
          <w:noProof/>
          <w:color w:val="000000" w:themeColor="text1"/>
        </w:rPr>
        <w:t xml:space="preserve"> shows </w:t>
      </w:r>
      <w:r w:rsidR="005620CF">
        <w:rPr>
          <w:i/>
          <w:noProof/>
          <w:color w:val="000000" w:themeColor="text1"/>
        </w:rPr>
        <w:t>Pan troglodytes</w:t>
      </w:r>
      <w:r w:rsidR="005620CF">
        <w:rPr>
          <w:noProof/>
          <w:color w:val="000000" w:themeColor="text1"/>
        </w:rPr>
        <w:t xml:space="preserve"> and </w:t>
      </w:r>
      <w:r w:rsidR="005620CF">
        <w:rPr>
          <w:i/>
          <w:noProof/>
          <w:color w:val="000000" w:themeColor="text1"/>
        </w:rPr>
        <w:t xml:space="preserve">Pan paniscus </w:t>
      </w:r>
      <w:r w:rsidR="005620CF">
        <w:rPr>
          <w:noProof/>
          <w:color w:val="000000" w:themeColor="text1"/>
        </w:rPr>
        <w:t>male regression lines plotted together.  Figure 4.</w:t>
      </w:r>
      <w:r w:rsidR="00281EDF">
        <w:rPr>
          <w:noProof/>
          <w:color w:val="000000" w:themeColor="text1"/>
        </w:rPr>
        <w:t>23</w:t>
      </w:r>
      <w:r w:rsidR="005620CF">
        <w:rPr>
          <w:noProof/>
          <w:color w:val="000000" w:themeColor="text1"/>
        </w:rPr>
        <w:t xml:space="preserve"> presents the same information for </w:t>
      </w:r>
      <w:r w:rsidR="005620CF">
        <w:rPr>
          <w:i/>
          <w:noProof/>
          <w:color w:val="000000" w:themeColor="text1"/>
        </w:rPr>
        <w:t xml:space="preserve">Pan troglodytes </w:t>
      </w:r>
      <w:r w:rsidR="005620CF">
        <w:rPr>
          <w:noProof/>
          <w:color w:val="000000" w:themeColor="text1"/>
        </w:rPr>
        <w:t xml:space="preserve">and </w:t>
      </w:r>
      <w:r w:rsidR="005620CF">
        <w:rPr>
          <w:i/>
          <w:noProof/>
          <w:color w:val="000000" w:themeColor="text1"/>
        </w:rPr>
        <w:t>Pan paniscus</w:t>
      </w:r>
      <w:r w:rsidR="005620CF">
        <w:rPr>
          <w:noProof/>
          <w:color w:val="000000" w:themeColor="text1"/>
        </w:rPr>
        <w:t xml:space="preserve"> females.</w:t>
      </w:r>
      <w:r w:rsidR="00D40D11">
        <w:rPr>
          <w:noProof/>
          <w:color w:val="000000" w:themeColor="text1"/>
        </w:rPr>
        <w:t xml:space="preserve">  Table 4.</w:t>
      </w:r>
      <w:r w:rsidR="00281EDF">
        <w:rPr>
          <w:noProof/>
          <w:color w:val="000000" w:themeColor="text1"/>
        </w:rPr>
        <w:t>24</w:t>
      </w:r>
      <w:r w:rsidR="00D40D11">
        <w:rPr>
          <w:noProof/>
          <w:color w:val="000000" w:themeColor="text1"/>
        </w:rPr>
        <w:t xml:space="preserve"> presents the regression equations for Figures </w:t>
      </w:r>
      <w:r w:rsidR="00281EDF">
        <w:rPr>
          <w:noProof/>
          <w:color w:val="000000" w:themeColor="text1"/>
        </w:rPr>
        <w:t>4.22</w:t>
      </w:r>
      <w:r w:rsidR="00D40D11">
        <w:rPr>
          <w:noProof/>
          <w:color w:val="000000" w:themeColor="text1"/>
        </w:rPr>
        <w:t xml:space="preserve"> and </w:t>
      </w:r>
      <w:r w:rsidR="00281EDF">
        <w:rPr>
          <w:noProof/>
          <w:color w:val="000000" w:themeColor="text1"/>
        </w:rPr>
        <w:t>4.23</w:t>
      </w:r>
      <w:r w:rsidR="00D40D11">
        <w:rPr>
          <w:noProof/>
          <w:color w:val="000000" w:themeColor="text1"/>
        </w:rPr>
        <w:t>.</w:t>
      </w:r>
    </w:p>
    <w:p w:rsidR="0035295B" w:rsidRDefault="0035295B">
      <w:pPr>
        <w:spacing w:before="0" w:after="200" w:line="276" w:lineRule="auto"/>
        <w:jc w:val="left"/>
        <w:rPr>
          <w:noProof/>
          <w:color w:val="000000" w:themeColor="text1"/>
        </w:rPr>
      </w:pPr>
      <w:r>
        <w:rPr>
          <w:noProof/>
          <w:color w:val="000000" w:themeColor="text1"/>
        </w:rPr>
        <w:br w:type="page"/>
      </w:r>
    </w:p>
    <w:p w:rsidR="00F56D33" w:rsidRDefault="00DA001A" w:rsidP="008F6AD8">
      <w:pPr>
        <w:tabs>
          <w:tab w:val="left" w:pos="360"/>
        </w:tabs>
        <w:spacing w:after="120" w:line="240" w:lineRule="auto"/>
        <w:rPr>
          <w:noProof/>
          <w:color w:val="000000" w:themeColor="text1"/>
        </w:rPr>
      </w:pPr>
      <w:bookmarkStart w:id="525" w:name="_Toc373180167"/>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23</w:t>
      </w:r>
      <w:r w:rsidR="008943E4">
        <w:rPr>
          <w:b/>
        </w:rPr>
        <w:fldChar w:fldCharType="end"/>
      </w:r>
      <w:r w:rsidR="00E64E97">
        <w:rPr>
          <w:noProof/>
          <w:color w:val="000000" w:themeColor="text1"/>
        </w:rPr>
        <w:t xml:space="preserve"> Regression r-squared values for limb comparisons of</w:t>
      </w:r>
      <w:r w:rsidR="00E64E97" w:rsidRPr="00E24FB1">
        <w:rPr>
          <w:noProof/>
          <w:color w:val="000000" w:themeColor="text1"/>
        </w:rPr>
        <w:t xml:space="preserve"> </w:t>
      </w:r>
      <w:r w:rsidR="00E64E97" w:rsidRPr="00E24FB1">
        <w:rPr>
          <w:i/>
          <w:noProof/>
          <w:color w:val="000000" w:themeColor="text1"/>
        </w:rPr>
        <w:t xml:space="preserve">Pan troglodytes </w:t>
      </w:r>
      <w:r w:rsidR="00E64E97" w:rsidRPr="00E24FB1">
        <w:rPr>
          <w:noProof/>
          <w:color w:val="000000" w:themeColor="text1"/>
        </w:rPr>
        <w:t xml:space="preserve">females and </w:t>
      </w:r>
      <w:r w:rsidR="00E64E97" w:rsidRPr="00E24FB1">
        <w:rPr>
          <w:i/>
          <w:noProof/>
          <w:color w:val="000000" w:themeColor="text1"/>
        </w:rPr>
        <w:t>Pan paniscus</w:t>
      </w:r>
      <w:r w:rsidR="00E64E97" w:rsidRPr="00E24FB1">
        <w:rPr>
          <w:noProof/>
          <w:color w:val="000000" w:themeColor="text1"/>
        </w:rPr>
        <w:t xml:space="preserve"> males and females</w:t>
      </w:r>
      <w:bookmarkEnd w:id="525"/>
    </w:p>
    <w:tbl>
      <w:tblPr>
        <w:tblW w:w="7859" w:type="dxa"/>
        <w:jc w:val="center"/>
        <w:tblInd w:w="-630" w:type="dxa"/>
        <w:tblBorders>
          <w:top w:val="single" w:sz="4" w:space="0" w:color="auto"/>
          <w:bottom w:val="single" w:sz="4" w:space="0" w:color="auto"/>
        </w:tblBorders>
        <w:tblLook w:val="04A0" w:firstRow="1" w:lastRow="0" w:firstColumn="1" w:lastColumn="0" w:noHBand="0" w:noVBand="1"/>
      </w:tblPr>
      <w:tblGrid>
        <w:gridCol w:w="2614"/>
        <w:gridCol w:w="993"/>
        <w:gridCol w:w="1275"/>
        <w:gridCol w:w="1418"/>
        <w:gridCol w:w="1559"/>
      </w:tblGrid>
      <w:tr w:rsidR="000F6CE9" w:rsidRPr="000F6CE9" w:rsidTr="00763CDF">
        <w:trPr>
          <w:trHeight w:val="300"/>
          <w:jc w:val="center"/>
        </w:trPr>
        <w:tc>
          <w:tcPr>
            <w:tcW w:w="2614" w:type="dxa"/>
            <w:tcBorders>
              <w:top w:val="single" w:sz="4" w:space="0" w:color="auto"/>
              <w:bottom w:val="single" w:sz="4" w:space="0" w:color="auto"/>
            </w:tcBorders>
            <w:shd w:val="clear" w:color="auto" w:fill="auto"/>
            <w:noWrap/>
            <w:vAlign w:val="center"/>
            <w:hideMark/>
          </w:tcPr>
          <w:p w:rsidR="000F6CE9" w:rsidRPr="000F6CE9" w:rsidRDefault="00763CDF" w:rsidP="000F6CE9">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0F6CE9" w:rsidRPr="000F6CE9">
              <w:rPr>
                <w:rFonts w:eastAsia="Times New Roman"/>
                <w:b/>
                <w:bCs/>
                <w:color w:val="000000"/>
                <w:lang w:val="en-GB" w:eastAsia="en-GB"/>
              </w:rPr>
              <w:t>pecies/sex</w:t>
            </w:r>
          </w:p>
        </w:tc>
        <w:tc>
          <w:tcPr>
            <w:tcW w:w="993" w:type="dxa"/>
            <w:tcBorders>
              <w:top w:val="single" w:sz="4" w:space="0" w:color="auto"/>
              <w:bottom w:val="single" w:sz="4" w:space="0" w:color="auto"/>
            </w:tcBorders>
            <w:shd w:val="clear" w:color="auto" w:fill="auto"/>
            <w:noWrap/>
            <w:vAlign w:val="center"/>
            <w:hideMark/>
          </w:tcPr>
          <w:p w:rsidR="000F6CE9" w:rsidRPr="00763CDF" w:rsidRDefault="000F6CE9" w:rsidP="000F6CE9">
            <w:pPr>
              <w:spacing w:before="0" w:line="240" w:lineRule="auto"/>
              <w:jc w:val="center"/>
              <w:rPr>
                <w:rFonts w:eastAsia="Times New Roman"/>
                <w:b/>
                <w:bCs/>
                <w:i/>
                <w:color w:val="000000"/>
                <w:lang w:val="en-GB" w:eastAsia="en-GB"/>
              </w:rPr>
            </w:pPr>
            <w:r w:rsidRPr="00763CDF">
              <w:rPr>
                <w:rFonts w:eastAsia="Times New Roman"/>
                <w:b/>
                <w:bCs/>
                <w:i/>
                <w:color w:val="000000"/>
                <w:lang w:eastAsia="en-GB"/>
              </w:rPr>
              <w:t>R</w:t>
            </w:r>
          </w:p>
        </w:tc>
        <w:tc>
          <w:tcPr>
            <w:tcW w:w="1275" w:type="dxa"/>
            <w:tcBorders>
              <w:top w:val="single" w:sz="4" w:space="0" w:color="auto"/>
              <w:bottom w:val="single" w:sz="4" w:space="0" w:color="auto"/>
            </w:tcBorders>
            <w:shd w:val="clear" w:color="auto" w:fill="auto"/>
            <w:noWrap/>
            <w:vAlign w:val="center"/>
            <w:hideMark/>
          </w:tcPr>
          <w:p w:rsidR="000F6CE9" w:rsidRPr="000F6CE9" w:rsidRDefault="000F6CE9" w:rsidP="00763CDF">
            <w:pPr>
              <w:spacing w:before="0" w:line="240" w:lineRule="auto"/>
              <w:jc w:val="center"/>
              <w:rPr>
                <w:rFonts w:eastAsia="Times New Roman"/>
                <w:b/>
                <w:bCs/>
                <w:color w:val="000000"/>
                <w:lang w:val="en-GB" w:eastAsia="en-GB"/>
              </w:rPr>
            </w:pPr>
            <w:r w:rsidRPr="00763CDF">
              <w:rPr>
                <w:rFonts w:eastAsia="Times New Roman"/>
                <w:b/>
                <w:bCs/>
                <w:i/>
                <w:color w:val="000000"/>
                <w:lang w:eastAsia="en-GB"/>
              </w:rPr>
              <w:t>R</w:t>
            </w:r>
            <w:r w:rsidR="00763CDF" w:rsidRPr="00763CDF">
              <w:rPr>
                <w:rFonts w:eastAsia="Times New Roman"/>
                <w:b/>
                <w:bCs/>
                <w:color w:val="000000"/>
                <w:vertAlign w:val="superscript"/>
                <w:lang w:eastAsia="en-GB"/>
              </w:rPr>
              <w:t>2</w:t>
            </w:r>
          </w:p>
        </w:tc>
        <w:tc>
          <w:tcPr>
            <w:tcW w:w="1418" w:type="dxa"/>
            <w:tcBorders>
              <w:top w:val="single" w:sz="4" w:space="0" w:color="auto"/>
              <w:bottom w:val="single" w:sz="4" w:space="0" w:color="auto"/>
            </w:tcBorders>
            <w:shd w:val="clear" w:color="auto" w:fill="auto"/>
            <w:noWrap/>
            <w:vAlign w:val="center"/>
            <w:hideMark/>
          </w:tcPr>
          <w:p w:rsidR="000F6CE9" w:rsidRPr="000F6CE9" w:rsidRDefault="00763CDF" w:rsidP="000F6CE9">
            <w:pPr>
              <w:spacing w:before="0" w:line="240" w:lineRule="auto"/>
              <w:jc w:val="center"/>
              <w:rPr>
                <w:rFonts w:eastAsia="Times New Roman"/>
                <w:b/>
                <w:bCs/>
                <w:color w:val="000000"/>
                <w:lang w:val="en-GB" w:eastAsia="en-GB"/>
              </w:rPr>
            </w:pPr>
            <w:r>
              <w:rPr>
                <w:rFonts w:eastAsia="Times New Roman"/>
                <w:b/>
                <w:bCs/>
                <w:color w:val="000000"/>
                <w:lang w:eastAsia="en-GB"/>
              </w:rPr>
              <w:t>a</w:t>
            </w:r>
            <w:r w:rsidR="000F6CE9" w:rsidRPr="000F6CE9">
              <w:rPr>
                <w:rFonts w:eastAsia="Times New Roman"/>
                <w:b/>
                <w:bCs/>
                <w:color w:val="000000"/>
                <w:lang w:eastAsia="en-GB"/>
              </w:rPr>
              <w:t xml:space="preserve">djusted </w:t>
            </w:r>
            <w:r w:rsidRPr="00763CDF">
              <w:rPr>
                <w:rFonts w:eastAsia="Times New Roman"/>
                <w:b/>
                <w:bCs/>
                <w:i/>
                <w:color w:val="000000"/>
                <w:lang w:eastAsia="en-GB"/>
              </w:rPr>
              <w:t>R</w:t>
            </w:r>
            <w:r w:rsidRPr="00763CDF">
              <w:rPr>
                <w:rFonts w:eastAsia="Times New Roman"/>
                <w:b/>
                <w:bCs/>
                <w:color w:val="000000"/>
                <w:vertAlign w:val="superscript"/>
                <w:lang w:eastAsia="en-GB"/>
              </w:rPr>
              <w:t>2</w:t>
            </w:r>
          </w:p>
        </w:tc>
        <w:tc>
          <w:tcPr>
            <w:tcW w:w="1559" w:type="dxa"/>
            <w:tcBorders>
              <w:top w:val="single" w:sz="4" w:space="0" w:color="auto"/>
              <w:bottom w:val="single" w:sz="4" w:space="0" w:color="auto"/>
            </w:tcBorders>
            <w:shd w:val="clear" w:color="auto" w:fill="auto"/>
            <w:noWrap/>
            <w:vAlign w:val="center"/>
            <w:hideMark/>
          </w:tcPr>
          <w:p w:rsidR="000F6CE9" w:rsidRPr="000F6CE9" w:rsidRDefault="00763CDF" w:rsidP="00763CDF">
            <w:pPr>
              <w:spacing w:before="0" w:line="240" w:lineRule="auto"/>
              <w:jc w:val="center"/>
              <w:rPr>
                <w:rFonts w:eastAsia="Times New Roman"/>
                <w:b/>
                <w:bCs/>
                <w:color w:val="000000"/>
                <w:lang w:val="en-GB" w:eastAsia="en-GB"/>
              </w:rPr>
            </w:pPr>
            <w:r>
              <w:rPr>
                <w:rFonts w:eastAsia="Times New Roman"/>
                <w:b/>
                <w:bCs/>
                <w:color w:val="000000"/>
                <w:lang w:eastAsia="en-GB"/>
              </w:rPr>
              <w:t>s</w:t>
            </w:r>
            <w:r w:rsidR="000F6CE9" w:rsidRPr="000F6CE9">
              <w:rPr>
                <w:rFonts w:eastAsia="Times New Roman"/>
                <w:b/>
                <w:bCs/>
                <w:color w:val="000000"/>
                <w:lang w:eastAsia="en-GB"/>
              </w:rPr>
              <w:t xml:space="preserve">td. </w:t>
            </w:r>
            <w:r>
              <w:rPr>
                <w:rFonts w:eastAsia="Times New Roman"/>
                <w:b/>
                <w:bCs/>
                <w:color w:val="000000"/>
                <w:lang w:eastAsia="en-GB"/>
              </w:rPr>
              <w:t>e</w:t>
            </w:r>
            <w:r w:rsidR="000F6CE9" w:rsidRPr="000F6CE9">
              <w:rPr>
                <w:rFonts w:eastAsia="Times New Roman"/>
                <w:b/>
                <w:bCs/>
                <w:color w:val="000000"/>
                <w:lang w:eastAsia="en-GB"/>
              </w:rPr>
              <w:t xml:space="preserve">rror of the </w:t>
            </w:r>
            <w:r>
              <w:rPr>
                <w:rFonts w:eastAsia="Times New Roman"/>
                <w:b/>
                <w:bCs/>
                <w:color w:val="000000"/>
                <w:lang w:eastAsia="en-GB"/>
              </w:rPr>
              <w:t>e</w:t>
            </w:r>
            <w:r w:rsidR="000F6CE9" w:rsidRPr="000F6CE9">
              <w:rPr>
                <w:rFonts w:eastAsia="Times New Roman"/>
                <w:b/>
                <w:bCs/>
                <w:color w:val="000000"/>
                <w:lang w:eastAsia="en-GB"/>
              </w:rPr>
              <w:t>stimate</w:t>
            </w:r>
          </w:p>
        </w:tc>
      </w:tr>
      <w:tr w:rsidR="000F6CE9" w:rsidRPr="000F6CE9" w:rsidTr="00763CDF">
        <w:trPr>
          <w:trHeight w:val="300"/>
          <w:jc w:val="center"/>
        </w:trPr>
        <w:tc>
          <w:tcPr>
            <w:tcW w:w="2614" w:type="dxa"/>
            <w:tcBorders>
              <w:top w:val="single" w:sz="4" w:space="0" w:color="auto"/>
            </w:tcBorders>
            <w:shd w:val="clear" w:color="auto" w:fill="auto"/>
            <w:noWrap/>
            <w:vAlign w:val="center"/>
            <w:hideMark/>
          </w:tcPr>
          <w:p w:rsidR="000F6CE9" w:rsidRPr="000F6CE9" w:rsidRDefault="000F6CE9" w:rsidP="000F6CE9">
            <w:pPr>
              <w:spacing w:before="0" w:line="240" w:lineRule="auto"/>
              <w:jc w:val="left"/>
              <w:rPr>
                <w:rFonts w:eastAsia="Times New Roman"/>
                <w:color w:val="000000"/>
                <w:lang w:val="en-GB" w:eastAsia="en-GB"/>
              </w:rPr>
            </w:pPr>
            <w:r w:rsidRPr="000F6CE9">
              <w:rPr>
                <w:rFonts w:eastAsia="Times New Roman"/>
                <w:i/>
                <w:color w:val="000000"/>
                <w:lang w:val="en-GB" w:eastAsia="en-GB"/>
              </w:rPr>
              <w:t>Pan troglodytes</w:t>
            </w:r>
            <w:r w:rsidRPr="000F6CE9">
              <w:rPr>
                <w:rFonts w:eastAsia="Times New Roman"/>
                <w:color w:val="000000"/>
                <w:lang w:val="en-GB" w:eastAsia="en-GB"/>
              </w:rPr>
              <w:t xml:space="preserve"> males</w:t>
            </w:r>
          </w:p>
        </w:tc>
        <w:tc>
          <w:tcPr>
            <w:tcW w:w="993" w:type="dxa"/>
            <w:tcBorders>
              <w:top w:val="single" w:sz="4" w:space="0" w:color="auto"/>
            </w:tcBorders>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val="en-GB" w:eastAsia="en-GB"/>
              </w:rPr>
              <w:t>0.985</w:t>
            </w:r>
            <w:r w:rsidRPr="000F6CE9">
              <w:rPr>
                <w:rFonts w:eastAsia="Times New Roman"/>
                <w:color w:val="000000"/>
                <w:vertAlign w:val="superscript"/>
                <w:lang w:val="en-GB" w:eastAsia="en-GB"/>
              </w:rPr>
              <w:t>1.</w:t>
            </w:r>
          </w:p>
        </w:tc>
        <w:tc>
          <w:tcPr>
            <w:tcW w:w="1275" w:type="dxa"/>
            <w:tcBorders>
              <w:top w:val="single" w:sz="4" w:space="0" w:color="auto"/>
            </w:tcBorders>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0.97</w:t>
            </w:r>
          </w:p>
        </w:tc>
        <w:tc>
          <w:tcPr>
            <w:tcW w:w="1418" w:type="dxa"/>
            <w:tcBorders>
              <w:top w:val="single" w:sz="4" w:space="0" w:color="auto"/>
            </w:tcBorders>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0.969</w:t>
            </w:r>
          </w:p>
        </w:tc>
        <w:tc>
          <w:tcPr>
            <w:tcW w:w="1559" w:type="dxa"/>
            <w:tcBorders>
              <w:top w:val="single" w:sz="4" w:space="0" w:color="auto"/>
            </w:tcBorders>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0.01557</w:t>
            </w:r>
          </w:p>
        </w:tc>
      </w:tr>
      <w:tr w:rsidR="000F6CE9" w:rsidRPr="000F6CE9" w:rsidTr="00763CDF">
        <w:trPr>
          <w:trHeight w:val="300"/>
          <w:jc w:val="center"/>
        </w:trPr>
        <w:tc>
          <w:tcPr>
            <w:tcW w:w="2614" w:type="dxa"/>
            <w:shd w:val="clear" w:color="auto" w:fill="auto"/>
            <w:noWrap/>
            <w:vAlign w:val="center"/>
            <w:hideMark/>
          </w:tcPr>
          <w:p w:rsidR="000F6CE9" w:rsidRPr="000F6CE9" w:rsidRDefault="000F6CE9" w:rsidP="000F6CE9">
            <w:pPr>
              <w:spacing w:before="0" w:line="240" w:lineRule="auto"/>
              <w:jc w:val="left"/>
              <w:rPr>
                <w:rFonts w:eastAsia="Times New Roman"/>
                <w:color w:val="000000"/>
                <w:lang w:val="en-GB" w:eastAsia="en-GB"/>
              </w:rPr>
            </w:pPr>
            <w:r w:rsidRPr="000F6CE9">
              <w:rPr>
                <w:rFonts w:eastAsia="Times New Roman"/>
                <w:i/>
                <w:color w:val="000000"/>
                <w:lang w:val="en-GB" w:eastAsia="en-GB"/>
              </w:rPr>
              <w:t>Pan troglodytes</w:t>
            </w:r>
            <w:r w:rsidRPr="000F6CE9">
              <w:rPr>
                <w:rFonts w:eastAsia="Times New Roman"/>
                <w:color w:val="000000"/>
                <w:lang w:val="en-GB" w:eastAsia="en-GB"/>
              </w:rPr>
              <w:t xml:space="preserve"> females</w:t>
            </w:r>
          </w:p>
        </w:tc>
        <w:tc>
          <w:tcPr>
            <w:tcW w:w="993"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val="en-GB" w:eastAsia="en-GB"/>
              </w:rPr>
              <w:t>0.991</w:t>
            </w:r>
            <w:r w:rsidRPr="000F6CE9">
              <w:rPr>
                <w:rFonts w:eastAsia="Times New Roman"/>
                <w:color w:val="000000"/>
                <w:vertAlign w:val="superscript"/>
                <w:lang w:val="en-GB" w:eastAsia="en-GB"/>
              </w:rPr>
              <w:t>2.</w:t>
            </w:r>
          </w:p>
        </w:tc>
        <w:tc>
          <w:tcPr>
            <w:tcW w:w="1275"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0.983</w:t>
            </w:r>
          </w:p>
        </w:tc>
        <w:tc>
          <w:tcPr>
            <w:tcW w:w="1418"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0.983</w:t>
            </w:r>
          </w:p>
        </w:tc>
        <w:tc>
          <w:tcPr>
            <w:tcW w:w="1559"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0.0113</w:t>
            </w:r>
          </w:p>
        </w:tc>
      </w:tr>
      <w:tr w:rsidR="000F6CE9" w:rsidRPr="000F6CE9" w:rsidTr="00763CDF">
        <w:trPr>
          <w:trHeight w:val="300"/>
          <w:jc w:val="center"/>
        </w:trPr>
        <w:tc>
          <w:tcPr>
            <w:tcW w:w="2614" w:type="dxa"/>
            <w:shd w:val="clear" w:color="auto" w:fill="auto"/>
            <w:noWrap/>
            <w:vAlign w:val="center"/>
            <w:hideMark/>
          </w:tcPr>
          <w:p w:rsidR="000F6CE9" w:rsidRPr="000F6CE9" w:rsidRDefault="000F6CE9" w:rsidP="000F6CE9">
            <w:pPr>
              <w:spacing w:before="0" w:line="240" w:lineRule="auto"/>
              <w:jc w:val="left"/>
              <w:rPr>
                <w:rFonts w:eastAsia="Times New Roman"/>
                <w:color w:val="000000"/>
                <w:lang w:val="en-GB" w:eastAsia="en-GB"/>
              </w:rPr>
            </w:pPr>
            <w:r w:rsidRPr="000F6CE9">
              <w:rPr>
                <w:rFonts w:eastAsia="Times New Roman"/>
                <w:i/>
                <w:color w:val="000000"/>
                <w:lang w:val="en-GB" w:eastAsia="en-GB"/>
              </w:rPr>
              <w:t>Pan paniscus</w:t>
            </w:r>
            <w:r w:rsidRPr="000F6CE9">
              <w:rPr>
                <w:rFonts w:eastAsia="Times New Roman"/>
                <w:color w:val="000000"/>
                <w:lang w:val="en-GB" w:eastAsia="en-GB"/>
              </w:rPr>
              <w:t xml:space="preserve"> males</w:t>
            </w:r>
          </w:p>
        </w:tc>
        <w:tc>
          <w:tcPr>
            <w:tcW w:w="993"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val="en-GB" w:eastAsia="en-GB"/>
              </w:rPr>
              <w:t>0.995</w:t>
            </w:r>
            <w:r w:rsidRPr="000F6CE9">
              <w:rPr>
                <w:rFonts w:eastAsia="Times New Roman"/>
                <w:color w:val="000000"/>
                <w:vertAlign w:val="superscript"/>
                <w:lang w:val="en-GB" w:eastAsia="en-GB"/>
              </w:rPr>
              <w:t>3.</w:t>
            </w:r>
          </w:p>
        </w:tc>
        <w:tc>
          <w:tcPr>
            <w:tcW w:w="1275"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0.991</w:t>
            </w:r>
          </w:p>
        </w:tc>
        <w:tc>
          <w:tcPr>
            <w:tcW w:w="1418"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0.99</w:t>
            </w:r>
          </w:p>
        </w:tc>
        <w:tc>
          <w:tcPr>
            <w:tcW w:w="1559"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0.01071</w:t>
            </w:r>
          </w:p>
        </w:tc>
      </w:tr>
      <w:tr w:rsidR="000F6CE9" w:rsidRPr="000F6CE9" w:rsidTr="00763CDF">
        <w:trPr>
          <w:trHeight w:val="300"/>
          <w:jc w:val="center"/>
        </w:trPr>
        <w:tc>
          <w:tcPr>
            <w:tcW w:w="2614" w:type="dxa"/>
            <w:shd w:val="clear" w:color="auto" w:fill="auto"/>
            <w:noWrap/>
            <w:vAlign w:val="center"/>
            <w:hideMark/>
          </w:tcPr>
          <w:p w:rsidR="000F6CE9" w:rsidRPr="000F6CE9" w:rsidRDefault="000F6CE9" w:rsidP="000F6CE9">
            <w:pPr>
              <w:spacing w:before="0" w:line="240" w:lineRule="auto"/>
              <w:jc w:val="left"/>
              <w:rPr>
                <w:rFonts w:eastAsia="Times New Roman"/>
                <w:color w:val="000000"/>
                <w:lang w:val="en-GB" w:eastAsia="en-GB"/>
              </w:rPr>
            </w:pPr>
            <w:r w:rsidRPr="000F6CE9">
              <w:rPr>
                <w:rFonts w:eastAsia="Times New Roman"/>
                <w:i/>
                <w:color w:val="000000"/>
                <w:lang w:val="en-GB" w:eastAsia="en-GB"/>
              </w:rPr>
              <w:t>Pan paniscus</w:t>
            </w:r>
            <w:r w:rsidRPr="000F6CE9">
              <w:rPr>
                <w:rFonts w:eastAsia="Times New Roman"/>
                <w:color w:val="000000"/>
                <w:lang w:val="en-GB" w:eastAsia="en-GB"/>
              </w:rPr>
              <w:t xml:space="preserve"> females</w:t>
            </w:r>
          </w:p>
        </w:tc>
        <w:tc>
          <w:tcPr>
            <w:tcW w:w="993"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val="en-GB" w:eastAsia="en-GB"/>
              </w:rPr>
              <w:t>0.995</w:t>
            </w:r>
            <w:r w:rsidRPr="000F6CE9">
              <w:rPr>
                <w:rFonts w:eastAsia="Times New Roman"/>
                <w:color w:val="000000"/>
                <w:vertAlign w:val="superscript"/>
                <w:lang w:val="en-GB" w:eastAsia="en-GB"/>
              </w:rPr>
              <w:t>4.</w:t>
            </w:r>
          </w:p>
        </w:tc>
        <w:tc>
          <w:tcPr>
            <w:tcW w:w="1275"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0.99</w:t>
            </w:r>
          </w:p>
        </w:tc>
        <w:tc>
          <w:tcPr>
            <w:tcW w:w="1418"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0.988</w:t>
            </w:r>
          </w:p>
        </w:tc>
        <w:tc>
          <w:tcPr>
            <w:tcW w:w="1559" w:type="dxa"/>
            <w:shd w:val="clear" w:color="auto" w:fill="auto"/>
            <w:noWrap/>
            <w:vAlign w:val="center"/>
            <w:hideMark/>
          </w:tcPr>
          <w:p w:rsidR="000F6CE9" w:rsidRPr="000F6CE9" w:rsidRDefault="000F6CE9" w:rsidP="000F6CE9">
            <w:pPr>
              <w:spacing w:before="0" w:line="240" w:lineRule="auto"/>
              <w:jc w:val="center"/>
              <w:rPr>
                <w:rFonts w:eastAsia="Times New Roman"/>
                <w:color w:val="000000"/>
                <w:lang w:val="en-GB" w:eastAsia="en-GB"/>
              </w:rPr>
            </w:pPr>
            <w:r w:rsidRPr="000F6CE9">
              <w:rPr>
                <w:rFonts w:eastAsia="Times New Roman"/>
                <w:color w:val="000000"/>
                <w:lang w:eastAsia="en-GB"/>
              </w:rPr>
              <w:t>0.00977</w:t>
            </w:r>
          </w:p>
        </w:tc>
      </w:tr>
    </w:tbl>
    <w:p w:rsidR="00A35CA0" w:rsidRDefault="008D0C5F" w:rsidP="00CA5FBB">
      <w:pPr>
        <w:tabs>
          <w:tab w:val="left" w:pos="360"/>
        </w:tabs>
        <w:spacing w:before="120" w:line="240" w:lineRule="auto"/>
        <w:ind w:firstLine="629"/>
        <w:rPr>
          <w:noProof/>
          <w:color w:val="000000" w:themeColor="text1"/>
        </w:rPr>
      </w:pPr>
      <w:r w:rsidRPr="00014379">
        <w:rPr>
          <w:rFonts w:eastAsia="Times New Roman"/>
          <w:color w:val="000000" w:themeColor="text1"/>
          <w:sz w:val="20"/>
          <w:szCs w:val="20"/>
          <w:lang w:eastAsia="en-GB"/>
        </w:rPr>
        <w:t xml:space="preserve">1. Predictors: (Constant), </w:t>
      </w:r>
      <w:r w:rsidRPr="00014379">
        <w:rPr>
          <w:rFonts w:eastAsia="Times New Roman"/>
          <w:i/>
          <w:color w:val="000000" w:themeColor="text1"/>
          <w:sz w:val="20"/>
          <w:szCs w:val="20"/>
          <w:lang w:eastAsia="en-GB"/>
        </w:rPr>
        <w:t>P</w:t>
      </w:r>
      <w:r w:rsidR="00014379" w:rsidRPr="00014379">
        <w:rPr>
          <w:rFonts w:eastAsia="Times New Roman"/>
          <w:i/>
          <w:color w:val="000000" w:themeColor="text1"/>
          <w:sz w:val="20"/>
          <w:szCs w:val="20"/>
          <w:lang w:eastAsia="en-GB"/>
        </w:rPr>
        <w:t xml:space="preserve">an </w:t>
      </w:r>
      <w:proofErr w:type="gramStart"/>
      <w:r w:rsidR="00014379" w:rsidRPr="00014379">
        <w:rPr>
          <w:rFonts w:eastAsia="Times New Roman"/>
          <w:i/>
          <w:color w:val="000000" w:themeColor="text1"/>
          <w:sz w:val="20"/>
          <w:szCs w:val="20"/>
          <w:lang w:eastAsia="en-GB"/>
        </w:rPr>
        <w:t>troglodytes</w:t>
      </w:r>
      <w:proofErr w:type="gramEnd"/>
      <w:r w:rsidR="00014379" w:rsidRPr="00014379">
        <w:rPr>
          <w:rFonts w:eastAsia="Times New Roman"/>
          <w:color w:val="000000" w:themeColor="text1"/>
          <w:sz w:val="20"/>
          <w:szCs w:val="20"/>
          <w:lang w:eastAsia="en-GB"/>
        </w:rPr>
        <w:t xml:space="preserve"> males lower limb</w:t>
      </w:r>
    </w:p>
    <w:p w:rsidR="00A35CA0" w:rsidRDefault="008D0C5F" w:rsidP="00CA5FBB">
      <w:pPr>
        <w:tabs>
          <w:tab w:val="left" w:pos="360"/>
        </w:tabs>
        <w:spacing w:before="0" w:line="240" w:lineRule="auto"/>
        <w:ind w:firstLine="630"/>
        <w:rPr>
          <w:noProof/>
          <w:color w:val="000000" w:themeColor="text1"/>
        </w:rPr>
      </w:pPr>
      <w:r w:rsidRPr="00014379">
        <w:rPr>
          <w:rFonts w:eastAsia="Times New Roman"/>
          <w:color w:val="000000" w:themeColor="text1"/>
          <w:sz w:val="20"/>
          <w:szCs w:val="20"/>
          <w:lang w:val="en-GB" w:eastAsia="en-GB"/>
        </w:rPr>
        <w:t xml:space="preserve">2. Predictors: (Constant), </w:t>
      </w:r>
      <w:r w:rsidRPr="00014379">
        <w:rPr>
          <w:rFonts w:eastAsia="Times New Roman"/>
          <w:i/>
          <w:color w:val="000000" w:themeColor="text1"/>
          <w:sz w:val="20"/>
          <w:szCs w:val="20"/>
          <w:lang w:val="en-GB" w:eastAsia="en-GB"/>
        </w:rPr>
        <w:t>P</w:t>
      </w:r>
      <w:r w:rsidR="00014379" w:rsidRPr="00014379">
        <w:rPr>
          <w:rFonts w:eastAsia="Times New Roman"/>
          <w:i/>
          <w:color w:val="000000" w:themeColor="text1"/>
          <w:sz w:val="20"/>
          <w:szCs w:val="20"/>
          <w:lang w:val="en-GB" w:eastAsia="en-GB"/>
        </w:rPr>
        <w:t xml:space="preserve">an </w:t>
      </w:r>
      <w:proofErr w:type="gramStart"/>
      <w:r w:rsidR="00014379" w:rsidRPr="00014379">
        <w:rPr>
          <w:rFonts w:eastAsia="Times New Roman"/>
          <w:i/>
          <w:color w:val="000000" w:themeColor="text1"/>
          <w:sz w:val="20"/>
          <w:szCs w:val="20"/>
          <w:lang w:val="en-GB" w:eastAsia="en-GB"/>
        </w:rPr>
        <w:t>troglodytes</w:t>
      </w:r>
      <w:proofErr w:type="gramEnd"/>
      <w:r w:rsidR="00014379" w:rsidRPr="00014379">
        <w:rPr>
          <w:rFonts w:eastAsia="Times New Roman"/>
          <w:color w:val="000000" w:themeColor="text1"/>
          <w:sz w:val="20"/>
          <w:szCs w:val="20"/>
          <w:lang w:val="en-GB" w:eastAsia="en-GB"/>
        </w:rPr>
        <w:t xml:space="preserve"> females lower limb</w:t>
      </w:r>
    </w:p>
    <w:p w:rsidR="00A35CA0" w:rsidRDefault="008D0C5F" w:rsidP="00CA5FBB">
      <w:pPr>
        <w:tabs>
          <w:tab w:val="left" w:pos="360"/>
        </w:tabs>
        <w:spacing w:before="0" w:line="240" w:lineRule="auto"/>
        <w:ind w:firstLine="630"/>
        <w:rPr>
          <w:noProof/>
          <w:color w:val="000000" w:themeColor="text1"/>
        </w:rPr>
      </w:pPr>
      <w:r w:rsidRPr="00014379">
        <w:rPr>
          <w:rFonts w:eastAsia="Times New Roman"/>
          <w:color w:val="000000" w:themeColor="text1"/>
          <w:sz w:val="20"/>
          <w:szCs w:val="20"/>
          <w:lang w:eastAsia="en-GB"/>
        </w:rPr>
        <w:t xml:space="preserve">3. Predictors: (Constant), </w:t>
      </w:r>
      <w:r w:rsidRPr="00014379">
        <w:rPr>
          <w:rFonts w:eastAsia="Times New Roman"/>
          <w:i/>
          <w:color w:val="000000" w:themeColor="text1"/>
          <w:sz w:val="20"/>
          <w:szCs w:val="20"/>
          <w:lang w:eastAsia="en-GB"/>
        </w:rPr>
        <w:t>P</w:t>
      </w:r>
      <w:r w:rsidR="00014379" w:rsidRPr="00014379">
        <w:rPr>
          <w:rFonts w:eastAsia="Times New Roman"/>
          <w:i/>
          <w:color w:val="000000" w:themeColor="text1"/>
          <w:sz w:val="20"/>
          <w:szCs w:val="20"/>
          <w:lang w:eastAsia="en-GB"/>
        </w:rPr>
        <w:t xml:space="preserve">an </w:t>
      </w:r>
      <w:proofErr w:type="gramStart"/>
      <w:r w:rsidR="00014379" w:rsidRPr="00014379">
        <w:rPr>
          <w:rFonts w:eastAsia="Times New Roman"/>
          <w:i/>
          <w:color w:val="000000" w:themeColor="text1"/>
          <w:sz w:val="20"/>
          <w:szCs w:val="20"/>
          <w:lang w:eastAsia="en-GB"/>
        </w:rPr>
        <w:t>paniscus</w:t>
      </w:r>
      <w:proofErr w:type="gramEnd"/>
      <w:r w:rsidR="00014379" w:rsidRPr="00014379">
        <w:rPr>
          <w:rFonts w:eastAsia="Times New Roman"/>
          <w:color w:val="000000" w:themeColor="text1"/>
          <w:sz w:val="20"/>
          <w:szCs w:val="20"/>
          <w:lang w:eastAsia="en-GB"/>
        </w:rPr>
        <w:t xml:space="preserve"> males lower limb</w:t>
      </w:r>
    </w:p>
    <w:p w:rsidR="00A35CA0" w:rsidRDefault="008D0C5F" w:rsidP="00CA5FBB">
      <w:pPr>
        <w:tabs>
          <w:tab w:val="left" w:pos="360"/>
        </w:tabs>
        <w:spacing w:before="0" w:line="240" w:lineRule="auto"/>
        <w:ind w:firstLine="630"/>
        <w:rPr>
          <w:b/>
          <w:noProof/>
          <w:color w:val="000000" w:themeColor="text1"/>
        </w:rPr>
      </w:pPr>
      <w:r w:rsidRPr="00014379">
        <w:rPr>
          <w:rFonts w:eastAsia="Times New Roman"/>
          <w:color w:val="000000" w:themeColor="text1"/>
          <w:sz w:val="20"/>
          <w:szCs w:val="20"/>
          <w:lang w:eastAsia="en-GB"/>
        </w:rPr>
        <w:t xml:space="preserve">4. Predictors: (Constant), </w:t>
      </w:r>
      <w:r w:rsidR="00014379" w:rsidRPr="00014379">
        <w:rPr>
          <w:rFonts w:eastAsia="Times New Roman"/>
          <w:i/>
          <w:color w:val="000000" w:themeColor="text1"/>
          <w:sz w:val="20"/>
          <w:szCs w:val="20"/>
          <w:lang w:eastAsia="en-GB"/>
        </w:rPr>
        <w:t xml:space="preserve">Pan </w:t>
      </w:r>
      <w:proofErr w:type="gramStart"/>
      <w:r w:rsidR="00014379" w:rsidRPr="00014379">
        <w:rPr>
          <w:rFonts w:eastAsia="Times New Roman"/>
          <w:i/>
          <w:color w:val="000000" w:themeColor="text1"/>
          <w:sz w:val="20"/>
          <w:szCs w:val="20"/>
          <w:lang w:eastAsia="en-GB"/>
        </w:rPr>
        <w:t>paniscus</w:t>
      </w:r>
      <w:proofErr w:type="gramEnd"/>
      <w:r w:rsidR="00014379" w:rsidRPr="00014379">
        <w:rPr>
          <w:rFonts w:eastAsia="Times New Roman"/>
          <w:color w:val="000000" w:themeColor="text1"/>
          <w:sz w:val="20"/>
          <w:szCs w:val="20"/>
          <w:lang w:eastAsia="en-GB"/>
        </w:rPr>
        <w:t xml:space="preserve"> females </w:t>
      </w:r>
      <w:r w:rsidR="00014379" w:rsidRPr="000F6CE9">
        <w:rPr>
          <w:rFonts w:eastAsia="Times New Roman"/>
          <w:color w:val="000000" w:themeColor="text1"/>
          <w:sz w:val="20"/>
          <w:szCs w:val="20"/>
          <w:lang w:eastAsia="en-GB"/>
        </w:rPr>
        <w:t>lower limb</w:t>
      </w:r>
    </w:p>
    <w:p w:rsidR="00466FBF" w:rsidRDefault="00466FBF" w:rsidP="00466FBF">
      <w:pPr>
        <w:tabs>
          <w:tab w:val="left" w:pos="360"/>
        </w:tabs>
        <w:spacing w:line="240" w:lineRule="auto"/>
        <w:jc w:val="center"/>
        <w:rPr>
          <w:b/>
        </w:rPr>
      </w:pPr>
      <w:bookmarkStart w:id="526" w:name="_Toc373147482"/>
      <w:r>
        <w:rPr>
          <w:noProof/>
          <w:color w:val="000000" w:themeColor="text1"/>
          <w:lang w:val="en-GB" w:eastAsia="en-GB"/>
        </w:rPr>
        <w:drawing>
          <wp:inline distT="0" distB="0" distL="0" distR="0" wp14:anchorId="64DF2561" wp14:editId="5FA9DA98">
            <wp:extent cx="5191125" cy="41719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1125" cy="4171950"/>
                    </a:xfrm>
                    <a:prstGeom prst="rect">
                      <a:avLst/>
                    </a:prstGeom>
                    <a:noFill/>
                    <a:ln>
                      <a:noFill/>
                    </a:ln>
                  </pic:spPr>
                </pic:pic>
              </a:graphicData>
            </a:graphic>
          </wp:inline>
        </w:drawing>
      </w:r>
    </w:p>
    <w:p w:rsidR="00A35CA0" w:rsidRDefault="00290F1D" w:rsidP="00CA5FBB">
      <w:pPr>
        <w:tabs>
          <w:tab w:val="left" w:pos="360"/>
        </w:tabs>
        <w:spacing w:line="240" w:lineRule="auto"/>
        <w:jc w:val="left"/>
        <w:rPr>
          <w:noProof/>
          <w:color w:val="000000" w:themeColor="text1"/>
        </w:rPr>
      </w:pPr>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22</w:t>
      </w:r>
      <w:r w:rsidR="008943E4" w:rsidRPr="00997A01">
        <w:rPr>
          <w:b/>
        </w:rPr>
        <w:fldChar w:fldCharType="end"/>
      </w:r>
      <w:r>
        <w:rPr>
          <w:noProof/>
          <w:color w:val="000000" w:themeColor="text1"/>
        </w:rPr>
        <w:t xml:space="preserve"> Regression </w:t>
      </w:r>
      <w:r w:rsidR="00870DAA">
        <w:rPr>
          <w:noProof/>
          <w:color w:val="000000" w:themeColor="text1"/>
        </w:rPr>
        <w:t>plot</w:t>
      </w:r>
      <w:r>
        <w:rPr>
          <w:noProof/>
          <w:color w:val="000000" w:themeColor="text1"/>
        </w:rPr>
        <w:t xml:space="preserve"> </w:t>
      </w:r>
      <w:r w:rsidR="00870DAA">
        <w:rPr>
          <w:noProof/>
          <w:color w:val="000000" w:themeColor="text1"/>
        </w:rPr>
        <w:t>of l</w:t>
      </w:r>
      <w:r w:rsidR="00870DAA" w:rsidRPr="006631BB">
        <w:rPr>
          <w:noProof/>
          <w:color w:val="000000" w:themeColor="text1"/>
        </w:rPr>
        <w:t>og</w:t>
      </w:r>
      <w:r w:rsidR="00870DAA" w:rsidRPr="006631BB">
        <w:rPr>
          <w:noProof/>
          <w:color w:val="000000" w:themeColor="text1"/>
          <w:vertAlign w:val="subscript"/>
        </w:rPr>
        <w:t>10</w:t>
      </w:r>
      <w:r>
        <w:rPr>
          <w:noProof/>
          <w:color w:val="000000" w:themeColor="text1"/>
        </w:rPr>
        <w:t xml:space="preserve"> </w:t>
      </w:r>
      <w:r w:rsidR="00870DAA">
        <w:rPr>
          <w:noProof/>
          <w:color w:val="000000" w:themeColor="text1"/>
        </w:rPr>
        <w:t xml:space="preserve">transformed intermembral indicies for </w:t>
      </w:r>
      <w:r>
        <w:rPr>
          <w:i/>
          <w:noProof/>
          <w:color w:val="000000" w:themeColor="text1"/>
        </w:rPr>
        <w:t>Pan troglodytes</w:t>
      </w:r>
      <w:r>
        <w:rPr>
          <w:noProof/>
          <w:color w:val="000000" w:themeColor="text1"/>
        </w:rPr>
        <w:t xml:space="preserve"> and </w:t>
      </w:r>
      <w:r>
        <w:rPr>
          <w:i/>
          <w:noProof/>
          <w:color w:val="000000" w:themeColor="text1"/>
        </w:rPr>
        <w:t>Pan paniscus</w:t>
      </w:r>
      <w:r>
        <w:rPr>
          <w:noProof/>
          <w:color w:val="000000" w:themeColor="text1"/>
        </w:rPr>
        <w:t xml:space="preserve"> males.</w:t>
      </w:r>
      <w:bookmarkEnd w:id="526"/>
    </w:p>
    <w:p w:rsidR="002E17E6" w:rsidRDefault="00466FBF" w:rsidP="002E17E6">
      <w:pPr>
        <w:tabs>
          <w:tab w:val="left" w:pos="360"/>
        </w:tabs>
        <w:spacing w:line="240" w:lineRule="auto"/>
        <w:jc w:val="center"/>
        <w:rPr>
          <w:noProof/>
          <w:color w:val="000000" w:themeColor="text1"/>
        </w:rPr>
      </w:pPr>
      <w:r>
        <w:rPr>
          <w:noProof/>
          <w:color w:val="000000" w:themeColor="text1"/>
          <w:lang w:val="en-GB" w:eastAsia="en-GB"/>
        </w:rPr>
        <w:lastRenderedPageBreak/>
        <w:drawing>
          <wp:inline distT="0" distB="0" distL="0" distR="0">
            <wp:extent cx="5153025" cy="39528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3025" cy="3952875"/>
                    </a:xfrm>
                    <a:prstGeom prst="rect">
                      <a:avLst/>
                    </a:prstGeom>
                    <a:noFill/>
                    <a:ln>
                      <a:noFill/>
                    </a:ln>
                  </pic:spPr>
                </pic:pic>
              </a:graphicData>
            </a:graphic>
          </wp:inline>
        </w:drawing>
      </w:r>
    </w:p>
    <w:p w:rsidR="00A35CA0" w:rsidRDefault="00290F1D" w:rsidP="00CA5FBB">
      <w:pPr>
        <w:rPr>
          <w:noProof/>
        </w:rPr>
      </w:pPr>
      <w:bookmarkStart w:id="527" w:name="_Toc373147483"/>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4</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23</w:t>
      </w:r>
      <w:r w:rsidR="008943E4" w:rsidRPr="00997A01">
        <w:rPr>
          <w:b/>
        </w:rPr>
        <w:fldChar w:fldCharType="end"/>
      </w:r>
      <w:r w:rsidR="008A70C7" w:rsidRPr="0071093B">
        <w:t xml:space="preserve"> </w:t>
      </w:r>
      <w:r w:rsidR="00476C8F" w:rsidRPr="00476C8F">
        <w:rPr>
          <w:noProof/>
          <w:color w:val="000000" w:themeColor="text1"/>
        </w:rPr>
        <w:t>Regression plot of log</w:t>
      </w:r>
      <w:r w:rsidR="00476C8F" w:rsidRPr="00476C8F">
        <w:rPr>
          <w:noProof/>
          <w:color w:val="000000" w:themeColor="text1"/>
          <w:vertAlign w:val="subscript"/>
        </w:rPr>
        <w:t>10</w:t>
      </w:r>
      <w:r w:rsidR="00476C8F" w:rsidRPr="00476C8F">
        <w:rPr>
          <w:noProof/>
          <w:color w:val="000000" w:themeColor="text1"/>
        </w:rPr>
        <w:t xml:space="preserve"> transformed intermembral indicies for </w:t>
      </w:r>
      <w:r w:rsidR="00476C8F" w:rsidRPr="00476C8F">
        <w:rPr>
          <w:i/>
          <w:noProof/>
          <w:color w:val="000000" w:themeColor="text1"/>
        </w:rPr>
        <w:t>Pan troglodytes</w:t>
      </w:r>
      <w:r w:rsidR="00476C8F" w:rsidRPr="00476C8F">
        <w:rPr>
          <w:noProof/>
          <w:color w:val="000000" w:themeColor="text1"/>
        </w:rPr>
        <w:t xml:space="preserve"> and </w:t>
      </w:r>
      <w:r w:rsidR="00476C8F" w:rsidRPr="00476C8F">
        <w:rPr>
          <w:i/>
          <w:noProof/>
          <w:color w:val="000000" w:themeColor="text1"/>
        </w:rPr>
        <w:t>Pan paniscus</w:t>
      </w:r>
      <w:r w:rsidR="00476C8F" w:rsidRPr="00476C8F">
        <w:rPr>
          <w:noProof/>
          <w:color w:val="000000" w:themeColor="text1"/>
        </w:rPr>
        <w:t xml:space="preserve"> </w:t>
      </w:r>
      <w:r w:rsidR="00476C8F">
        <w:rPr>
          <w:noProof/>
          <w:color w:val="000000" w:themeColor="text1"/>
        </w:rPr>
        <w:t>fe</w:t>
      </w:r>
      <w:r w:rsidR="00476C8F" w:rsidRPr="00476C8F">
        <w:rPr>
          <w:noProof/>
          <w:color w:val="000000" w:themeColor="text1"/>
        </w:rPr>
        <w:t>males</w:t>
      </w:r>
      <w:r>
        <w:rPr>
          <w:noProof/>
          <w:color w:val="000000" w:themeColor="text1"/>
        </w:rPr>
        <w:t>.</w:t>
      </w:r>
      <w:bookmarkEnd w:id="527"/>
    </w:p>
    <w:p w:rsidR="00E74243" w:rsidRPr="00D40D11" w:rsidRDefault="00D40D11" w:rsidP="008F6AD8">
      <w:pPr>
        <w:spacing w:after="120" w:line="240" w:lineRule="auto"/>
      </w:pPr>
      <w:bookmarkStart w:id="528" w:name="_Toc373180168"/>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24</w:t>
      </w:r>
      <w:r w:rsidR="008943E4">
        <w:rPr>
          <w:b/>
        </w:rPr>
        <w:fldChar w:fldCharType="end"/>
      </w:r>
      <w:r>
        <w:rPr>
          <w:noProof/>
          <w:color w:val="000000" w:themeColor="text1"/>
        </w:rPr>
        <w:t xml:space="preserve"> Linear regression equations </w:t>
      </w:r>
      <w:r w:rsidR="00516FE9">
        <w:rPr>
          <w:noProof/>
          <w:color w:val="000000" w:themeColor="text1"/>
        </w:rPr>
        <w:t>of</w:t>
      </w:r>
      <w:r>
        <w:rPr>
          <w:noProof/>
          <w:color w:val="000000" w:themeColor="text1"/>
        </w:rPr>
        <w:t xml:space="preserve"> </w:t>
      </w:r>
      <w:r w:rsidR="00516FE9">
        <w:rPr>
          <w:noProof/>
          <w:color w:val="000000" w:themeColor="text1"/>
        </w:rPr>
        <w:t>log</w:t>
      </w:r>
      <w:r w:rsidR="00516FE9" w:rsidRPr="00516FE9">
        <w:rPr>
          <w:noProof/>
          <w:color w:val="000000" w:themeColor="text1"/>
          <w:vertAlign w:val="subscript"/>
        </w:rPr>
        <w:t>10</w:t>
      </w:r>
      <w:r w:rsidR="00516FE9">
        <w:rPr>
          <w:i/>
          <w:noProof/>
          <w:color w:val="000000" w:themeColor="text1"/>
        </w:rPr>
        <w:t xml:space="preserve"> </w:t>
      </w:r>
      <w:r w:rsidR="00516FE9">
        <w:rPr>
          <w:noProof/>
          <w:color w:val="000000" w:themeColor="text1"/>
        </w:rPr>
        <w:t xml:space="preserve">transformed limb data for </w:t>
      </w:r>
      <w:r>
        <w:rPr>
          <w:i/>
          <w:noProof/>
          <w:color w:val="000000" w:themeColor="text1"/>
        </w:rPr>
        <w:t xml:space="preserve">Pan troglodytes </w:t>
      </w:r>
      <w:r>
        <w:t xml:space="preserve">and </w:t>
      </w:r>
      <w:r>
        <w:rPr>
          <w:i/>
        </w:rPr>
        <w:t xml:space="preserve">Pan </w:t>
      </w:r>
      <w:proofErr w:type="gramStart"/>
      <w:r>
        <w:rPr>
          <w:i/>
        </w:rPr>
        <w:t>paniscus</w:t>
      </w:r>
      <w:proofErr w:type="gramEnd"/>
      <w:r w:rsidR="00516FE9">
        <w:t xml:space="preserve"> males and females</w:t>
      </w:r>
      <w:r>
        <w:t>.</w:t>
      </w:r>
      <w:bookmarkEnd w:id="528"/>
    </w:p>
    <w:tbl>
      <w:tblPr>
        <w:tblW w:w="5688" w:type="dxa"/>
        <w:jc w:val="center"/>
        <w:tblInd w:w="65" w:type="dxa"/>
        <w:tblBorders>
          <w:top w:val="single" w:sz="4" w:space="0" w:color="auto"/>
          <w:bottom w:val="single" w:sz="4" w:space="0" w:color="auto"/>
        </w:tblBorders>
        <w:tblLook w:val="04A0" w:firstRow="1" w:lastRow="0" w:firstColumn="1" w:lastColumn="0" w:noHBand="0" w:noVBand="1"/>
      </w:tblPr>
      <w:tblGrid>
        <w:gridCol w:w="988"/>
        <w:gridCol w:w="2380"/>
        <w:gridCol w:w="2320"/>
      </w:tblGrid>
      <w:tr w:rsidR="00D40D11" w:rsidRPr="00D40D11" w:rsidTr="001E4E78">
        <w:trPr>
          <w:trHeight w:val="567"/>
          <w:jc w:val="center"/>
        </w:trPr>
        <w:tc>
          <w:tcPr>
            <w:tcW w:w="988" w:type="dxa"/>
            <w:tcBorders>
              <w:top w:val="single" w:sz="4" w:space="0" w:color="auto"/>
              <w:bottom w:val="single" w:sz="4" w:space="0" w:color="auto"/>
            </w:tcBorders>
            <w:shd w:val="clear" w:color="auto" w:fill="auto"/>
            <w:noWrap/>
            <w:vAlign w:val="center"/>
            <w:hideMark/>
          </w:tcPr>
          <w:p w:rsidR="00D40D11" w:rsidRPr="00D40D11" w:rsidRDefault="001B2E69" w:rsidP="00DE38C2">
            <w:pPr>
              <w:spacing w:before="0" w:line="240" w:lineRule="auto"/>
              <w:jc w:val="center"/>
              <w:rPr>
                <w:rFonts w:eastAsia="Times New Roman"/>
                <w:b/>
                <w:color w:val="000000"/>
                <w:lang w:val="en-GB" w:eastAsia="en-GB"/>
              </w:rPr>
            </w:pPr>
            <w:r>
              <w:rPr>
                <w:rFonts w:eastAsia="Times New Roman"/>
                <w:b/>
                <w:color w:val="000000"/>
                <w:lang w:val="en-GB" w:eastAsia="en-GB"/>
              </w:rPr>
              <w:t>s</w:t>
            </w:r>
            <w:r w:rsidR="00D40D11" w:rsidRPr="00D40D11">
              <w:rPr>
                <w:rFonts w:eastAsia="Times New Roman"/>
                <w:b/>
                <w:color w:val="000000"/>
                <w:lang w:val="en-GB" w:eastAsia="en-GB"/>
              </w:rPr>
              <w:t>ex</w:t>
            </w:r>
          </w:p>
        </w:tc>
        <w:tc>
          <w:tcPr>
            <w:tcW w:w="2380" w:type="dxa"/>
            <w:tcBorders>
              <w:top w:val="single" w:sz="4" w:space="0" w:color="auto"/>
              <w:bottom w:val="single" w:sz="4" w:space="0" w:color="auto"/>
            </w:tcBorders>
            <w:shd w:val="clear" w:color="auto" w:fill="auto"/>
            <w:vAlign w:val="center"/>
            <w:hideMark/>
          </w:tcPr>
          <w:p w:rsidR="00D40D11" w:rsidRPr="00D40D11" w:rsidRDefault="00D40D11" w:rsidP="00FD053D">
            <w:pPr>
              <w:spacing w:before="0" w:line="240" w:lineRule="auto"/>
              <w:jc w:val="center"/>
              <w:rPr>
                <w:rFonts w:eastAsia="Times New Roman"/>
                <w:b/>
                <w:color w:val="000000"/>
                <w:lang w:val="en-GB" w:eastAsia="en-GB"/>
              </w:rPr>
            </w:pPr>
            <w:r w:rsidRPr="00D40D11">
              <w:rPr>
                <w:rFonts w:eastAsia="Times New Roman"/>
                <w:b/>
                <w:i/>
                <w:iCs/>
                <w:color w:val="000000"/>
                <w:lang w:val="en-GB" w:eastAsia="en-GB"/>
              </w:rPr>
              <w:t>P. troglodytes</w:t>
            </w:r>
            <w:r w:rsidR="00FD053D">
              <w:rPr>
                <w:rFonts w:eastAsia="Times New Roman"/>
                <w:b/>
                <w:color w:val="000000"/>
                <w:lang w:val="en-GB" w:eastAsia="en-GB"/>
              </w:rPr>
              <w:t xml:space="preserve"> linear regression equation</w:t>
            </w:r>
          </w:p>
        </w:tc>
        <w:tc>
          <w:tcPr>
            <w:tcW w:w="2320" w:type="dxa"/>
            <w:tcBorders>
              <w:top w:val="single" w:sz="4" w:space="0" w:color="auto"/>
              <w:bottom w:val="single" w:sz="4" w:space="0" w:color="auto"/>
            </w:tcBorders>
            <w:shd w:val="clear" w:color="auto" w:fill="auto"/>
            <w:vAlign w:val="center"/>
            <w:hideMark/>
          </w:tcPr>
          <w:p w:rsidR="00D40D11" w:rsidRPr="00D40D11" w:rsidRDefault="00D40D11" w:rsidP="00FD053D">
            <w:pPr>
              <w:spacing w:before="0" w:line="240" w:lineRule="auto"/>
              <w:jc w:val="center"/>
              <w:rPr>
                <w:rFonts w:eastAsia="Times New Roman"/>
                <w:b/>
                <w:color w:val="000000"/>
                <w:lang w:val="en-GB" w:eastAsia="en-GB"/>
              </w:rPr>
            </w:pPr>
            <w:r w:rsidRPr="00D40D11">
              <w:rPr>
                <w:rFonts w:eastAsia="Times New Roman"/>
                <w:b/>
                <w:i/>
                <w:iCs/>
                <w:color w:val="000000"/>
                <w:lang w:val="en-GB" w:eastAsia="en-GB"/>
              </w:rPr>
              <w:t>P. paniscus</w:t>
            </w:r>
            <w:r w:rsidR="00FD053D">
              <w:rPr>
                <w:rFonts w:eastAsia="Times New Roman"/>
                <w:b/>
                <w:color w:val="000000"/>
                <w:lang w:val="en-GB" w:eastAsia="en-GB"/>
              </w:rPr>
              <w:t xml:space="preserve"> linear regression equation</w:t>
            </w:r>
          </w:p>
        </w:tc>
      </w:tr>
      <w:tr w:rsidR="00D40D11" w:rsidRPr="00D40D11" w:rsidTr="001B2E69">
        <w:trPr>
          <w:trHeight w:val="300"/>
          <w:jc w:val="center"/>
        </w:trPr>
        <w:tc>
          <w:tcPr>
            <w:tcW w:w="988" w:type="dxa"/>
            <w:tcBorders>
              <w:top w:val="single" w:sz="4" w:space="0" w:color="auto"/>
            </w:tcBorders>
            <w:shd w:val="clear" w:color="auto" w:fill="auto"/>
            <w:noWrap/>
            <w:vAlign w:val="center"/>
            <w:hideMark/>
          </w:tcPr>
          <w:p w:rsidR="00D40D11" w:rsidRPr="00D40D11" w:rsidRDefault="00D40D11" w:rsidP="00DE38C2">
            <w:pPr>
              <w:spacing w:before="0" w:line="240" w:lineRule="auto"/>
              <w:jc w:val="center"/>
              <w:rPr>
                <w:rFonts w:eastAsia="Times New Roman"/>
                <w:color w:val="000000"/>
                <w:lang w:val="en-GB" w:eastAsia="en-GB"/>
              </w:rPr>
            </w:pPr>
            <w:r w:rsidRPr="00D40D11">
              <w:rPr>
                <w:rFonts w:eastAsia="Times New Roman"/>
                <w:color w:val="000000"/>
                <w:lang w:val="en-GB" w:eastAsia="en-GB"/>
              </w:rPr>
              <w:t>males</w:t>
            </w:r>
          </w:p>
        </w:tc>
        <w:tc>
          <w:tcPr>
            <w:tcW w:w="2380" w:type="dxa"/>
            <w:tcBorders>
              <w:top w:val="single" w:sz="4" w:space="0" w:color="auto"/>
            </w:tcBorders>
            <w:shd w:val="clear" w:color="auto" w:fill="auto"/>
            <w:noWrap/>
            <w:vAlign w:val="center"/>
            <w:hideMark/>
          </w:tcPr>
          <w:p w:rsidR="00D40D11" w:rsidRPr="00D40D11" w:rsidRDefault="00D40D11" w:rsidP="00DE38C2">
            <w:pPr>
              <w:spacing w:before="0" w:line="240" w:lineRule="auto"/>
              <w:jc w:val="center"/>
              <w:rPr>
                <w:rFonts w:eastAsia="Times New Roman"/>
                <w:color w:val="000000"/>
                <w:lang w:val="en-GB" w:eastAsia="en-GB"/>
              </w:rPr>
            </w:pPr>
            <w:r w:rsidRPr="00D40D11">
              <w:rPr>
                <w:rFonts w:eastAsia="Times New Roman"/>
                <w:color w:val="000000"/>
                <w:lang w:val="en-GB" w:eastAsia="en-GB"/>
              </w:rPr>
              <w:t>y = 1.0504x - 0.153</w:t>
            </w:r>
          </w:p>
        </w:tc>
        <w:tc>
          <w:tcPr>
            <w:tcW w:w="2320" w:type="dxa"/>
            <w:tcBorders>
              <w:top w:val="single" w:sz="4" w:space="0" w:color="auto"/>
            </w:tcBorders>
            <w:shd w:val="clear" w:color="auto" w:fill="auto"/>
            <w:noWrap/>
            <w:vAlign w:val="center"/>
            <w:hideMark/>
          </w:tcPr>
          <w:p w:rsidR="00D40D11" w:rsidRPr="00D40D11" w:rsidRDefault="00D40D11" w:rsidP="00DE38C2">
            <w:pPr>
              <w:spacing w:before="0" w:line="240" w:lineRule="auto"/>
              <w:jc w:val="center"/>
              <w:rPr>
                <w:rFonts w:eastAsia="Times New Roman"/>
                <w:color w:val="000000"/>
                <w:lang w:val="en-GB" w:eastAsia="en-GB"/>
              </w:rPr>
            </w:pPr>
            <w:r w:rsidRPr="00D40D11">
              <w:rPr>
                <w:rFonts w:eastAsia="Times New Roman"/>
                <w:color w:val="000000"/>
                <w:lang w:val="en-GB" w:eastAsia="en-GB"/>
              </w:rPr>
              <w:t>y = 0.9819x + 0.0352</w:t>
            </w:r>
          </w:p>
        </w:tc>
      </w:tr>
      <w:tr w:rsidR="00D40D11" w:rsidRPr="00D40D11" w:rsidTr="001B2E69">
        <w:trPr>
          <w:trHeight w:val="300"/>
          <w:jc w:val="center"/>
        </w:trPr>
        <w:tc>
          <w:tcPr>
            <w:tcW w:w="988" w:type="dxa"/>
            <w:shd w:val="clear" w:color="auto" w:fill="auto"/>
            <w:noWrap/>
            <w:vAlign w:val="center"/>
            <w:hideMark/>
          </w:tcPr>
          <w:p w:rsidR="00D40D11" w:rsidRPr="00D40D11" w:rsidRDefault="00D40D11" w:rsidP="00DE38C2">
            <w:pPr>
              <w:spacing w:before="0" w:line="240" w:lineRule="auto"/>
              <w:jc w:val="center"/>
              <w:rPr>
                <w:rFonts w:eastAsia="Times New Roman"/>
                <w:color w:val="000000"/>
                <w:lang w:val="en-GB" w:eastAsia="en-GB"/>
              </w:rPr>
            </w:pPr>
            <w:r w:rsidRPr="00D40D11">
              <w:rPr>
                <w:rFonts w:eastAsia="Times New Roman"/>
                <w:color w:val="000000"/>
                <w:lang w:val="en-GB" w:eastAsia="en-GB"/>
              </w:rPr>
              <w:t>females</w:t>
            </w:r>
          </w:p>
        </w:tc>
        <w:tc>
          <w:tcPr>
            <w:tcW w:w="2380" w:type="dxa"/>
            <w:shd w:val="clear" w:color="auto" w:fill="auto"/>
            <w:noWrap/>
            <w:vAlign w:val="center"/>
            <w:hideMark/>
          </w:tcPr>
          <w:p w:rsidR="00D40D11" w:rsidRPr="00D40D11" w:rsidRDefault="00D40D11" w:rsidP="00DE38C2">
            <w:pPr>
              <w:spacing w:before="0" w:line="240" w:lineRule="auto"/>
              <w:jc w:val="center"/>
              <w:rPr>
                <w:rFonts w:eastAsia="Times New Roman"/>
                <w:color w:val="000000"/>
                <w:lang w:val="en-GB" w:eastAsia="en-GB"/>
              </w:rPr>
            </w:pPr>
            <w:r w:rsidRPr="00D40D11">
              <w:rPr>
                <w:rFonts w:eastAsia="Times New Roman"/>
                <w:color w:val="000000"/>
                <w:lang w:val="en-GB" w:eastAsia="en-GB"/>
              </w:rPr>
              <w:t>y = 0.9856x + 0.0179</w:t>
            </w:r>
          </w:p>
        </w:tc>
        <w:tc>
          <w:tcPr>
            <w:tcW w:w="2320" w:type="dxa"/>
            <w:shd w:val="clear" w:color="auto" w:fill="auto"/>
            <w:noWrap/>
            <w:vAlign w:val="center"/>
            <w:hideMark/>
          </w:tcPr>
          <w:p w:rsidR="00D40D11" w:rsidRPr="00D40D11" w:rsidRDefault="00D40D11" w:rsidP="00DE38C2">
            <w:pPr>
              <w:spacing w:before="0" w:line="240" w:lineRule="auto"/>
              <w:jc w:val="center"/>
              <w:rPr>
                <w:rFonts w:eastAsia="Times New Roman"/>
                <w:color w:val="000000"/>
                <w:lang w:val="en-GB" w:eastAsia="en-GB"/>
              </w:rPr>
            </w:pPr>
            <w:r w:rsidRPr="00D40D11">
              <w:rPr>
                <w:rFonts w:eastAsia="Times New Roman"/>
                <w:color w:val="000000"/>
                <w:lang w:val="en-GB" w:eastAsia="en-GB"/>
              </w:rPr>
              <w:t>y = 1.1348x - 0.3663</w:t>
            </w:r>
          </w:p>
        </w:tc>
      </w:tr>
    </w:tbl>
    <w:p w:rsidR="00A35CA0" w:rsidRDefault="0034458E" w:rsidP="00CA5FBB">
      <w:pPr>
        <w:rPr>
          <w:noProof/>
          <w:color w:val="000000" w:themeColor="text1"/>
        </w:rPr>
      </w:pPr>
      <w:r>
        <w:rPr>
          <w:noProof/>
        </w:rPr>
        <w:t xml:space="preserve">An isometric relationship between limb bones for </w:t>
      </w:r>
      <w:r w:rsidR="002E17E6">
        <w:rPr>
          <w:noProof/>
        </w:rPr>
        <w:t xml:space="preserve">males and females of both species found by Shea </w:t>
      </w:r>
      <w:r w:rsidR="00845E05">
        <w:rPr>
          <w:noProof/>
        </w:rPr>
        <w:t xml:space="preserve">(1981) is reproduced here.  </w:t>
      </w:r>
      <w:r w:rsidR="00845E05">
        <w:rPr>
          <w:i/>
          <w:noProof/>
        </w:rPr>
        <w:t xml:space="preserve">Pan troglodytes </w:t>
      </w:r>
      <w:r w:rsidR="00845E05">
        <w:rPr>
          <w:noProof/>
        </w:rPr>
        <w:t xml:space="preserve">results do not change </w:t>
      </w:r>
      <w:r w:rsidR="002E17E6">
        <w:rPr>
          <w:noProof/>
        </w:rPr>
        <w:t xml:space="preserve">despite the addition of </w:t>
      </w:r>
      <w:r w:rsidR="002E17E6">
        <w:rPr>
          <w:i/>
          <w:noProof/>
        </w:rPr>
        <w:t>Pan troglodytes schweinfurthi</w:t>
      </w:r>
      <w:r w:rsidR="00FF06F1">
        <w:rPr>
          <w:i/>
          <w:noProof/>
        </w:rPr>
        <w:t>i</w:t>
      </w:r>
      <w:r w:rsidR="00FF06F1" w:rsidRPr="00FF06F1">
        <w:rPr>
          <w:noProof/>
        </w:rPr>
        <w:t xml:space="preserve"> </w:t>
      </w:r>
      <w:r w:rsidR="00FF06F1">
        <w:rPr>
          <w:noProof/>
        </w:rPr>
        <w:t xml:space="preserve">individuals </w:t>
      </w:r>
      <w:r w:rsidR="002E17E6">
        <w:rPr>
          <w:noProof/>
        </w:rPr>
        <w:t xml:space="preserve">from the Museum of Central Africa and the general </w:t>
      </w:r>
      <w:r w:rsidR="002E17E6">
        <w:rPr>
          <w:i/>
          <w:noProof/>
        </w:rPr>
        <w:t>Pan troglodytes</w:t>
      </w:r>
      <w:r w:rsidR="002E17E6">
        <w:rPr>
          <w:noProof/>
        </w:rPr>
        <w:t xml:space="preserve"> individuals from the University of Zurich</w:t>
      </w:r>
      <w:r w:rsidR="00FF06F1">
        <w:rPr>
          <w:noProof/>
        </w:rPr>
        <w:t>.  Given the very hig</w:t>
      </w:r>
      <w:r w:rsidR="00FF06F1" w:rsidRPr="00B47CDC">
        <w:rPr>
          <w:noProof/>
        </w:rPr>
        <w:t xml:space="preserve">h </w:t>
      </w:r>
      <w:r w:rsidR="00B47CDC" w:rsidRPr="00B47CDC">
        <w:rPr>
          <w:rFonts w:eastAsia="Times New Roman"/>
          <w:bCs/>
          <w:i/>
          <w:color w:val="000000"/>
          <w:lang w:eastAsia="en-GB"/>
        </w:rPr>
        <w:t>R</w:t>
      </w:r>
      <w:r w:rsidR="00B47CDC" w:rsidRPr="00B47CDC">
        <w:rPr>
          <w:rFonts w:eastAsia="Times New Roman"/>
          <w:bCs/>
          <w:color w:val="000000"/>
          <w:vertAlign w:val="superscript"/>
          <w:lang w:eastAsia="en-GB"/>
        </w:rPr>
        <w:t>2</w:t>
      </w:r>
      <w:r w:rsidR="00B47CDC" w:rsidRPr="00B47CDC">
        <w:rPr>
          <w:rFonts w:eastAsia="Times New Roman"/>
          <w:bCs/>
          <w:color w:val="000000"/>
          <w:lang w:eastAsia="en-GB"/>
        </w:rPr>
        <w:t xml:space="preserve"> </w:t>
      </w:r>
      <w:r w:rsidR="00845E05">
        <w:rPr>
          <w:noProof/>
        </w:rPr>
        <w:t>values for all of these analyses, it would seem unlikely that when analysed separately that sub-species would produce differing results.  This may be pursued in future analysis but is not considered here.</w:t>
      </w:r>
    </w:p>
    <w:p w:rsidR="00DD27EB" w:rsidRPr="0072474E" w:rsidRDefault="007C7099" w:rsidP="00D263E8">
      <w:pPr>
        <w:pStyle w:val="Heading3"/>
      </w:pPr>
      <w:bookmarkStart w:id="529" w:name="_Toc372916515"/>
      <w:bookmarkStart w:id="530" w:name="_Toc372916769"/>
      <w:bookmarkStart w:id="531" w:name="_Toc372916990"/>
      <w:bookmarkStart w:id="532" w:name="_Toc372917206"/>
      <w:bookmarkStart w:id="533" w:name="_Toc372917420"/>
      <w:bookmarkStart w:id="534" w:name="_Toc372917630"/>
      <w:bookmarkStart w:id="535" w:name="_Toc372917839"/>
      <w:bookmarkStart w:id="536" w:name="_Toc372918048"/>
      <w:bookmarkStart w:id="537" w:name="_Toc372918257"/>
      <w:bookmarkStart w:id="538" w:name="_Toc372918466"/>
      <w:bookmarkStart w:id="539" w:name="_Toc372918669"/>
      <w:bookmarkStart w:id="540" w:name="_Toc372918874"/>
      <w:bookmarkStart w:id="541" w:name="_Toc372919079"/>
      <w:bookmarkStart w:id="542" w:name="_Toc372919280"/>
      <w:bookmarkStart w:id="543" w:name="_Toc372919574"/>
      <w:bookmarkStart w:id="544" w:name="_Toc372919771"/>
      <w:bookmarkStart w:id="545" w:name="_Toc372919968"/>
      <w:bookmarkStart w:id="546" w:name="_Toc372920165"/>
      <w:bookmarkStart w:id="547" w:name="_Toc372920363"/>
      <w:bookmarkStart w:id="548" w:name="_Toc372920560"/>
      <w:bookmarkStart w:id="549" w:name="_Toc372920756"/>
      <w:bookmarkStart w:id="550" w:name="_Toc372920952"/>
      <w:bookmarkStart w:id="551" w:name="_Toc372921148"/>
      <w:bookmarkStart w:id="552" w:name="_Toc372921344"/>
      <w:bookmarkStart w:id="553" w:name="_Toc372921546"/>
      <w:bookmarkStart w:id="554" w:name="_Toc372921742"/>
      <w:bookmarkStart w:id="555" w:name="_Toc372921938"/>
      <w:bookmarkStart w:id="556" w:name="_Toc372928218"/>
      <w:bookmarkStart w:id="557" w:name="_Toc372928522"/>
      <w:bookmarkStart w:id="558" w:name="_Toc372928718"/>
      <w:bookmarkStart w:id="559" w:name="_Toc372981721"/>
      <w:bookmarkStart w:id="560" w:name="_Toc373071948"/>
      <w:bookmarkStart w:id="561" w:name="_Toc373147265"/>
      <w:bookmarkStart w:id="562" w:name="_Toc373477801"/>
      <w:bookmarkStart w:id="563" w:name="_Toc373480799"/>
      <w:bookmarkStart w:id="564" w:name="_Toc372916516"/>
      <w:bookmarkStart w:id="565" w:name="_Toc372916770"/>
      <w:bookmarkStart w:id="566" w:name="_Toc372916991"/>
      <w:bookmarkStart w:id="567" w:name="_Toc372917207"/>
      <w:bookmarkStart w:id="568" w:name="_Toc372917421"/>
      <w:bookmarkStart w:id="569" w:name="_Toc372917631"/>
      <w:bookmarkStart w:id="570" w:name="_Toc372917840"/>
      <w:bookmarkStart w:id="571" w:name="_Toc372918049"/>
      <w:bookmarkStart w:id="572" w:name="_Toc372918258"/>
      <w:bookmarkStart w:id="573" w:name="_Toc372918467"/>
      <w:bookmarkStart w:id="574" w:name="_Toc372918670"/>
      <w:bookmarkStart w:id="575" w:name="_Toc372918875"/>
      <w:bookmarkStart w:id="576" w:name="_Toc372919080"/>
      <w:bookmarkStart w:id="577" w:name="_Toc372919281"/>
      <w:bookmarkStart w:id="578" w:name="_Toc372919575"/>
      <w:bookmarkStart w:id="579" w:name="_Toc372919772"/>
      <w:bookmarkStart w:id="580" w:name="_Toc372919969"/>
      <w:bookmarkStart w:id="581" w:name="_Toc372920166"/>
      <w:bookmarkStart w:id="582" w:name="_Toc372920364"/>
      <w:bookmarkStart w:id="583" w:name="_Toc372920561"/>
      <w:bookmarkStart w:id="584" w:name="_Toc372920757"/>
      <w:bookmarkStart w:id="585" w:name="_Toc372920953"/>
      <w:bookmarkStart w:id="586" w:name="_Toc372921149"/>
      <w:bookmarkStart w:id="587" w:name="_Toc372921345"/>
      <w:bookmarkStart w:id="588" w:name="_Toc372921547"/>
      <w:bookmarkStart w:id="589" w:name="_Toc372921743"/>
      <w:bookmarkStart w:id="590" w:name="_Toc372921939"/>
      <w:bookmarkStart w:id="591" w:name="_Toc372928219"/>
      <w:bookmarkStart w:id="592" w:name="_Toc372928523"/>
      <w:bookmarkStart w:id="593" w:name="_Toc372928719"/>
      <w:bookmarkStart w:id="594" w:name="_Toc372981722"/>
      <w:bookmarkStart w:id="595" w:name="_Toc373071949"/>
      <w:bookmarkStart w:id="596" w:name="_Toc373147266"/>
      <w:bookmarkStart w:id="597" w:name="_Toc373477802"/>
      <w:bookmarkStart w:id="598" w:name="_Toc373480800"/>
      <w:bookmarkStart w:id="599" w:name="_Toc372916517"/>
      <w:bookmarkStart w:id="600" w:name="_Toc372916771"/>
      <w:bookmarkStart w:id="601" w:name="_Toc372916992"/>
      <w:bookmarkStart w:id="602" w:name="_Toc372917208"/>
      <w:bookmarkStart w:id="603" w:name="_Toc372917422"/>
      <w:bookmarkStart w:id="604" w:name="_Toc372917632"/>
      <w:bookmarkStart w:id="605" w:name="_Toc372917841"/>
      <w:bookmarkStart w:id="606" w:name="_Toc372918050"/>
      <w:bookmarkStart w:id="607" w:name="_Toc372918259"/>
      <w:bookmarkStart w:id="608" w:name="_Toc372918468"/>
      <w:bookmarkStart w:id="609" w:name="_Toc372918671"/>
      <w:bookmarkStart w:id="610" w:name="_Toc372918876"/>
      <w:bookmarkStart w:id="611" w:name="_Toc372919081"/>
      <w:bookmarkStart w:id="612" w:name="_Toc372919282"/>
      <w:bookmarkStart w:id="613" w:name="_Toc372919576"/>
      <w:bookmarkStart w:id="614" w:name="_Toc372919773"/>
      <w:bookmarkStart w:id="615" w:name="_Toc372919970"/>
      <w:bookmarkStart w:id="616" w:name="_Toc372920167"/>
      <w:bookmarkStart w:id="617" w:name="_Toc372920365"/>
      <w:bookmarkStart w:id="618" w:name="_Toc372920562"/>
      <w:bookmarkStart w:id="619" w:name="_Toc372920758"/>
      <w:bookmarkStart w:id="620" w:name="_Toc372920954"/>
      <w:bookmarkStart w:id="621" w:name="_Toc372921150"/>
      <w:bookmarkStart w:id="622" w:name="_Toc372921346"/>
      <w:bookmarkStart w:id="623" w:name="_Toc372921548"/>
      <w:bookmarkStart w:id="624" w:name="_Toc372921744"/>
      <w:bookmarkStart w:id="625" w:name="_Toc372921940"/>
      <w:bookmarkStart w:id="626" w:name="_Toc372928220"/>
      <w:bookmarkStart w:id="627" w:name="_Toc372928524"/>
      <w:bookmarkStart w:id="628" w:name="_Toc372928720"/>
      <w:bookmarkStart w:id="629" w:name="_Toc372981723"/>
      <w:bookmarkStart w:id="630" w:name="_Toc373071950"/>
      <w:bookmarkStart w:id="631" w:name="_Toc373147267"/>
      <w:bookmarkStart w:id="632" w:name="_Toc373477803"/>
      <w:bookmarkStart w:id="633" w:name="_Toc373480801"/>
      <w:bookmarkStart w:id="634" w:name="_Toc372916518"/>
      <w:bookmarkStart w:id="635" w:name="_Toc372916772"/>
      <w:bookmarkStart w:id="636" w:name="_Toc372916993"/>
      <w:bookmarkStart w:id="637" w:name="_Toc372917209"/>
      <w:bookmarkStart w:id="638" w:name="_Toc372917423"/>
      <w:bookmarkStart w:id="639" w:name="_Toc372917633"/>
      <w:bookmarkStart w:id="640" w:name="_Toc372917842"/>
      <w:bookmarkStart w:id="641" w:name="_Toc372918051"/>
      <w:bookmarkStart w:id="642" w:name="_Toc372918260"/>
      <w:bookmarkStart w:id="643" w:name="_Toc372918469"/>
      <w:bookmarkStart w:id="644" w:name="_Toc372918672"/>
      <w:bookmarkStart w:id="645" w:name="_Toc372918877"/>
      <w:bookmarkStart w:id="646" w:name="_Toc372919082"/>
      <w:bookmarkStart w:id="647" w:name="_Toc372919283"/>
      <w:bookmarkStart w:id="648" w:name="_Toc372919577"/>
      <w:bookmarkStart w:id="649" w:name="_Toc372919774"/>
      <w:bookmarkStart w:id="650" w:name="_Toc372919971"/>
      <w:bookmarkStart w:id="651" w:name="_Toc372920168"/>
      <w:bookmarkStart w:id="652" w:name="_Toc372920366"/>
      <w:bookmarkStart w:id="653" w:name="_Toc372920563"/>
      <w:bookmarkStart w:id="654" w:name="_Toc372920759"/>
      <w:bookmarkStart w:id="655" w:name="_Toc372920955"/>
      <w:bookmarkStart w:id="656" w:name="_Toc372921151"/>
      <w:bookmarkStart w:id="657" w:name="_Toc372921347"/>
      <w:bookmarkStart w:id="658" w:name="_Toc372921549"/>
      <w:bookmarkStart w:id="659" w:name="_Toc372921745"/>
      <w:bookmarkStart w:id="660" w:name="_Toc372921941"/>
      <w:bookmarkStart w:id="661" w:name="_Toc372928221"/>
      <w:bookmarkStart w:id="662" w:name="_Toc372928525"/>
      <w:bookmarkStart w:id="663" w:name="_Toc372928721"/>
      <w:bookmarkStart w:id="664" w:name="_Toc372981724"/>
      <w:bookmarkStart w:id="665" w:name="_Toc373071951"/>
      <w:bookmarkStart w:id="666" w:name="_Toc373147268"/>
      <w:bookmarkStart w:id="667" w:name="_Toc373477804"/>
      <w:bookmarkStart w:id="668" w:name="_Toc373480802"/>
      <w:bookmarkStart w:id="669" w:name="_Toc372916519"/>
      <w:bookmarkStart w:id="670" w:name="_Toc372916773"/>
      <w:bookmarkStart w:id="671" w:name="_Toc372916994"/>
      <w:bookmarkStart w:id="672" w:name="_Toc372917210"/>
      <w:bookmarkStart w:id="673" w:name="_Toc372917424"/>
      <w:bookmarkStart w:id="674" w:name="_Toc372917634"/>
      <w:bookmarkStart w:id="675" w:name="_Toc372917843"/>
      <w:bookmarkStart w:id="676" w:name="_Toc372918052"/>
      <w:bookmarkStart w:id="677" w:name="_Toc372918261"/>
      <w:bookmarkStart w:id="678" w:name="_Toc372918470"/>
      <w:bookmarkStart w:id="679" w:name="_Toc372918673"/>
      <w:bookmarkStart w:id="680" w:name="_Toc372918878"/>
      <w:bookmarkStart w:id="681" w:name="_Toc372919083"/>
      <w:bookmarkStart w:id="682" w:name="_Toc372919284"/>
      <w:bookmarkStart w:id="683" w:name="_Toc372919578"/>
      <w:bookmarkStart w:id="684" w:name="_Toc372919775"/>
      <w:bookmarkStart w:id="685" w:name="_Toc372919972"/>
      <w:bookmarkStart w:id="686" w:name="_Toc372920169"/>
      <w:bookmarkStart w:id="687" w:name="_Toc372920367"/>
      <w:bookmarkStart w:id="688" w:name="_Toc372920564"/>
      <w:bookmarkStart w:id="689" w:name="_Toc372920760"/>
      <w:bookmarkStart w:id="690" w:name="_Toc372920956"/>
      <w:bookmarkStart w:id="691" w:name="_Toc372921152"/>
      <w:bookmarkStart w:id="692" w:name="_Toc372921348"/>
      <w:bookmarkStart w:id="693" w:name="_Toc372921550"/>
      <w:bookmarkStart w:id="694" w:name="_Toc372921746"/>
      <w:bookmarkStart w:id="695" w:name="_Toc372921942"/>
      <w:bookmarkStart w:id="696" w:name="_Toc372928222"/>
      <w:bookmarkStart w:id="697" w:name="_Toc372928526"/>
      <w:bookmarkStart w:id="698" w:name="_Toc372928722"/>
      <w:bookmarkStart w:id="699" w:name="_Toc372981725"/>
      <w:bookmarkStart w:id="700" w:name="_Toc373071952"/>
      <w:bookmarkStart w:id="701" w:name="_Toc373147269"/>
      <w:bookmarkStart w:id="702" w:name="_Toc373477805"/>
      <w:bookmarkStart w:id="703" w:name="_Toc373480803"/>
      <w:bookmarkStart w:id="704" w:name="_Toc372916520"/>
      <w:bookmarkStart w:id="705" w:name="_Toc372916774"/>
      <w:bookmarkStart w:id="706" w:name="_Toc372916995"/>
      <w:bookmarkStart w:id="707" w:name="_Toc372917211"/>
      <w:bookmarkStart w:id="708" w:name="_Toc372917425"/>
      <w:bookmarkStart w:id="709" w:name="_Toc372917635"/>
      <w:bookmarkStart w:id="710" w:name="_Toc372917844"/>
      <w:bookmarkStart w:id="711" w:name="_Toc372918053"/>
      <w:bookmarkStart w:id="712" w:name="_Toc372918262"/>
      <w:bookmarkStart w:id="713" w:name="_Toc372918471"/>
      <w:bookmarkStart w:id="714" w:name="_Toc372918674"/>
      <w:bookmarkStart w:id="715" w:name="_Toc372918879"/>
      <w:bookmarkStart w:id="716" w:name="_Toc372919084"/>
      <w:bookmarkStart w:id="717" w:name="_Toc372919285"/>
      <w:bookmarkStart w:id="718" w:name="_Toc372919579"/>
      <w:bookmarkStart w:id="719" w:name="_Toc372919776"/>
      <w:bookmarkStart w:id="720" w:name="_Toc372919973"/>
      <w:bookmarkStart w:id="721" w:name="_Toc372920170"/>
      <w:bookmarkStart w:id="722" w:name="_Toc372920368"/>
      <w:bookmarkStart w:id="723" w:name="_Toc372920565"/>
      <w:bookmarkStart w:id="724" w:name="_Toc372920761"/>
      <w:bookmarkStart w:id="725" w:name="_Toc372920957"/>
      <w:bookmarkStart w:id="726" w:name="_Toc372921153"/>
      <w:bookmarkStart w:id="727" w:name="_Toc372921349"/>
      <w:bookmarkStart w:id="728" w:name="_Toc372921551"/>
      <w:bookmarkStart w:id="729" w:name="_Toc372921747"/>
      <w:bookmarkStart w:id="730" w:name="_Toc372921943"/>
      <w:bookmarkStart w:id="731" w:name="_Toc372928223"/>
      <w:bookmarkStart w:id="732" w:name="_Toc372928527"/>
      <w:bookmarkStart w:id="733" w:name="_Toc372928723"/>
      <w:bookmarkStart w:id="734" w:name="_Toc372981726"/>
      <w:bookmarkStart w:id="735" w:name="_Toc373071953"/>
      <w:bookmarkStart w:id="736" w:name="_Toc373147270"/>
      <w:bookmarkStart w:id="737" w:name="_Toc373477806"/>
      <w:bookmarkStart w:id="738" w:name="_Toc373480804"/>
      <w:bookmarkStart w:id="739" w:name="_Toc372916521"/>
      <w:bookmarkStart w:id="740" w:name="_Toc372916775"/>
      <w:bookmarkStart w:id="741" w:name="_Toc372916996"/>
      <w:bookmarkStart w:id="742" w:name="_Toc372917212"/>
      <w:bookmarkStart w:id="743" w:name="_Toc372917426"/>
      <w:bookmarkStart w:id="744" w:name="_Toc372917636"/>
      <w:bookmarkStart w:id="745" w:name="_Toc372917845"/>
      <w:bookmarkStart w:id="746" w:name="_Toc372918054"/>
      <w:bookmarkStart w:id="747" w:name="_Toc372918263"/>
      <w:bookmarkStart w:id="748" w:name="_Toc372918472"/>
      <w:bookmarkStart w:id="749" w:name="_Toc372918675"/>
      <w:bookmarkStart w:id="750" w:name="_Toc372918880"/>
      <w:bookmarkStart w:id="751" w:name="_Toc372919085"/>
      <w:bookmarkStart w:id="752" w:name="_Toc372919286"/>
      <w:bookmarkStart w:id="753" w:name="_Toc372919580"/>
      <w:bookmarkStart w:id="754" w:name="_Toc372919777"/>
      <w:bookmarkStart w:id="755" w:name="_Toc372919974"/>
      <w:bookmarkStart w:id="756" w:name="_Toc372920171"/>
      <w:bookmarkStart w:id="757" w:name="_Toc372920369"/>
      <w:bookmarkStart w:id="758" w:name="_Toc372920566"/>
      <w:bookmarkStart w:id="759" w:name="_Toc372920762"/>
      <w:bookmarkStart w:id="760" w:name="_Toc372920958"/>
      <w:bookmarkStart w:id="761" w:name="_Toc372921154"/>
      <w:bookmarkStart w:id="762" w:name="_Toc372921350"/>
      <w:bookmarkStart w:id="763" w:name="_Toc372921552"/>
      <w:bookmarkStart w:id="764" w:name="_Toc372921748"/>
      <w:bookmarkStart w:id="765" w:name="_Toc372921944"/>
      <w:bookmarkStart w:id="766" w:name="_Toc372928224"/>
      <w:bookmarkStart w:id="767" w:name="_Toc372928528"/>
      <w:bookmarkStart w:id="768" w:name="_Toc372928724"/>
      <w:bookmarkStart w:id="769" w:name="_Toc372981727"/>
      <w:bookmarkStart w:id="770" w:name="_Toc373071954"/>
      <w:bookmarkStart w:id="771" w:name="_Toc373147271"/>
      <w:bookmarkStart w:id="772" w:name="_Toc373477807"/>
      <w:bookmarkStart w:id="773" w:name="_Toc373480805"/>
      <w:bookmarkStart w:id="774" w:name="_Toc372916522"/>
      <w:bookmarkStart w:id="775" w:name="_Toc372916776"/>
      <w:bookmarkStart w:id="776" w:name="_Toc372916997"/>
      <w:bookmarkStart w:id="777" w:name="_Toc372917213"/>
      <w:bookmarkStart w:id="778" w:name="_Toc372917427"/>
      <w:bookmarkStart w:id="779" w:name="_Toc372917637"/>
      <w:bookmarkStart w:id="780" w:name="_Toc372917846"/>
      <w:bookmarkStart w:id="781" w:name="_Toc372918055"/>
      <w:bookmarkStart w:id="782" w:name="_Toc372918264"/>
      <w:bookmarkStart w:id="783" w:name="_Toc372918473"/>
      <w:bookmarkStart w:id="784" w:name="_Toc372918676"/>
      <w:bookmarkStart w:id="785" w:name="_Toc372918881"/>
      <w:bookmarkStart w:id="786" w:name="_Toc372919086"/>
      <w:bookmarkStart w:id="787" w:name="_Toc372919287"/>
      <w:bookmarkStart w:id="788" w:name="_Toc372919581"/>
      <w:bookmarkStart w:id="789" w:name="_Toc372919778"/>
      <w:bookmarkStart w:id="790" w:name="_Toc372919975"/>
      <w:bookmarkStart w:id="791" w:name="_Toc372920172"/>
      <w:bookmarkStart w:id="792" w:name="_Toc372920370"/>
      <w:bookmarkStart w:id="793" w:name="_Toc372920567"/>
      <w:bookmarkStart w:id="794" w:name="_Toc372920763"/>
      <w:bookmarkStart w:id="795" w:name="_Toc372920959"/>
      <w:bookmarkStart w:id="796" w:name="_Toc372921155"/>
      <w:bookmarkStart w:id="797" w:name="_Toc372921351"/>
      <w:bookmarkStart w:id="798" w:name="_Toc372921553"/>
      <w:bookmarkStart w:id="799" w:name="_Toc372921749"/>
      <w:bookmarkStart w:id="800" w:name="_Toc372921945"/>
      <w:bookmarkStart w:id="801" w:name="_Toc372928225"/>
      <w:bookmarkStart w:id="802" w:name="_Toc372928529"/>
      <w:bookmarkStart w:id="803" w:name="_Toc372928725"/>
      <w:bookmarkStart w:id="804" w:name="_Toc372981728"/>
      <w:bookmarkStart w:id="805" w:name="_Toc373071955"/>
      <w:bookmarkStart w:id="806" w:name="_Toc373147272"/>
      <w:bookmarkStart w:id="807" w:name="_Toc373477808"/>
      <w:bookmarkStart w:id="808" w:name="_Toc373480806"/>
      <w:bookmarkStart w:id="809" w:name="_Toc372916523"/>
      <w:bookmarkStart w:id="810" w:name="_Toc372916777"/>
      <w:bookmarkStart w:id="811" w:name="_Toc372916998"/>
      <w:bookmarkStart w:id="812" w:name="_Toc372917214"/>
      <w:bookmarkStart w:id="813" w:name="_Toc372917428"/>
      <w:bookmarkStart w:id="814" w:name="_Toc372917638"/>
      <w:bookmarkStart w:id="815" w:name="_Toc372917847"/>
      <w:bookmarkStart w:id="816" w:name="_Toc372918056"/>
      <w:bookmarkStart w:id="817" w:name="_Toc372918265"/>
      <w:bookmarkStart w:id="818" w:name="_Toc372918474"/>
      <w:bookmarkStart w:id="819" w:name="_Toc372918677"/>
      <w:bookmarkStart w:id="820" w:name="_Toc372918882"/>
      <w:bookmarkStart w:id="821" w:name="_Toc372919087"/>
      <w:bookmarkStart w:id="822" w:name="_Toc372919288"/>
      <w:bookmarkStart w:id="823" w:name="_Toc372919582"/>
      <w:bookmarkStart w:id="824" w:name="_Toc372919779"/>
      <w:bookmarkStart w:id="825" w:name="_Toc372919976"/>
      <w:bookmarkStart w:id="826" w:name="_Toc372920173"/>
      <w:bookmarkStart w:id="827" w:name="_Toc372920371"/>
      <w:bookmarkStart w:id="828" w:name="_Toc372920568"/>
      <w:bookmarkStart w:id="829" w:name="_Toc372920764"/>
      <w:bookmarkStart w:id="830" w:name="_Toc372920960"/>
      <w:bookmarkStart w:id="831" w:name="_Toc372921156"/>
      <w:bookmarkStart w:id="832" w:name="_Toc372921352"/>
      <w:bookmarkStart w:id="833" w:name="_Toc372921554"/>
      <w:bookmarkStart w:id="834" w:name="_Toc372921750"/>
      <w:bookmarkStart w:id="835" w:name="_Toc372921946"/>
      <w:bookmarkStart w:id="836" w:name="_Toc372928226"/>
      <w:bookmarkStart w:id="837" w:name="_Toc372928530"/>
      <w:bookmarkStart w:id="838" w:name="_Toc372928726"/>
      <w:bookmarkStart w:id="839" w:name="_Toc372981729"/>
      <w:bookmarkStart w:id="840" w:name="_Toc373071956"/>
      <w:bookmarkStart w:id="841" w:name="_Toc373147273"/>
      <w:bookmarkStart w:id="842" w:name="_Toc373477809"/>
      <w:bookmarkStart w:id="843" w:name="_Toc373480807"/>
      <w:bookmarkStart w:id="844" w:name="_Toc372916524"/>
      <w:bookmarkStart w:id="845" w:name="_Toc372916778"/>
      <w:bookmarkStart w:id="846" w:name="_Toc372916999"/>
      <w:bookmarkStart w:id="847" w:name="_Toc372917215"/>
      <w:bookmarkStart w:id="848" w:name="_Toc372917429"/>
      <w:bookmarkStart w:id="849" w:name="_Toc372917639"/>
      <w:bookmarkStart w:id="850" w:name="_Toc372917848"/>
      <w:bookmarkStart w:id="851" w:name="_Toc372918057"/>
      <w:bookmarkStart w:id="852" w:name="_Toc372918266"/>
      <w:bookmarkStart w:id="853" w:name="_Toc372918475"/>
      <w:bookmarkStart w:id="854" w:name="_Toc372918678"/>
      <w:bookmarkStart w:id="855" w:name="_Toc372918883"/>
      <w:bookmarkStart w:id="856" w:name="_Toc372919088"/>
      <w:bookmarkStart w:id="857" w:name="_Toc372919289"/>
      <w:bookmarkStart w:id="858" w:name="_Toc372919583"/>
      <w:bookmarkStart w:id="859" w:name="_Toc372919780"/>
      <w:bookmarkStart w:id="860" w:name="_Toc372919977"/>
      <w:bookmarkStart w:id="861" w:name="_Toc372920174"/>
      <w:bookmarkStart w:id="862" w:name="_Toc372920372"/>
      <w:bookmarkStart w:id="863" w:name="_Toc372920569"/>
      <w:bookmarkStart w:id="864" w:name="_Toc372920765"/>
      <w:bookmarkStart w:id="865" w:name="_Toc372920961"/>
      <w:bookmarkStart w:id="866" w:name="_Toc372921157"/>
      <w:bookmarkStart w:id="867" w:name="_Toc372921353"/>
      <w:bookmarkStart w:id="868" w:name="_Toc372921555"/>
      <w:bookmarkStart w:id="869" w:name="_Toc372921751"/>
      <w:bookmarkStart w:id="870" w:name="_Toc372921947"/>
      <w:bookmarkStart w:id="871" w:name="_Toc372928227"/>
      <w:bookmarkStart w:id="872" w:name="_Toc372928531"/>
      <w:bookmarkStart w:id="873" w:name="_Toc372928727"/>
      <w:bookmarkStart w:id="874" w:name="_Toc372981730"/>
      <w:bookmarkStart w:id="875" w:name="_Toc373071957"/>
      <w:bookmarkStart w:id="876" w:name="_Toc373147274"/>
      <w:bookmarkStart w:id="877" w:name="_Toc373477810"/>
      <w:bookmarkStart w:id="878" w:name="_Toc373480808"/>
      <w:bookmarkStart w:id="879" w:name="_Toc372916525"/>
      <w:bookmarkStart w:id="880" w:name="_Toc372916779"/>
      <w:bookmarkStart w:id="881" w:name="_Toc372917000"/>
      <w:bookmarkStart w:id="882" w:name="_Toc372917216"/>
      <w:bookmarkStart w:id="883" w:name="_Toc372917430"/>
      <w:bookmarkStart w:id="884" w:name="_Toc372917640"/>
      <w:bookmarkStart w:id="885" w:name="_Toc372917849"/>
      <w:bookmarkStart w:id="886" w:name="_Toc372918058"/>
      <w:bookmarkStart w:id="887" w:name="_Toc372918267"/>
      <w:bookmarkStart w:id="888" w:name="_Toc372918476"/>
      <w:bookmarkStart w:id="889" w:name="_Toc372918679"/>
      <w:bookmarkStart w:id="890" w:name="_Toc372918884"/>
      <w:bookmarkStart w:id="891" w:name="_Toc372919089"/>
      <w:bookmarkStart w:id="892" w:name="_Toc372919290"/>
      <w:bookmarkStart w:id="893" w:name="_Toc372919584"/>
      <w:bookmarkStart w:id="894" w:name="_Toc372919781"/>
      <w:bookmarkStart w:id="895" w:name="_Toc372919978"/>
      <w:bookmarkStart w:id="896" w:name="_Toc372920175"/>
      <w:bookmarkStart w:id="897" w:name="_Toc372920373"/>
      <w:bookmarkStart w:id="898" w:name="_Toc372920570"/>
      <w:bookmarkStart w:id="899" w:name="_Toc372920766"/>
      <w:bookmarkStart w:id="900" w:name="_Toc372920962"/>
      <w:bookmarkStart w:id="901" w:name="_Toc372921158"/>
      <w:bookmarkStart w:id="902" w:name="_Toc372921354"/>
      <w:bookmarkStart w:id="903" w:name="_Toc372921556"/>
      <w:bookmarkStart w:id="904" w:name="_Toc372921752"/>
      <w:bookmarkStart w:id="905" w:name="_Toc372921948"/>
      <w:bookmarkStart w:id="906" w:name="_Toc372928228"/>
      <w:bookmarkStart w:id="907" w:name="_Toc372928532"/>
      <w:bookmarkStart w:id="908" w:name="_Toc372928728"/>
      <w:bookmarkStart w:id="909" w:name="_Toc372981731"/>
      <w:bookmarkStart w:id="910" w:name="_Toc373071958"/>
      <w:bookmarkStart w:id="911" w:name="_Toc373147275"/>
      <w:bookmarkStart w:id="912" w:name="_Toc373477811"/>
      <w:bookmarkStart w:id="913" w:name="_Toc373480809"/>
      <w:bookmarkStart w:id="914" w:name="_Toc372916526"/>
      <w:bookmarkStart w:id="915" w:name="_Toc372916780"/>
      <w:bookmarkStart w:id="916" w:name="_Toc372917001"/>
      <w:bookmarkStart w:id="917" w:name="_Toc372917217"/>
      <w:bookmarkStart w:id="918" w:name="_Toc372917431"/>
      <w:bookmarkStart w:id="919" w:name="_Toc372917641"/>
      <w:bookmarkStart w:id="920" w:name="_Toc372917850"/>
      <w:bookmarkStart w:id="921" w:name="_Toc372918059"/>
      <w:bookmarkStart w:id="922" w:name="_Toc372918268"/>
      <w:bookmarkStart w:id="923" w:name="_Toc372918477"/>
      <w:bookmarkStart w:id="924" w:name="_Toc372918680"/>
      <w:bookmarkStart w:id="925" w:name="_Toc372918885"/>
      <w:bookmarkStart w:id="926" w:name="_Toc372919090"/>
      <w:bookmarkStart w:id="927" w:name="_Toc372919291"/>
      <w:bookmarkStart w:id="928" w:name="_Toc372919585"/>
      <w:bookmarkStart w:id="929" w:name="_Toc372919782"/>
      <w:bookmarkStart w:id="930" w:name="_Toc372919979"/>
      <w:bookmarkStart w:id="931" w:name="_Toc372920176"/>
      <w:bookmarkStart w:id="932" w:name="_Toc372920374"/>
      <w:bookmarkStart w:id="933" w:name="_Toc372920571"/>
      <w:bookmarkStart w:id="934" w:name="_Toc372920767"/>
      <w:bookmarkStart w:id="935" w:name="_Toc372920963"/>
      <w:bookmarkStart w:id="936" w:name="_Toc372921159"/>
      <w:bookmarkStart w:id="937" w:name="_Toc372921355"/>
      <w:bookmarkStart w:id="938" w:name="_Toc372921557"/>
      <w:bookmarkStart w:id="939" w:name="_Toc372921753"/>
      <w:bookmarkStart w:id="940" w:name="_Toc372921949"/>
      <w:bookmarkStart w:id="941" w:name="_Toc372928229"/>
      <w:bookmarkStart w:id="942" w:name="_Toc372928533"/>
      <w:bookmarkStart w:id="943" w:name="_Toc372928729"/>
      <w:bookmarkStart w:id="944" w:name="_Toc372981732"/>
      <w:bookmarkStart w:id="945" w:name="_Toc373071959"/>
      <w:bookmarkStart w:id="946" w:name="_Toc373147276"/>
      <w:bookmarkStart w:id="947" w:name="_Toc373477812"/>
      <w:bookmarkStart w:id="948" w:name="_Toc373480810"/>
      <w:bookmarkStart w:id="949" w:name="_Toc372916527"/>
      <w:bookmarkStart w:id="950" w:name="_Toc372916781"/>
      <w:bookmarkStart w:id="951" w:name="_Toc372917002"/>
      <w:bookmarkStart w:id="952" w:name="_Toc372917218"/>
      <w:bookmarkStart w:id="953" w:name="_Toc372917432"/>
      <w:bookmarkStart w:id="954" w:name="_Toc372917642"/>
      <w:bookmarkStart w:id="955" w:name="_Toc372917851"/>
      <w:bookmarkStart w:id="956" w:name="_Toc372918060"/>
      <w:bookmarkStart w:id="957" w:name="_Toc372918269"/>
      <w:bookmarkStart w:id="958" w:name="_Toc372918478"/>
      <w:bookmarkStart w:id="959" w:name="_Toc372918681"/>
      <w:bookmarkStart w:id="960" w:name="_Toc372918886"/>
      <w:bookmarkStart w:id="961" w:name="_Toc372919091"/>
      <w:bookmarkStart w:id="962" w:name="_Toc372919292"/>
      <w:bookmarkStart w:id="963" w:name="_Toc372919586"/>
      <w:bookmarkStart w:id="964" w:name="_Toc372919783"/>
      <w:bookmarkStart w:id="965" w:name="_Toc372919980"/>
      <w:bookmarkStart w:id="966" w:name="_Toc372920177"/>
      <w:bookmarkStart w:id="967" w:name="_Toc372920375"/>
      <w:bookmarkStart w:id="968" w:name="_Toc372920572"/>
      <w:bookmarkStart w:id="969" w:name="_Toc372920768"/>
      <w:bookmarkStart w:id="970" w:name="_Toc372920964"/>
      <w:bookmarkStart w:id="971" w:name="_Toc372921160"/>
      <w:bookmarkStart w:id="972" w:name="_Toc372921356"/>
      <w:bookmarkStart w:id="973" w:name="_Toc372921558"/>
      <w:bookmarkStart w:id="974" w:name="_Toc372921754"/>
      <w:bookmarkStart w:id="975" w:name="_Toc372921950"/>
      <w:bookmarkStart w:id="976" w:name="_Toc372928230"/>
      <w:bookmarkStart w:id="977" w:name="_Toc372928534"/>
      <w:bookmarkStart w:id="978" w:name="_Toc372928730"/>
      <w:bookmarkStart w:id="979" w:name="_Toc372981733"/>
      <w:bookmarkStart w:id="980" w:name="_Toc373071960"/>
      <w:bookmarkStart w:id="981" w:name="_Toc373147277"/>
      <w:bookmarkStart w:id="982" w:name="_Toc373477813"/>
      <w:bookmarkStart w:id="983" w:name="_Toc373480811"/>
      <w:bookmarkStart w:id="984" w:name="_Toc372916528"/>
      <w:bookmarkStart w:id="985" w:name="_Toc372916782"/>
      <w:bookmarkStart w:id="986" w:name="_Toc372917003"/>
      <w:bookmarkStart w:id="987" w:name="_Toc372917219"/>
      <w:bookmarkStart w:id="988" w:name="_Toc372917433"/>
      <w:bookmarkStart w:id="989" w:name="_Toc372917643"/>
      <w:bookmarkStart w:id="990" w:name="_Toc372917852"/>
      <w:bookmarkStart w:id="991" w:name="_Toc372918061"/>
      <w:bookmarkStart w:id="992" w:name="_Toc372918270"/>
      <w:bookmarkStart w:id="993" w:name="_Toc372918479"/>
      <w:bookmarkStart w:id="994" w:name="_Toc372918682"/>
      <w:bookmarkStart w:id="995" w:name="_Toc372918887"/>
      <w:bookmarkStart w:id="996" w:name="_Toc372919092"/>
      <w:bookmarkStart w:id="997" w:name="_Toc372919293"/>
      <w:bookmarkStart w:id="998" w:name="_Toc372919587"/>
      <w:bookmarkStart w:id="999" w:name="_Toc372919784"/>
      <w:bookmarkStart w:id="1000" w:name="_Toc372919981"/>
      <w:bookmarkStart w:id="1001" w:name="_Toc372920178"/>
      <w:bookmarkStart w:id="1002" w:name="_Toc372920376"/>
      <w:bookmarkStart w:id="1003" w:name="_Toc372920573"/>
      <w:bookmarkStart w:id="1004" w:name="_Toc372920769"/>
      <w:bookmarkStart w:id="1005" w:name="_Toc372920965"/>
      <w:bookmarkStart w:id="1006" w:name="_Toc372921161"/>
      <w:bookmarkStart w:id="1007" w:name="_Toc372921357"/>
      <w:bookmarkStart w:id="1008" w:name="_Toc372921559"/>
      <w:bookmarkStart w:id="1009" w:name="_Toc372921755"/>
      <w:bookmarkStart w:id="1010" w:name="_Toc372921951"/>
      <w:bookmarkStart w:id="1011" w:name="_Toc372928231"/>
      <w:bookmarkStart w:id="1012" w:name="_Toc372928535"/>
      <w:bookmarkStart w:id="1013" w:name="_Toc372928731"/>
      <w:bookmarkStart w:id="1014" w:name="_Toc372981734"/>
      <w:bookmarkStart w:id="1015" w:name="_Toc373071961"/>
      <w:bookmarkStart w:id="1016" w:name="_Toc373147278"/>
      <w:bookmarkStart w:id="1017" w:name="_Toc373477814"/>
      <w:bookmarkStart w:id="1018" w:name="_Toc373480812"/>
      <w:bookmarkStart w:id="1019" w:name="_Toc373477815"/>
      <w:bookmarkStart w:id="1020" w:name="_Toc373480813"/>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lastRenderedPageBreak/>
        <w:t>Regression of</w:t>
      </w:r>
      <w:r w:rsidR="00484391" w:rsidRPr="0072474E">
        <w:t xml:space="preserve"> </w:t>
      </w:r>
      <w:r w:rsidR="0080238C" w:rsidRPr="0072474E">
        <w:t xml:space="preserve">serially homologous </w:t>
      </w:r>
      <w:r>
        <w:t xml:space="preserve">limb </w:t>
      </w:r>
      <w:r w:rsidR="0080238C" w:rsidRPr="0072474E">
        <w:t>elements</w:t>
      </w:r>
      <w:bookmarkEnd w:id="1019"/>
      <w:bookmarkEnd w:id="1020"/>
    </w:p>
    <w:p w:rsidR="00A35CA0" w:rsidRDefault="009B6D41" w:rsidP="00CA5FBB">
      <w:pPr>
        <w:rPr>
          <w:noProof/>
          <w:color w:val="000000" w:themeColor="text1"/>
        </w:rPr>
      </w:pPr>
      <w:r>
        <w:rPr>
          <w:noProof/>
          <w:color w:val="000000" w:themeColor="text1"/>
        </w:rPr>
        <w:t>In addition to regression for upper and lower limbs, c</w:t>
      </w:r>
      <w:r w:rsidR="00484391">
        <w:rPr>
          <w:noProof/>
          <w:color w:val="000000" w:themeColor="text1"/>
        </w:rPr>
        <w:t xml:space="preserve">orrelations between individual long-bones were considered.  </w:t>
      </w:r>
      <w:r w:rsidR="001A5450">
        <w:rPr>
          <w:noProof/>
          <w:color w:val="000000" w:themeColor="text1"/>
        </w:rPr>
        <w:t xml:space="preserve">Regression </w:t>
      </w:r>
      <w:r w:rsidR="00F40B3E">
        <w:rPr>
          <w:noProof/>
          <w:color w:val="000000" w:themeColor="text1"/>
        </w:rPr>
        <w:t>was again performed using</w:t>
      </w:r>
      <w:r w:rsidR="001A5450">
        <w:rPr>
          <w:noProof/>
          <w:color w:val="000000" w:themeColor="text1"/>
        </w:rPr>
        <w:t xml:space="preserve"> log</w:t>
      </w:r>
      <w:r w:rsidR="001A5450" w:rsidRPr="001A5450">
        <w:rPr>
          <w:noProof/>
          <w:color w:val="000000" w:themeColor="text1"/>
          <w:vertAlign w:val="subscript"/>
        </w:rPr>
        <w:t>10</w:t>
      </w:r>
      <w:r w:rsidR="001A5450">
        <w:rPr>
          <w:noProof/>
          <w:color w:val="000000" w:themeColor="text1"/>
        </w:rPr>
        <w:t xml:space="preserve"> transformed length data.  </w:t>
      </w:r>
      <w:r>
        <w:rPr>
          <w:noProof/>
          <w:color w:val="000000" w:themeColor="text1"/>
        </w:rPr>
        <w:t xml:space="preserve">Results are presented in </w:t>
      </w:r>
      <w:r w:rsidR="00FE098B">
        <w:rPr>
          <w:noProof/>
          <w:color w:val="000000" w:themeColor="text1"/>
        </w:rPr>
        <w:t>T</w:t>
      </w:r>
      <w:r>
        <w:rPr>
          <w:noProof/>
          <w:color w:val="000000" w:themeColor="text1"/>
        </w:rPr>
        <w:t>able 4.2</w:t>
      </w:r>
      <w:r w:rsidR="00281EDF">
        <w:rPr>
          <w:noProof/>
          <w:color w:val="000000" w:themeColor="text1"/>
        </w:rPr>
        <w:t>5</w:t>
      </w:r>
      <w:r w:rsidR="009D295A">
        <w:rPr>
          <w:noProof/>
          <w:color w:val="000000" w:themeColor="text1"/>
        </w:rPr>
        <w:t xml:space="preserve"> for </w:t>
      </w:r>
      <w:r w:rsidR="009D295A">
        <w:rPr>
          <w:i/>
          <w:noProof/>
          <w:color w:val="000000" w:themeColor="text1"/>
        </w:rPr>
        <w:t>Pan troglod</w:t>
      </w:r>
      <w:r w:rsidR="001A5450">
        <w:rPr>
          <w:i/>
          <w:noProof/>
          <w:color w:val="000000" w:themeColor="text1"/>
        </w:rPr>
        <w:t>y</w:t>
      </w:r>
      <w:r w:rsidR="009D295A">
        <w:rPr>
          <w:i/>
          <w:noProof/>
          <w:color w:val="000000" w:themeColor="text1"/>
        </w:rPr>
        <w:t>tes</w:t>
      </w:r>
      <w:r w:rsidR="009D295A">
        <w:rPr>
          <w:noProof/>
          <w:color w:val="000000" w:themeColor="text1"/>
        </w:rPr>
        <w:t xml:space="preserve"> and </w:t>
      </w:r>
      <w:r w:rsidR="001A5450">
        <w:rPr>
          <w:noProof/>
          <w:color w:val="000000" w:themeColor="text1"/>
        </w:rPr>
        <w:t xml:space="preserve">Table 4.26 for </w:t>
      </w:r>
      <w:r w:rsidR="001A5450">
        <w:rPr>
          <w:i/>
          <w:noProof/>
          <w:color w:val="000000" w:themeColor="text1"/>
        </w:rPr>
        <w:t>Pan paniscus</w:t>
      </w:r>
      <w:r w:rsidR="00484391">
        <w:rPr>
          <w:noProof/>
          <w:color w:val="000000" w:themeColor="text1"/>
        </w:rPr>
        <w:t xml:space="preserve">.  </w:t>
      </w:r>
      <w:r>
        <w:rPr>
          <w:noProof/>
          <w:color w:val="000000" w:themeColor="text1"/>
        </w:rPr>
        <w:t xml:space="preserve">Comparisons were made between serially homologous </w:t>
      </w:r>
      <w:r w:rsidR="00806917">
        <w:rPr>
          <w:noProof/>
          <w:color w:val="000000" w:themeColor="text1"/>
        </w:rPr>
        <w:t xml:space="preserve">upper and lower limb units </w:t>
      </w:r>
      <w:r>
        <w:rPr>
          <w:noProof/>
          <w:color w:val="000000" w:themeColor="text1"/>
        </w:rPr>
        <w:t>(e.g., humerus-femur) and within limbs (e.g., humerus-radius).  Full regression results are av</w:t>
      </w:r>
      <w:r w:rsidR="00560153">
        <w:rPr>
          <w:noProof/>
          <w:color w:val="000000" w:themeColor="text1"/>
        </w:rPr>
        <w:t>ailable in</w:t>
      </w:r>
      <w:r w:rsidR="00AC58BD">
        <w:rPr>
          <w:noProof/>
          <w:color w:val="000000" w:themeColor="text1"/>
        </w:rPr>
        <w:t xml:space="preserve"> appendix section 8.7</w:t>
      </w:r>
      <w:r w:rsidR="00560153">
        <w:rPr>
          <w:noProof/>
          <w:color w:val="000000" w:themeColor="text1"/>
        </w:rPr>
        <w:t>.</w:t>
      </w:r>
      <w:r w:rsidR="000F21FA">
        <w:rPr>
          <w:noProof/>
          <w:color w:val="000000" w:themeColor="text1"/>
        </w:rPr>
        <w:t xml:space="preserve">  The i</w:t>
      </w:r>
      <w:r w:rsidR="001A5450">
        <w:rPr>
          <w:noProof/>
          <w:color w:val="000000" w:themeColor="text1"/>
        </w:rPr>
        <w:t xml:space="preserve">ndividual limb elements analysis </w:t>
      </w:r>
      <w:r w:rsidR="000F21FA">
        <w:rPr>
          <w:noProof/>
          <w:color w:val="000000" w:themeColor="text1"/>
        </w:rPr>
        <w:t xml:space="preserve">presented here </w:t>
      </w:r>
      <w:r w:rsidR="00CB7C08">
        <w:rPr>
          <w:noProof/>
          <w:color w:val="000000" w:themeColor="text1"/>
        </w:rPr>
        <w:t xml:space="preserve">provides further evidence that all long-bones scale </w:t>
      </w:r>
      <w:r w:rsidR="001A5450">
        <w:rPr>
          <w:noProof/>
          <w:color w:val="000000" w:themeColor="text1"/>
        </w:rPr>
        <w:t>isometrically.  These results are in agreement with Shea’s (1981) data.</w:t>
      </w:r>
    </w:p>
    <w:p w:rsidR="00A35CA0" w:rsidRDefault="0071093B" w:rsidP="00CA5FBB">
      <w:pPr>
        <w:tabs>
          <w:tab w:val="left" w:pos="2295"/>
        </w:tabs>
        <w:spacing w:before="120"/>
      </w:pPr>
      <w:bookmarkStart w:id="1021" w:name="_Toc373180169"/>
      <w:proofErr w:type="gramStart"/>
      <w:r w:rsidRPr="00E76021">
        <w:rPr>
          <w:b/>
        </w:rPr>
        <w:t xml:space="preserve">Table </w:t>
      </w:r>
      <w:r w:rsidR="008943E4" w:rsidRPr="00E76021">
        <w:rPr>
          <w:b/>
        </w:rPr>
        <w:fldChar w:fldCharType="begin"/>
      </w:r>
      <w:r w:rsidRPr="00E76021">
        <w:rPr>
          <w:b/>
        </w:rPr>
        <w:instrText xml:space="preserve"> STYLEREF 1 \s </w:instrText>
      </w:r>
      <w:r w:rsidR="008943E4" w:rsidRPr="00E76021">
        <w:rPr>
          <w:b/>
        </w:rPr>
        <w:fldChar w:fldCharType="separate"/>
      </w:r>
      <w:r w:rsidR="00795735">
        <w:rPr>
          <w:b/>
          <w:noProof/>
        </w:rPr>
        <w:t>4</w:t>
      </w:r>
      <w:r w:rsidR="008943E4" w:rsidRPr="00E76021">
        <w:rPr>
          <w:b/>
        </w:rPr>
        <w:fldChar w:fldCharType="end"/>
      </w:r>
      <w:r w:rsidRPr="00E76021">
        <w:rPr>
          <w:b/>
        </w:rPr>
        <w:t>.</w:t>
      </w:r>
      <w:proofErr w:type="gramEnd"/>
      <w:r w:rsidR="008943E4" w:rsidRPr="00E76021">
        <w:rPr>
          <w:b/>
        </w:rPr>
        <w:fldChar w:fldCharType="begin"/>
      </w:r>
      <w:r w:rsidRPr="00E76021">
        <w:rPr>
          <w:b/>
        </w:rPr>
        <w:instrText xml:space="preserve"> SEQ Table \* ARABIC \s 1 </w:instrText>
      </w:r>
      <w:r w:rsidR="008943E4" w:rsidRPr="00E76021">
        <w:rPr>
          <w:b/>
        </w:rPr>
        <w:fldChar w:fldCharType="separate"/>
      </w:r>
      <w:r w:rsidR="00795735">
        <w:rPr>
          <w:b/>
          <w:noProof/>
        </w:rPr>
        <w:t>25</w:t>
      </w:r>
      <w:r w:rsidR="008943E4" w:rsidRPr="00E76021">
        <w:rPr>
          <w:b/>
        </w:rPr>
        <w:fldChar w:fldCharType="end"/>
      </w:r>
      <w:r w:rsidR="00283439">
        <w:rPr>
          <w:noProof/>
          <w:color w:val="000000" w:themeColor="text1"/>
        </w:rPr>
        <w:t xml:space="preserve"> </w:t>
      </w:r>
      <w:r>
        <w:rPr>
          <w:noProof/>
          <w:color w:val="000000" w:themeColor="text1"/>
        </w:rPr>
        <w:t xml:space="preserve">Regression </w:t>
      </w:r>
      <w:r w:rsidR="00C25789">
        <w:rPr>
          <w:noProof/>
          <w:color w:val="000000" w:themeColor="text1"/>
        </w:rPr>
        <w:t>values</w:t>
      </w:r>
      <w:r>
        <w:rPr>
          <w:noProof/>
          <w:color w:val="000000" w:themeColor="text1"/>
        </w:rPr>
        <w:t xml:space="preserve"> for</w:t>
      </w:r>
      <w:r w:rsidR="00725B43">
        <w:rPr>
          <w:noProof/>
          <w:color w:val="000000" w:themeColor="text1"/>
        </w:rPr>
        <w:t xml:space="preserve"> analysis of serially homologous limb elements in</w:t>
      </w:r>
      <w:r>
        <w:rPr>
          <w:noProof/>
          <w:color w:val="000000" w:themeColor="text1"/>
        </w:rPr>
        <w:t xml:space="preserve"> </w:t>
      </w:r>
      <w:r w:rsidR="00725B43">
        <w:rPr>
          <w:i/>
          <w:noProof/>
          <w:color w:val="000000" w:themeColor="text1"/>
        </w:rPr>
        <w:t>Pan troglodytes</w:t>
      </w:r>
      <w:r>
        <w:rPr>
          <w:noProof/>
          <w:color w:val="000000" w:themeColor="text1"/>
        </w:rPr>
        <w:t>.</w:t>
      </w:r>
      <w:bookmarkEnd w:id="1021"/>
    </w:p>
    <w:tbl>
      <w:tblPr>
        <w:tblW w:w="9481" w:type="dxa"/>
        <w:tblInd w:w="93" w:type="dxa"/>
        <w:tblBorders>
          <w:top w:val="single" w:sz="4" w:space="0" w:color="auto"/>
          <w:bottom w:val="single" w:sz="4" w:space="0" w:color="auto"/>
        </w:tblBorders>
        <w:tblLook w:val="04A0" w:firstRow="1" w:lastRow="0" w:firstColumn="1" w:lastColumn="0" w:noHBand="0" w:noVBand="1"/>
      </w:tblPr>
      <w:tblGrid>
        <w:gridCol w:w="901"/>
        <w:gridCol w:w="2473"/>
        <w:gridCol w:w="854"/>
        <w:gridCol w:w="890"/>
        <w:gridCol w:w="1072"/>
        <w:gridCol w:w="1824"/>
        <w:gridCol w:w="1467"/>
      </w:tblGrid>
      <w:tr w:rsidR="001E6E5D" w:rsidRPr="001E6E5D" w:rsidTr="004605E1">
        <w:trPr>
          <w:trHeight w:val="652"/>
        </w:trPr>
        <w:tc>
          <w:tcPr>
            <w:tcW w:w="901" w:type="dxa"/>
            <w:tcBorders>
              <w:top w:val="single" w:sz="4" w:space="0" w:color="auto"/>
              <w:bottom w:val="single" w:sz="4" w:space="0" w:color="auto"/>
            </w:tcBorders>
            <w:shd w:val="clear" w:color="auto" w:fill="auto"/>
            <w:noWrap/>
            <w:vAlign w:val="center"/>
            <w:hideMark/>
          </w:tcPr>
          <w:p w:rsidR="00A35CA0" w:rsidRPr="00CA5FBB" w:rsidRDefault="008C54DF"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ex</w:t>
            </w:r>
          </w:p>
        </w:tc>
        <w:tc>
          <w:tcPr>
            <w:tcW w:w="2473" w:type="dxa"/>
            <w:tcBorders>
              <w:top w:val="single" w:sz="4" w:space="0" w:color="auto"/>
              <w:bottom w:val="single" w:sz="4" w:space="0" w:color="auto"/>
            </w:tcBorders>
            <w:shd w:val="clear" w:color="auto" w:fill="auto"/>
            <w:noWrap/>
            <w:vAlign w:val="center"/>
            <w:hideMark/>
          </w:tcPr>
          <w:p w:rsidR="00A35CA0" w:rsidRPr="00CA5FBB" w:rsidRDefault="008C54DF" w:rsidP="00CA5FBB">
            <w:pPr>
              <w:spacing w:before="0" w:line="240" w:lineRule="auto"/>
              <w:jc w:val="center"/>
              <w:rPr>
                <w:rFonts w:eastAsia="Times New Roman"/>
                <w:b/>
                <w:color w:val="000000"/>
                <w:lang w:val="en-GB" w:eastAsia="en-GB"/>
              </w:rPr>
            </w:pPr>
            <w:r>
              <w:rPr>
                <w:rFonts w:eastAsia="Times New Roman"/>
                <w:b/>
                <w:color w:val="000000"/>
                <w:lang w:val="en-GB" w:eastAsia="en-GB"/>
              </w:rPr>
              <w:t>b</w:t>
            </w:r>
            <w:r w:rsidR="008943E4" w:rsidRPr="00CA5FBB">
              <w:rPr>
                <w:rFonts w:eastAsia="Times New Roman"/>
                <w:b/>
                <w:color w:val="000000"/>
                <w:lang w:val="en-GB" w:eastAsia="en-GB"/>
              </w:rPr>
              <w:t>one-comparison</w:t>
            </w:r>
          </w:p>
        </w:tc>
        <w:tc>
          <w:tcPr>
            <w:tcW w:w="854" w:type="dxa"/>
            <w:tcBorders>
              <w:top w:val="single" w:sz="4" w:space="0" w:color="auto"/>
              <w:bottom w:val="single" w:sz="4" w:space="0" w:color="auto"/>
            </w:tcBorders>
            <w:shd w:val="clear" w:color="auto" w:fill="auto"/>
            <w:vAlign w:val="center"/>
            <w:hideMark/>
          </w:tcPr>
          <w:p w:rsidR="00A35CA0" w:rsidRPr="00CA5FBB" w:rsidRDefault="008C54DF" w:rsidP="00CA5FBB">
            <w:pPr>
              <w:spacing w:before="0" w:line="240" w:lineRule="auto"/>
              <w:jc w:val="center"/>
              <w:rPr>
                <w:rFonts w:eastAsia="Times New Roman"/>
                <w:b/>
                <w:color w:val="000000"/>
                <w:lang w:val="en-GB" w:eastAsia="en-GB"/>
              </w:rPr>
            </w:pPr>
            <w:r w:rsidRPr="00763CDF">
              <w:rPr>
                <w:rFonts w:eastAsia="Times New Roman"/>
                <w:b/>
                <w:bCs/>
                <w:i/>
                <w:color w:val="000000"/>
                <w:lang w:eastAsia="en-GB"/>
              </w:rPr>
              <w:t>R</w:t>
            </w:r>
          </w:p>
        </w:tc>
        <w:tc>
          <w:tcPr>
            <w:tcW w:w="890" w:type="dxa"/>
            <w:tcBorders>
              <w:top w:val="single" w:sz="4" w:space="0" w:color="auto"/>
              <w:bottom w:val="single" w:sz="4" w:space="0" w:color="auto"/>
            </w:tcBorders>
            <w:shd w:val="clear" w:color="auto" w:fill="auto"/>
            <w:vAlign w:val="center"/>
            <w:hideMark/>
          </w:tcPr>
          <w:p w:rsidR="00A35CA0" w:rsidRPr="00CA5FBB" w:rsidRDefault="008C54DF" w:rsidP="00CA5FBB">
            <w:pPr>
              <w:spacing w:before="0" w:line="240" w:lineRule="auto"/>
              <w:jc w:val="center"/>
              <w:rPr>
                <w:rFonts w:eastAsia="Times New Roman"/>
                <w:b/>
                <w:color w:val="000000"/>
                <w:lang w:val="en-GB" w:eastAsia="en-GB"/>
              </w:rPr>
            </w:pPr>
            <w:r w:rsidRPr="00763CDF">
              <w:rPr>
                <w:rFonts w:eastAsia="Times New Roman"/>
                <w:b/>
                <w:bCs/>
                <w:i/>
                <w:color w:val="000000"/>
                <w:lang w:eastAsia="en-GB"/>
              </w:rPr>
              <w:t>R</w:t>
            </w:r>
            <w:r w:rsidRPr="00763CDF">
              <w:rPr>
                <w:rFonts w:eastAsia="Times New Roman"/>
                <w:b/>
                <w:bCs/>
                <w:color w:val="000000"/>
                <w:vertAlign w:val="superscript"/>
                <w:lang w:eastAsia="en-GB"/>
              </w:rPr>
              <w:t>2</w:t>
            </w:r>
          </w:p>
        </w:tc>
        <w:tc>
          <w:tcPr>
            <w:tcW w:w="1072" w:type="dxa"/>
            <w:tcBorders>
              <w:top w:val="single" w:sz="4" w:space="0" w:color="auto"/>
              <w:bottom w:val="single" w:sz="4" w:space="0" w:color="auto"/>
            </w:tcBorders>
            <w:shd w:val="clear" w:color="auto" w:fill="auto"/>
            <w:vAlign w:val="center"/>
            <w:hideMark/>
          </w:tcPr>
          <w:p w:rsidR="00A35CA0" w:rsidRPr="00CA5FBB" w:rsidRDefault="008C54DF" w:rsidP="00CA5FBB">
            <w:pPr>
              <w:spacing w:before="0" w:line="240" w:lineRule="auto"/>
              <w:jc w:val="center"/>
              <w:rPr>
                <w:rFonts w:eastAsia="Times New Roman"/>
                <w:b/>
                <w:color w:val="000000"/>
                <w:lang w:val="en-GB" w:eastAsia="en-GB"/>
              </w:rPr>
            </w:pPr>
            <w:r>
              <w:rPr>
                <w:rFonts w:eastAsia="Times New Roman"/>
                <w:b/>
                <w:color w:val="000000"/>
                <w:lang w:val="en-GB" w:eastAsia="en-GB"/>
              </w:rPr>
              <w:t>a</w:t>
            </w:r>
            <w:r w:rsidR="008943E4" w:rsidRPr="00CA5FBB">
              <w:rPr>
                <w:rFonts w:eastAsia="Times New Roman"/>
                <w:b/>
                <w:color w:val="000000"/>
                <w:lang w:val="en-GB" w:eastAsia="en-GB"/>
              </w:rPr>
              <w:t xml:space="preserve">djusted </w:t>
            </w:r>
            <w:r w:rsidRPr="00763CDF">
              <w:rPr>
                <w:rFonts w:eastAsia="Times New Roman"/>
                <w:b/>
                <w:bCs/>
                <w:i/>
                <w:color w:val="000000"/>
                <w:lang w:eastAsia="en-GB"/>
              </w:rPr>
              <w:t>R</w:t>
            </w:r>
            <w:r w:rsidRPr="00763CDF">
              <w:rPr>
                <w:rFonts w:eastAsia="Times New Roman"/>
                <w:b/>
                <w:bCs/>
                <w:color w:val="000000"/>
                <w:vertAlign w:val="superscript"/>
                <w:lang w:eastAsia="en-GB"/>
              </w:rPr>
              <w:t>2</w:t>
            </w:r>
          </w:p>
        </w:tc>
        <w:tc>
          <w:tcPr>
            <w:tcW w:w="1824" w:type="dxa"/>
            <w:tcBorders>
              <w:top w:val="single" w:sz="4" w:space="0" w:color="auto"/>
              <w:bottom w:val="single" w:sz="4" w:space="0" w:color="auto"/>
            </w:tcBorders>
            <w:shd w:val="clear" w:color="auto" w:fill="auto"/>
            <w:vAlign w:val="center"/>
            <w:hideMark/>
          </w:tcPr>
          <w:p w:rsidR="00A35CA0" w:rsidRPr="00CA5FBB" w:rsidRDefault="008C54DF"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 xml:space="preserve">td. </w:t>
            </w:r>
            <w:r>
              <w:rPr>
                <w:rFonts w:eastAsia="Times New Roman"/>
                <w:b/>
                <w:color w:val="000000"/>
                <w:lang w:val="en-GB" w:eastAsia="en-GB"/>
              </w:rPr>
              <w:t>e</w:t>
            </w:r>
            <w:r w:rsidR="008943E4" w:rsidRPr="00CA5FBB">
              <w:rPr>
                <w:rFonts w:eastAsia="Times New Roman"/>
                <w:b/>
                <w:color w:val="000000"/>
                <w:lang w:val="en-GB" w:eastAsia="en-GB"/>
              </w:rPr>
              <w:t xml:space="preserve">rror of the </w:t>
            </w:r>
            <w:r>
              <w:rPr>
                <w:rFonts w:eastAsia="Times New Roman"/>
                <w:b/>
                <w:color w:val="000000"/>
                <w:lang w:val="en-GB" w:eastAsia="en-GB"/>
              </w:rPr>
              <w:t>e</w:t>
            </w:r>
            <w:r w:rsidR="008943E4" w:rsidRPr="00CA5FBB">
              <w:rPr>
                <w:rFonts w:eastAsia="Times New Roman"/>
                <w:b/>
                <w:color w:val="000000"/>
                <w:lang w:val="en-GB" w:eastAsia="en-GB"/>
              </w:rPr>
              <w:t>stimate</w:t>
            </w:r>
          </w:p>
        </w:tc>
        <w:tc>
          <w:tcPr>
            <w:tcW w:w="1467" w:type="dxa"/>
            <w:tcBorders>
              <w:top w:val="single" w:sz="4" w:space="0" w:color="auto"/>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Durbin-Watson</w:t>
            </w:r>
          </w:p>
        </w:tc>
      </w:tr>
      <w:tr w:rsidR="00886BB7" w:rsidRPr="001E6E5D" w:rsidTr="004605E1">
        <w:trPr>
          <w:trHeight w:val="390"/>
        </w:trPr>
        <w:tc>
          <w:tcPr>
            <w:tcW w:w="901" w:type="dxa"/>
            <w:vMerge w:val="restart"/>
            <w:tcBorders>
              <w:top w:val="single" w:sz="4" w:space="0" w:color="auto"/>
              <w:bottom w:val="nil"/>
            </w:tcBorders>
            <w:shd w:val="clear" w:color="auto" w:fill="auto"/>
            <w:noWrap/>
            <w:vAlign w:val="center"/>
            <w:hideMark/>
          </w:tcPr>
          <w:p w:rsidR="00A35CA0" w:rsidRDefault="00886BB7" w:rsidP="00CA5FBB">
            <w:pPr>
              <w:spacing w:before="0" w:line="240" w:lineRule="auto"/>
              <w:jc w:val="center"/>
              <w:rPr>
                <w:rFonts w:eastAsia="Times New Roman"/>
                <w:lang w:val="en-GB" w:eastAsia="en-GB"/>
              </w:rPr>
            </w:pPr>
            <w:r w:rsidRPr="001E6E5D">
              <w:rPr>
                <w:rFonts w:eastAsia="Times New Roman"/>
                <w:lang w:val="en-GB" w:eastAsia="en-GB"/>
              </w:rPr>
              <w:t>females</w:t>
            </w:r>
          </w:p>
        </w:tc>
        <w:tc>
          <w:tcPr>
            <w:tcW w:w="2473" w:type="dxa"/>
            <w:tcBorders>
              <w:top w:val="single" w:sz="4" w:space="0" w:color="auto"/>
              <w:bottom w:val="nil"/>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humerus-femur</w:t>
            </w:r>
          </w:p>
        </w:tc>
        <w:tc>
          <w:tcPr>
            <w:tcW w:w="854" w:type="dxa"/>
            <w:tcBorders>
              <w:top w:val="single" w:sz="4" w:space="0" w:color="auto"/>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.992</w:t>
            </w:r>
            <w:r w:rsidR="00886BB7" w:rsidRPr="001E6E5D">
              <w:rPr>
                <w:rFonts w:eastAsia="Times New Roman"/>
                <w:color w:val="000000"/>
                <w:vertAlign w:val="superscript"/>
                <w:lang w:val="en-GB" w:eastAsia="en-GB"/>
              </w:rPr>
              <w:t>a</w:t>
            </w:r>
          </w:p>
        </w:tc>
        <w:tc>
          <w:tcPr>
            <w:tcW w:w="890" w:type="dxa"/>
            <w:tcBorders>
              <w:top w:val="single" w:sz="4" w:space="0" w:color="auto"/>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.983</w:t>
            </w:r>
          </w:p>
        </w:tc>
        <w:tc>
          <w:tcPr>
            <w:tcW w:w="1072" w:type="dxa"/>
            <w:tcBorders>
              <w:top w:val="single" w:sz="4" w:space="0" w:color="auto"/>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.983</w:t>
            </w:r>
          </w:p>
        </w:tc>
        <w:tc>
          <w:tcPr>
            <w:tcW w:w="1824" w:type="dxa"/>
            <w:tcBorders>
              <w:top w:val="single" w:sz="4" w:space="0" w:color="auto"/>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.012</w:t>
            </w:r>
            <w:r w:rsidR="00886BB7">
              <w:rPr>
                <w:rFonts w:eastAsia="Times New Roman"/>
                <w:color w:val="000000"/>
                <w:lang w:val="en-GB" w:eastAsia="en-GB"/>
              </w:rPr>
              <w:t>3</w:t>
            </w:r>
          </w:p>
        </w:tc>
        <w:tc>
          <w:tcPr>
            <w:tcW w:w="1467" w:type="dxa"/>
            <w:tcBorders>
              <w:top w:val="single" w:sz="4" w:space="0" w:color="auto"/>
              <w:bottom w:val="nil"/>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1.565</w:t>
            </w:r>
          </w:p>
        </w:tc>
      </w:tr>
      <w:tr w:rsidR="00886BB7" w:rsidRPr="001E6E5D" w:rsidTr="004605E1">
        <w:trPr>
          <w:trHeight w:val="375"/>
        </w:trPr>
        <w:tc>
          <w:tcPr>
            <w:tcW w:w="901"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tcBorders>
              <w:top w:val="nil"/>
              <w:bottom w:val="nil"/>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radius tibia</w:t>
            </w:r>
          </w:p>
        </w:tc>
        <w:tc>
          <w:tcPr>
            <w:tcW w:w="854" w:type="dxa"/>
            <w:tcBorders>
              <w:top w:val="nil"/>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.986</w:t>
            </w:r>
            <w:r w:rsidR="00886BB7" w:rsidRPr="001E6E5D">
              <w:rPr>
                <w:rFonts w:eastAsia="Times New Roman"/>
                <w:color w:val="000000"/>
                <w:vertAlign w:val="superscript"/>
                <w:lang w:val="en-GB" w:eastAsia="en-GB"/>
              </w:rPr>
              <w:t>a</w:t>
            </w:r>
          </w:p>
        </w:tc>
        <w:tc>
          <w:tcPr>
            <w:tcW w:w="890" w:type="dxa"/>
            <w:tcBorders>
              <w:top w:val="nil"/>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.971</w:t>
            </w:r>
          </w:p>
        </w:tc>
        <w:tc>
          <w:tcPr>
            <w:tcW w:w="1072" w:type="dxa"/>
            <w:tcBorders>
              <w:top w:val="nil"/>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.971</w:t>
            </w:r>
          </w:p>
        </w:tc>
        <w:tc>
          <w:tcPr>
            <w:tcW w:w="1824" w:type="dxa"/>
            <w:tcBorders>
              <w:top w:val="nil"/>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.0146</w:t>
            </w:r>
            <w:r w:rsidR="00886BB7">
              <w:rPr>
                <w:rFonts w:eastAsia="Times New Roman"/>
                <w:color w:val="000000"/>
                <w:lang w:val="en-GB" w:eastAsia="en-GB"/>
              </w:rPr>
              <w:t>7</w:t>
            </w:r>
          </w:p>
        </w:tc>
        <w:tc>
          <w:tcPr>
            <w:tcW w:w="1467" w:type="dxa"/>
            <w:tcBorders>
              <w:top w:val="nil"/>
              <w:bottom w:val="nil"/>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1.637</w:t>
            </w:r>
          </w:p>
        </w:tc>
      </w:tr>
      <w:tr w:rsidR="00886BB7" w:rsidRPr="001E6E5D" w:rsidTr="004605E1">
        <w:trPr>
          <w:trHeight w:val="360"/>
        </w:trPr>
        <w:tc>
          <w:tcPr>
            <w:tcW w:w="901"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tcBorders>
              <w:top w:val="nil"/>
              <w:bottom w:val="nil"/>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humerus-radius</w:t>
            </w:r>
          </w:p>
        </w:tc>
        <w:tc>
          <w:tcPr>
            <w:tcW w:w="854" w:type="dxa"/>
            <w:tcBorders>
              <w:top w:val="nil"/>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.987</w:t>
            </w:r>
            <w:r w:rsidR="00886BB7" w:rsidRPr="001E6E5D">
              <w:rPr>
                <w:rFonts w:eastAsia="Times New Roman"/>
                <w:color w:val="000000"/>
                <w:vertAlign w:val="superscript"/>
                <w:lang w:val="en-GB" w:eastAsia="en-GB"/>
              </w:rPr>
              <w:t>a</w:t>
            </w:r>
          </w:p>
        </w:tc>
        <w:tc>
          <w:tcPr>
            <w:tcW w:w="890" w:type="dxa"/>
            <w:tcBorders>
              <w:top w:val="nil"/>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.975</w:t>
            </w:r>
          </w:p>
        </w:tc>
        <w:tc>
          <w:tcPr>
            <w:tcW w:w="1072" w:type="dxa"/>
            <w:tcBorders>
              <w:top w:val="nil"/>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.975</w:t>
            </w:r>
          </w:p>
        </w:tc>
        <w:tc>
          <w:tcPr>
            <w:tcW w:w="1824" w:type="dxa"/>
            <w:tcBorders>
              <w:top w:val="nil"/>
              <w:bottom w:val="nil"/>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.0135</w:t>
            </w:r>
          </w:p>
        </w:tc>
        <w:tc>
          <w:tcPr>
            <w:tcW w:w="1467" w:type="dxa"/>
            <w:tcBorders>
              <w:top w:val="nil"/>
              <w:bottom w:val="nil"/>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1.672</w:t>
            </w:r>
          </w:p>
        </w:tc>
      </w:tr>
      <w:tr w:rsidR="00886BB7" w:rsidRPr="001E6E5D" w:rsidTr="004605E1">
        <w:trPr>
          <w:trHeight w:val="315"/>
        </w:trPr>
        <w:tc>
          <w:tcPr>
            <w:tcW w:w="901"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tcBorders>
              <w:top w:val="nil"/>
              <w:bottom w:val="single" w:sz="4" w:space="0" w:color="auto"/>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tibia-femur</w:t>
            </w:r>
          </w:p>
        </w:tc>
        <w:tc>
          <w:tcPr>
            <w:tcW w:w="854" w:type="dxa"/>
            <w:tcBorders>
              <w:top w:val="nil"/>
              <w:bottom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.990</w:t>
            </w:r>
            <w:r w:rsidR="00886BB7" w:rsidRPr="001E6E5D">
              <w:rPr>
                <w:rFonts w:eastAsia="Times New Roman"/>
                <w:color w:val="000000"/>
                <w:vertAlign w:val="superscript"/>
                <w:lang w:val="en-GB" w:eastAsia="en-GB"/>
              </w:rPr>
              <w:t>a</w:t>
            </w:r>
          </w:p>
        </w:tc>
        <w:tc>
          <w:tcPr>
            <w:tcW w:w="890" w:type="dxa"/>
            <w:tcBorders>
              <w:top w:val="nil"/>
              <w:bottom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.981</w:t>
            </w:r>
          </w:p>
        </w:tc>
        <w:tc>
          <w:tcPr>
            <w:tcW w:w="1072" w:type="dxa"/>
            <w:tcBorders>
              <w:top w:val="nil"/>
              <w:bottom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.981</w:t>
            </w:r>
          </w:p>
        </w:tc>
        <w:tc>
          <w:tcPr>
            <w:tcW w:w="1824" w:type="dxa"/>
            <w:tcBorders>
              <w:top w:val="nil"/>
              <w:bottom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.013</w:t>
            </w:r>
            <w:r w:rsidR="00886BB7">
              <w:rPr>
                <w:rFonts w:eastAsia="Times New Roman"/>
                <w:color w:val="000000"/>
                <w:lang w:val="en-GB" w:eastAsia="en-GB"/>
              </w:rPr>
              <w:t>9</w:t>
            </w:r>
          </w:p>
        </w:tc>
        <w:tc>
          <w:tcPr>
            <w:tcW w:w="1467" w:type="dxa"/>
            <w:tcBorders>
              <w:top w:val="nil"/>
              <w:bottom w:val="single" w:sz="4" w:space="0" w:color="auto"/>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1.694</w:t>
            </w:r>
          </w:p>
        </w:tc>
      </w:tr>
      <w:tr w:rsidR="00886BB7" w:rsidRPr="001E6E5D" w:rsidTr="004605E1">
        <w:trPr>
          <w:trHeight w:val="525"/>
        </w:trPr>
        <w:tc>
          <w:tcPr>
            <w:tcW w:w="901" w:type="dxa"/>
            <w:vMerge w:val="restart"/>
            <w:tcBorders>
              <w:top w:val="single" w:sz="4" w:space="0" w:color="auto"/>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males</w:t>
            </w:r>
          </w:p>
        </w:tc>
        <w:tc>
          <w:tcPr>
            <w:tcW w:w="2473" w:type="dxa"/>
            <w:tcBorders>
              <w:top w:val="single" w:sz="4" w:space="0" w:color="auto"/>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humerus-femur</w:t>
            </w:r>
          </w:p>
        </w:tc>
        <w:tc>
          <w:tcPr>
            <w:tcW w:w="854" w:type="dxa"/>
            <w:tcBorders>
              <w:top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.856</w:t>
            </w:r>
            <w:r w:rsidR="00886BB7" w:rsidRPr="001E6E5D">
              <w:rPr>
                <w:rFonts w:eastAsia="Times New Roman"/>
                <w:color w:val="000000"/>
                <w:vertAlign w:val="superscript"/>
                <w:lang w:val="en-GB" w:eastAsia="en-GB"/>
              </w:rPr>
              <w:t>a</w:t>
            </w:r>
          </w:p>
        </w:tc>
        <w:tc>
          <w:tcPr>
            <w:tcW w:w="890" w:type="dxa"/>
            <w:tcBorders>
              <w:top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.734</w:t>
            </w:r>
          </w:p>
        </w:tc>
        <w:tc>
          <w:tcPr>
            <w:tcW w:w="1072" w:type="dxa"/>
            <w:tcBorders>
              <w:top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.728</w:t>
            </w:r>
          </w:p>
        </w:tc>
        <w:tc>
          <w:tcPr>
            <w:tcW w:w="1824" w:type="dxa"/>
            <w:tcBorders>
              <w:top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Pr>
                <w:rFonts w:eastAsia="Times New Roman"/>
                <w:color w:val="000000"/>
                <w:lang w:val="en-GB" w:eastAsia="en-GB"/>
              </w:rPr>
              <w:t>.0460</w:t>
            </w:r>
          </w:p>
        </w:tc>
        <w:tc>
          <w:tcPr>
            <w:tcW w:w="1467" w:type="dxa"/>
            <w:tcBorders>
              <w:top w:val="single" w:sz="4" w:space="0" w:color="auto"/>
            </w:tcBorders>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1.217</w:t>
            </w:r>
          </w:p>
        </w:tc>
      </w:tr>
      <w:tr w:rsidR="00886BB7" w:rsidRPr="001E6E5D" w:rsidTr="004605E1">
        <w:trPr>
          <w:trHeight w:val="390"/>
        </w:trPr>
        <w:tc>
          <w:tcPr>
            <w:tcW w:w="9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radius tibia</w:t>
            </w:r>
          </w:p>
        </w:tc>
        <w:tc>
          <w:tcPr>
            <w:tcW w:w="854"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.992</w:t>
            </w:r>
            <w:r w:rsidR="00886BB7" w:rsidRPr="001E6E5D">
              <w:rPr>
                <w:rFonts w:eastAsia="Times New Roman"/>
                <w:color w:val="000000"/>
                <w:vertAlign w:val="superscript"/>
                <w:lang w:val="en-GB" w:eastAsia="en-GB"/>
              </w:rPr>
              <w:t>a</w:t>
            </w:r>
          </w:p>
        </w:tc>
        <w:tc>
          <w:tcPr>
            <w:tcW w:w="890"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.985</w:t>
            </w:r>
          </w:p>
        </w:tc>
        <w:tc>
          <w:tcPr>
            <w:tcW w:w="1072"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.985</w:t>
            </w:r>
          </w:p>
        </w:tc>
        <w:tc>
          <w:tcPr>
            <w:tcW w:w="1824"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.0113</w:t>
            </w:r>
          </w:p>
        </w:tc>
        <w:tc>
          <w:tcPr>
            <w:tcW w:w="1467" w:type="dxa"/>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1.631</w:t>
            </w:r>
          </w:p>
        </w:tc>
      </w:tr>
      <w:tr w:rsidR="00886BB7" w:rsidRPr="001E6E5D" w:rsidTr="004605E1">
        <w:trPr>
          <w:trHeight w:val="375"/>
        </w:trPr>
        <w:tc>
          <w:tcPr>
            <w:tcW w:w="9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humerus-radius</w:t>
            </w:r>
          </w:p>
        </w:tc>
        <w:tc>
          <w:tcPr>
            <w:tcW w:w="854"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.950</w:t>
            </w:r>
            <w:r w:rsidR="00886BB7" w:rsidRPr="001E6E5D">
              <w:rPr>
                <w:rFonts w:eastAsia="Times New Roman"/>
                <w:color w:val="000000"/>
                <w:vertAlign w:val="superscript"/>
                <w:lang w:val="en-GB" w:eastAsia="en-GB"/>
              </w:rPr>
              <w:t>a</w:t>
            </w:r>
          </w:p>
        </w:tc>
        <w:tc>
          <w:tcPr>
            <w:tcW w:w="890"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.903</w:t>
            </w:r>
          </w:p>
        </w:tc>
        <w:tc>
          <w:tcPr>
            <w:tcW w:w="1072"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.901</w:t>
            </w:r>
          </w:p>
        </w:tc>
        <w:tc>
          <w:tcPr>
            <w:tcW w:w="1824"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Pr>
                <w:rFonts w:eastAsia="Times New Roman"/>
                <w:color w:val="000000"/>
                <w:lang w:val="en-GB" w:eastAsia="en-GB"/>
              </w:rPr>
              <w:t>.0280</w:t>
            </w:r>
          </w:p>
        </w:tc>
        <w:tc>
          <w:tcPr>
            <w:tcW w:w="1467" w:type="dxa"/>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1.477</w:t>
            </w:r>
          </w:p>
        </w:tc>
      </w:tr>
      <w:tr w:rsidR="00886BB7" w:rsidRPr="001E6E5D" w:rsidTr="004605E1">
        <w:trPr>
          <w:trHeight w:val="360"/>
        </w:trPr>
        <w:tc>
          <w:tcPr>
            <w:tcW w:w="9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tibia-femur</w:t>
            </w:r>
          </w:p>
        </w:tc>
        <w:tc>
          <w:tcPr>
            <w:tcW w:w="854"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.995</w:t>
            </w:r>
            <w:r w:rsidR="00886BB7" w:rsidRPr="001E6E5D">
              <w:rPr>
                <w:rFonts w:eastAsia="Times New Roman"/>
                <w:color w:val="000000"/>
                <w:vertAlign w:val="superscript"/>
                <w:lang w:val="en-GB" w:eastAsia="en-GB"/>
              </w:rPr>
              <w:t>a</w:t>
            </w:r>
          </w:p>
        </w:tc>
        <w:tc>
          <w:tcPr>
            <w:tcW w:w="890"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.989</w:t>
            </w:r>
          </w:p>
        </w:tc>
        <w:tc>
          <w:tcPr>
            <w:tcW w:w="1072"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.989</w:t>
            </w:r>
          </w:p>
        </w:tc>
        <w:tc>
          <w:tcPr>
            <w:tcW w:w="1824"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886BB7" w:rsidRPr="001E6E5D">
              <w:rPr>
                <w:rFonts w:eastAsia="Times New Roman"/>
                <w:color w:val="000000"/>
                <w:lang w:val="en-GB" w:eastAsia="en-GB"/>
              </w:rPr>
              <w:t>.010</w:t>
            </w:r>
            <w:r w:rsidR="00886BB7">
              <w:rPr>
                <w:rFonts w:eastAsia="Times New Roman"/>
                <w:color w:val="000000"/>
                <w:lang w:val="en-GB" w:eastAsia="en-GB"/>
              </w:rPr>
              <w:t>3</w:t>
            </w:r>
          </w:p>
        </w:tc>
        <w:tc>
          <w:tcPr>
            <w:tcW w:w="1467" w:type="dxa"/>
            <w:shd w:val="clear" w:color="auto" w:fill="auto"/>
            <w:noWrap/>
            <w:vAlign w:val="center"/>
            <w:hideMark/>
          </w:tcPr>
          <w:p w:rsidR="00A35CA0" w:rsidRDefault="00886BB7" w:rsidP="00CA5FBB">
            <w:pPr>
              <w:spacing w:before="0" w:line="240" w:lineRule="auto"/>
              <w:jc w:val="center"/>
              <w:rPr>
                <w:rFonts w:eastAsia="Times New Roman"/>
                <w:color w:val="000000"/>
                <w:sz w:val="24"/>
                <w:szCs w:val="24"/>
                <w:lang w:val="en-GB" w:eastAsia="en-GB"/>
              </w:rPr>
            </w:pPr>
            <w:r w:rsidRPr="001E6E5D">
              <w:rPr>
                <w:rFonts w:eastAsia="Times New Roman"/>
                <w:color w:val="000000"/>
                <w:lang w:val="en-GB" w:eastAsia="en-GB"/>
              </w:rPr>
              <w:t>1.623</w:t>
            </w:r>
          </w:p>
        </w:tc>
      </w:tr>
    </w:tbl>
    <w:p w:rsidR="00A32446" w:rsidRDefault="00B54110" w:rsidP="00CE237E">
      <w:pPr>
        <w:tabs>
          <w:tab w:val="left" w:pos="360"/>
        </w:tabs>
        <w:spacing w:before="120" w:after="120" w:line="240" w:lineRule="auto"/>
        <w:rPr>
          <w:noProof/>
          <w:color w:val="000000" w:themeColor="text1"/>
        </w:rPr>
      </w:pPr>
      <w:bookmarkStart w:id="1022" w:name="_Toc373180170"/>
      <w:proofErr w:type="gramStart"/>
      <w:r w:rsidRPr="00E76021">
        <w:rPr>
          <w:b/>
        </w:rPr>
        <w:t xml:space="preserve">Table </w:t>
      </w:r>
      <w:r w:rsidR="008943E4" w:rsidRPr="00E76021">
        <w:rPr>
          <w:b/>
        </w:rPr>
        <w:fldChar w:fldCharType="begin"/>
      </w:r>
      <w:r w:rsidRPr="00E76021">
        <w:rPr>
          <w:b/>
        </w:rPr>
        <w:instrText xml:space="preserve"> STYLEREF 1 \s </w:instrText>
      </w:r>
      <w:r w:rsidR="008943E4" w:rsidRPr="00E76021">
        <w:rPr>
          <w:b/>
        </w:rPr>
        <w:fldChar w:fldCharType="separate"/>
      </w:r>
      <w:r w:rsidR="00795735">
        <w:rPr>
          <w:b/>
          <w:noProof/>
        </w:rPr>
        <w:t>4</w:t>
      </w:r>
      <w:r w:rsidR="008943E4" w:rsidRPr="00E76021">
        <w:rPr>
          <w:b/>
        </w:rPr>
        <w:fldChar w:fldCharType="end"/>
      </w:r>
      <w:r w:rsidRPr="00E76021">
        <w:rPr>
          <w:b/>
        </w:rPr>
        <w:t>.</w:t>
      </w:r>
      <w:proofErr w:type="gramEnd"/>
      <w:r w:rsidR="008943E4" w:rsidRPr="00E76021">
        <w:rPr>
          <w:b/>
        </w:rPr>
        <w:fldChar w:fldCharType="begin"/>
      </w:r>
      <w:r w:rsidRPr="00E76021">
        <w:rPr>
          <w:b/>
        </w:rPr>
        <w:instrText xml:space="preserve"> SEQ Table \* ARABIC \s 1 </w:instrText>
      </w:r>
      <w:r w:rsidR="008943E4" w:rsidRPr="00E76021">
        <w:rPr>
          <w:b/>
        </w:rPr>
        <w:fldChar w:fldCharType="separate"/>
      </w:r>
      <w:r w:rsidR="00795735">
        <w:rPr>
          <w:b/>
          <w:noProof/>
        </w:rPr>
        <w:t>26</w:t>
      </w:r>
      <w:r w:rsidR="008943E4" w:rsidRPr="00E76021">
        <w:rPr>
          <w:b/>
        </w:rPr>
        <w:fldChar w:fldCharType="end"/>
      </w:r>
      <w:r>
        <w:rPr>
          <w:noProof/>
          <w:color w:val="000000" w:themeColor="text1"/>
        </w:rPr>
        <w:t xml:space="preserve"> </w:t>
      </w:r>
      <w:r w:rsidR="009D295A">
        <w:rPr>
          <w:noProof/>
          <w:color w:val="000000" w:themeColor="text1"/>
        </w:rPr>
        <w:t xml:space="preserve">Regression values for analysis of serially homologous limb elements in </w:t>
      </w:r>
      <w:r w:rsidR="009D295A">
        <w:rPr>
          <w:i/>
          <w:noProof/>
          <w:color w:val="000000" w:themeColor="text1"/>
        </w:rPr>
        <w:t>Pan paniscus</w:t>
      </w:r>
      <w:r>
        <w:rPr>
          <w:noProof/>
          <w:color w:val="000000" w:themeColor="text1"/>
        </w:rPr>
        <w:t>.</w:t>
      </w:r>
      <w:bookmarkEnd w:id="1022"/>
    </w:p>
    <w:tbl>
      <w:tblPr>
        <w:tblW w:w="9422" w:type="dxa"/>
        <w:tblInd w:w="93" w:type="dxa"/>
        <w:tblBorders>
          <w:top w:val="single" w:sz="4" w:space="0" w:color="auto"/>
          <w:bottom w:val="single" w:sz="4" w:space="0" w:color="auto"/>
        </w:tblBorders>
        <w:tblLook w:val="04A0" w:firstRow="1" w:lastRow="0" w:firstColumn="1" w:lastColumn="0" w:noHBand="0" w:noVBand="1"/>
      </w:tblPr>
      <w:tblGrid>
        <w:gridCol w:w="901"/>
        <w:gridCol w:w="2473"/>
        <w:gridCol w:w="862"/>
        <w:gridCol w:w="888"/>
        <w:gridCol w:w="1023"/>
        <w:gridCol w:w="1818"/>
        <w:gridCol w:w="1469"/>
      </w:tblGrid>
      <w:tr w:rsidR="00782031" w:rsidRPr="00A32446" w:rsidTr="00CE237E">
        <w:trPr>
          <w:trHeight w:val="652"/>
        </w:trPr>
        <w:tc>
          <w:tcPr>
            <w:tcW w:w="901" w:type="dxa"/>
            <w:tcBorders>
              <w:top w:val="single" w:sz="4" w:space="0" w:color="auto"/>
              <w:bottom w:val="single" w:sz="4" w:space="0" w:color="auto"/>
            </w:tcBorders>
            <w:shd w:val="clear" w:color="auto" w:fill="auto"/>
            <w:noWrap/>
            <w:vAlign w:val="center"/>
            <w:hideMark/>
          </w:tcPr>
          <w:p w:rsidR="00A35CA0" w:rsidRPr="00CA5FBB" w:rsidRDefault="00CE237E"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ex</w:t>
            </w:r>
          </w:p>
        </w:tc>
        <w:tc>
          <w:tcPr>
            <w:tcW w:w="2473" w:type="dxa"/>
            <w:tcBorders>
              <w:top w:val="single" w:sz="4" w:space="0" w:color="auto"/>
              <w:bottom w:val="single" w:sz="4" w:space="0" w:color="auto"/>
            </w:tcBorders>
            <w:shd w:val="clear" w:color="auto" w:fill="auto"/>
            <w:noWrap/>
            <w:vAlign w:val="center"/>
            <w:hideMark/>
          </w:tcPr>
          <w:p w:rsidR="00A35CA0" w:rsidRPr="00CA5FBB" w:rsidRDefault="00CE237E" w:rsidP="00CA5FBB">
            <w:pPr>
              <w:spacing w:before="0" w:line="240" w:lineRule="auto"/>
              <w:jc w:val="center"/>
              <w:rPr>
                <w:rFonts w:eastAsia="Times New Roman"/>
                <w:b/>
                <w:color w:val="000000"/>
                <w:lang w:val="en-GB" w:eastAsia="en-GB"/>
              </w:rPr>
            </w:pPr>
            <w:r>
              <w:rPr>
                <w:rFonts w:eastAsia="Times New Roman"/>
                <w:b/>
                <w:color w:val="000000"/>
                <w:lang w:val="en-GB" w:eastAsia="en-GB"/>
              </w:rPr>
              <w:t>b</w:t>
            </w:r>
            <w:r w:rsidR="008943E4" w:rsidRPr="00CA5FBB">
              <w:rPr>
                <w:rFonts w:eastAsia="Times New Roman"/>
                <w:b/>
                <w:color w:val="000000"/>
                <w:lang w:val="en-GB" w:eastAsia="en-GB"/>
              </w:rPr>
              <w:t>one-comparison</w:t>
            </w:r>
          </w:p>
        </w:tc>
        <w:tc>
          <w:tcPr>
            <w:tcW w:w="862" w:type="dxa"/>
            <w:tcBorders>
              <w:top w:val="single" w:sz="4" w:space="0" w:color="auto"/>
              <w:bottom w:val="single" w:sz="4" w:space="0" w:color="auto"/>
            </w:tcBorders>
            <w:shd w:val="clear" w:color="auto" w:fill="auto"/>
            <w:vAlign w:val="center"/>
            <w:hideMark/>
          </w:tcPr>
          <w:p w:rsidR="00A35CA0" w:rsidRPr="00CA5FBB" w:rsidRDefault="00CE237E" w:rsidP="00CA5FBB">
            <w:pPr>
              <w:spacing w:before="0" w:line="240" w:lineRule="auto"/>
              <w:jc w:val="center"/>
              <w:rPr>
                <w:rFonts w:eastAsia="Times New Roman"/>
                <w:b/>
                <w:color w:val="000000"/>
                <w:lang w:val="en-GB" w:eastAsia="en-GB"/>
              </w:rPr>
            </w:pPr>
            <w:r w:rsidRPr="00763CDF">
              <w:rPr>
                <w:rFonts w:eastAsia="Times New Roman"/>
                <w:b/>
                <w:bCs/>
                <w:i/>
                <w:color w:val="000000"/>
                <w:lang w:eastAsia="en-GB"/>
              </w:rPr>
              <w:t>R</w:t>
            </w:r>
          </w:p>
        </w:tc>
        <w:tc>
          <w:tcPr>
            <w:tcW w:w="888" w:type="dxa"/>
            <w:tcBorders>
              <w:top w:val="single" w:sz="4" w:space="0" w:color="auto"/>
              <w:bottom w:val="single" w:sz="4" w:space="0" w:color="auto"/>
            </w:tcBorders>
            <w:shd w:val="clear" w:color="auto" w:fill="auto"/>
            <w:vAlign w:val="center"/>
            <w:hideMark/>
          </w:tcPr>
          <w:p w:rsidR="00A35CA0" w:rsidRPr="00CA5FBB" w:rsidRDefault="00CE237E" w:rsidP="00CA5FBB">
            <w:pPr>
              <w:spacing w:before="0" w:line="240" w:lineRule="auto"/>
              <w:jc w:val="center"/>
              <w:rPr>
                <w:rFonts w:eastAsia="Times New Roman"/>
                <w:b/>
                <w:color w:val="000000"/>
                <w:lang w:val="en-GB" w:eastAsia="en-GB"/>
              </w:rPr>
            </w:pPr>
            <w:r w:rsidRPr="00763CDF">
              <w:rPr>
                <w:rFonts w:eastAsia="Times New Roman"/>
                <w:b/>
                <w:bCs/>
                <w:i/>
                <w:color w:val="000000"/>
                <w:lang w:eastAsia="en-GB"/>
              </w:rPr>
              <w:t>R</w:t>
            </w:r>
            <w:r w:rsidRPr="00763CDF">
              <w:rPr>
                <w:rFonts w:eastAsia="Times New Roman"/>
                <w:b/>
                <w:bCs/>
                <w:color w:val="000000"/>
                <w:vertAlign w:val="superscript"/>
                <w:lang w:eastAsia="en-GB"/>
              </w:rPr>
              <w:t>2</w:t>
            </w:r>
          </w:p>
        </w:tc>
        <w:tc>
          <w:tcPr>
            <w:tcW w:w="1011" w:type="dxa"/>
            <w:tcBorders>
              <w:top w:val="single" w:sz="4" w:space="0" w:color="auto"/>
              <w:bottom w:val="single" w:sz="4" w:space="0" w:color="auto"/>
            </w:tcBorders>
            <w:shd w:val="clear" w:color="auto" w:fill="auto"/>
            <w:vAlign w:val="center"/>
            <w:hideMark/>
          </w:tcPr>
          <w:p w:rsidR="00A35CA0" w:rsidRPr="00CA5FBB" w:rsidRDefault="00CE237E" w:rsidP="00CA5FBB">
            <w:pPr>
              <w:spacing w:before="0" w:line="240" w:lineRule="auto"/>
              <w:jc w:val="center"/>
              <w:rPr>
                <w:rFonts w:eastAsia="Times New Roman"/>
                <w:b/>
                <w:color w:val="000000"/>
                <w:lang w:val="en-GB" w:eastAsia="en-GB"/>
              </w:rPr>
            </w:pPr>
            <w:r>
              <w:rPr>
                <w:rFonts w:eastAsia="Times New Roman"/>
                <w:b/>
                <w:color w:val="000000"/>
                <w:lang w:val="en-GB" w:eastAsia="en-GB"/>
              </w:rPr>
              <w:t>a</w:t>
            </w:r>
            <w:r w:rsidR="008943E4" w:rsidRPr="00CA5FBB">
              <w:rPr>
                <w:rFonts w:eastAsia="Times New Roman"/>
                <w:b/>
                <w:color w:val="000000"/>
                <w:lang w:val="en-GB" w:eastAsia="en-GB"/>
              </w:rPr>
              <w:t xml:space="preserve">djusted </w:t>
            </w:r>
            <w:r w:rsidRPr="00763CDF">
              <w:rPr>
                <w:rFonts w:eastAsia="Times New Roman"/>
                <w:b/>
                <w:bCs/>
                <w:i/>
                <w:color w:val="000000"/>
                <w:lang w:eastAsia="en-GB"/>
              </w:rPr>
              <w:t>R</w:t>
            </w:r>
            <w:r w:rsidRPr="00763CDF">
              <w:rPr>
                <w:rFonts w:eastAsia="Times New Roman"/>
                <w:b/>
                <w:bCs/>
                <w:color w:val="000000"/>
                <w:vertAlign w:val="superscript"/>
                <w:lang w:eastAsia="en-GB"/>
              </w:rPr>
              <w:t>2</w:t>
            </w:r>
          </w:p>
        </w:tc>
        <w:tc>
          <w:tcPr>
            <w:tcW w:w="1818" w:type="dxa"/>
            <w:tcBorders>
              <w:top w:val="single" w:sz="4" w:space="0" w:color="auto"/>
              <w:bottom w:val="single" w:sz="4" w:space="0" w:color="auto"/>
            </w:tcBorders>
            <w:shd w:val="clear" w:color="auto" w:fill="auto"/>
            <w:vAlign w:val="center"/>
            <w:hideMark/>
          </w:tcPr>
          <w:p w:rsidR="00A35CA0" w:rsidRPr="00CA5FBB" w:rsidRDefault="00CE237E" w:rsidP="00CA5FBB">
            <w:pPr>
              <w:spacing w:before="0" w:line="240" w:lineRule="auto"/>
              <w:jc w:val="center"/>
              <w:rPr>
                <w:rFonts w:eastAsia="Times New Roman"/>
                <w:b/>
                <w:color w:val="000000"/>
                <w:lang w:val="en-GB" w:eastAsia="en-GB"/>
              </w:rPr>
            </w:pPr>
            <w:r>
              <w:rPr>
                <w:rFonts w:eastAsia="Times New Roman"/>
                <w:b/>
                <w:color w:val="000000"/>
                <w:lang w:val="en-GB" w:eastAsia="en-GB"/>
              </w:rPr>
              <w:t>s</w:t>
            </w:r>
            <w:r w:rsidR="008943E4" w:rsidRPr="00CA5FBB">
              <w:rPr>
                <w:rFonts w:eastAsia="Times New Roman"/>
                <w:b/>
                <w:color w:val="000000"/>
                <w:lang w:val="en-GB" w:eastAsia="en-GB"/>
              </w:rPr>
              <w:t xml:space="preserve">td. </w:t>
            </w:r>
            <w:r>
              <w:rPr>
                <w:rFonts w:eastAsia="Times New Roman"/>
                <w:b/>
                <w:color w:val="000000"/>
                <w:lang w:val="en-GB" w:eastAsia="en-GB"/>
              </w:rPr>
              <w:t>e</w:t>
            </w:r>
            <w:r w:rsidR="008943E4" w:rsidRPr="00CA5FBB">
              <w:rPr>
                <w:rFonts w:eastAsia="Times New Roman"/>
                <w:b/>
                <w:color w:val="000000"/>
                <w:lang w:val="en-GB" w:eastAsia="en-GB"/>
              </w:rPr>
              <w:t xml:space="preserve">rror of the </w:t>
            </w:r>
            <w:r>
              <w:rPr>
                <w:rFonts w:eastAsia="Times New Roman"/>
                <w:b/>
                <w:color w:val="000000"/>
                <w:lang w:val="en-GB" w:eastAsia="en-GB"/>
              </w:rPr>
              <w:t>e</w:t>
            </w:r>
            <w:r w:rsidR="008943E4" w:rsidRPr="00CA5FBB">
              <w:rPr>
                <w:rFonts w:eastAsia="Times New Roman"/>
                <w:b/>
                <w:color w:val="000000"/>
                <w:lang w:val="en-GB" w:eastAsia="en-GB"/>
              </w:rPr>
              <w:t>stimate</w:t>
            </w:r>
          </w:p>
        </w:tc>
        <w:tc>
          <w:tcPr>
            <w:tcW w:w="1469" w:type="dxa"/>
            <w:tcBorders>
              <w:top w:val="single" w:sz="4" w:space="0" w:color="auto"/>
              <w:bottom w:val="single" w:sz="4" w:space="0" w:color="auto"/>
            </w:tcBorders>
            <w:shd w:val="clear" w:color="auto" w:fill="auto"/>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Durbin-Watson</w:t>
            </w:r>
          </w:p>
        </w:tc>
      </w:tr>
      <w:tr w:rsidR="00782031" w:rsidRPr="00A32446" w:rsidTr="00CE237E">
        <w:trPr>
          <w:trHeight w:val="390"/>
        </w:trPr>
        <w:tc>
          <w:tcPr>
            <w:tcW w:w="901" w:type="dxa"/>
            <w:vMerge w:val="restart"/>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lang w:val="en-GB" w:eastAsia="en-GB"/>
              </w:rPr>
            </w:pPr>
            <w:r w:rsidRPr="00A32446">
              <w:rPr>
                <w:rFonts w:eastAsia="Times New Roman"/>
                <w:lang w:val="en-GB" w:eastAsia="en-GB"/>
              </w:rPr>
              <w:t>females</w:t>
            </w:r>
          </w:p>
        </w:tc>
        <w:tc>
          <w:tcPr>
            <w:tcW w:w="2473" w:type="dxa"/>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humerus-femur</w:t>
            </w:r>
          </w:p>
        </w:tc>
        <w:tc>
          <w:tcPr>
            <w:tcW w:w="862" w:type="dxa"/>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0.994</w:t>
            </w:r>
          </w:p>
        </w:tc>
        <w:tc>
          <w:tcPr>
            <w:tcW w:w="888" w:type="dxa"/>
            <w:tcBorders>
              <w:top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.989</w:t>
            </w:r>
          </w:p>
        </w:tc>
        <w:tc>
          <w:tcPr>
            <w:tcW w:w="1011" w:type="dxa"/>
            <w:tcBorders>
              <w:top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.987</w:t>
            </w:r>
          </w:p>
        </w:tc>
        <w:tc>
          <w:tcPr>
            <w:tcW w:w="1818" w:type="dxa"/>
            <w:tcBorders>
              <w:top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Pr>
                <w:rFonts w:eastAsia="Times New Roman"/>
                <w:color w:val="000000"/>
                <w:lang w:val="en-GB" w:eastAsia="en-GB"/>
              </w:rPr>
              <w:t>.009</w:t>
            </w:r>
          </w:p>
        </w:tc>
        <w:tc>
          <w:tcPr>
            <w:tcW w:w="1469" w:type="dxa"/>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2.283</w:t>
            </w:r>
          </w:p>
        </w:tc>
      </w:tr>
      <w:tr w:rsidR="00782031" w:rsidRPr="00A32446" w:rsidTr="00CE237E">
        <w:trPr>
          <w:trHeight w:val="375"/>
        </w:trPr>
        <w:tc>
          <w:tcPr>
            <w:tcW w:w="9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radius tibia</w:t>
            </w:r>
          </w:p>
        </w:tc>
        <w:tc>
          <w:tcPr>
            <w:tcW w:w="862"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0.988</w:t>
            </w:r>
          </w:p>
        </w:tc>
        <w:tc>
          <w:tcPr>
            <w:tcW w:w="88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.976</w:t>
            </w:r>
          </w:p>
        </w:tc>
        <w:tc>
          <w:tcPr>
            <w:tcW w:w="1011"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.973</w:t>
            </w:r>
          </w:p>
        </w:tc>
        <w:tc>
          <w:tcPr>
            <w:tcW w:w="181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.013</w:t>
            </w:r>
          </w:p>
        </w:tc>
        <w:tc>
          <w:tcPr>
            <w:tcW w:w="1469"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3.126</w:t>
            </w:r>
          </w:p>
        </w:tc>
      </w:tr>
      <w:tr w:rsidR="00782031" w:rsidRPr="00A32446" w:rsidTr="00CE237E">
        <w:trPr>
          <w:trHeight w:val="360"/>
        </w:trPr>
        <w:tc>
          <w:tcPr>
            <w:tcW w:w="9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humerus-radius</w:t>
            </w:r>
          </w:p>
        </w:tc>
        <w:tc>
          <w:tcPr>
            <w:tcW w:w="862"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0.999</w:t>
            </w:r>
          </w:p>
        </w:tc>
        <w:tc>
          <w:tcPr>
            <w:tcW w:w="88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.998</w:t>
            </w:r>
          </w:p>
        </w:tc>
        <w:tc>
          <w:tcPr>
            <w:tcW w:w="1011"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.998</w:t>
            </w:r>
          </w:p>
        </w:tc>
        <w:tc>
          <w:tcPr>
            <w:tcW w:w="181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.00</w:t>
            </w:r>
            <w:r w:rsidR="00782031">
              <w:rPr>
                <w:rFonts w:eastAsia="Times New Roman"/>
                <w:color w:val="000000"/>
                <w:lang w:val="en-GB" w:eastAsia="en-GB"/>
              </w:rPr>
              <w:t>4</w:t>
            </w:r>
          </w:p>
        </w:tc>
        <w:tc>
          <w:tcPr>
            <w:tcW w:w="1469"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2.287</w:t>
            </w:r>
          </w:p>
        </w:tc>
      </w:tr>
      <w:tr w:rsidR="00782031" w:rsidRPr="00A32446" w:rsidTr="00CE237E">
        <w:trPr>
          <w:trHeight w:val="315"/>
        </w:trPr>
        <w:tc>
          <w:tcPr>
            <w:tcW w:w="90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tcBorders>
              <w:bottom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tibia-femur</w:t>
            </w:r>
          </w:p>
        </w:tc>
        <w:tc>
          <w:tcPr>
            <w:tcW w:w="862" w:type="dxa"/>
            <w:tcBorders>
              <w:bottom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0.993</w:t>
            </w:r>
          </w:p>
        </w:tc>
        <w:tc>
          <w:tcPr>
            <w:tcW w:w="888" w:type="dxa"/>
            <w:tcBorders>
              <w:bottom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.986</w:t>
            </w:r>
          </w:p>
        </w:tc>
        <w:tc>
          <w:tcPr>
            <w:tcW w:w="1011" w:type="dxa"/>
            <w:tcBorders>
              <w:bottom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.985</w:t>
            </w:r>
          </w:p>
        </w:tc>
        <w:tc>
          <w:tcPr>
            <w:tcW w:w="1818" w:type="dxa"/>
            <w:tcBorders>
              <w:bottom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.0</w:t>
            </w:r>
            <w:r w:rsidR="00782031">
              <w:rPr>
                <w:rFonts w:eastAsia="Times New Roman"/>
                <w:color w:val="000000"/>
                <w:lang w:val="en-GB" w:eastAsia="en-GB"/>
              </w:rPr>
              <w:t>10</w:t>
            </w:r>
          </w:p>
        </w:tc>
        <w:tc>
          <w:tcPr>
            <w:tcW w:w="1469" w:type="dxa"/>
            <w:tcBorders>
              <w:bottom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2.611</w:t>
            </w:r>
          </w:p>
        </w:tc>
      </w:tr>
      <w:tr w:rsidR="00782031" w:rsidRPr="00A32446" w:rsidTr="00CE237E">
        <w:trPr>
          <w:trHeight w:val="525"/>
        </w:trPr>
        <w:tc>
          <w:tcPr>
            <w:tcW w:w="901" w:type="dxa"/>
            <w:vMerge w:val="restart"/>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males</w:t>
            </w:r>
          </w:p>
        </w:tc>
        <w:tc>
          <w:tcPr>
            <w:tcW w:w="2473" w:type="dxa"/>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humerus-femur</w:t>
            </w:r>
          </w:p>
        </w:tc>
        <w:tc>
          <w:tcPr>
            <w:tcW w:w="862" w:type="dxa"/>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0.981</w:t>
            </w:r>
          </w:p>
        </w:tc>
        <w:tc>
          <w:tcPr>
            <w:tcW w:w="888" w:type="dxa"/>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0.962</w:t>
            </w:r>
          </w:p>
        </w:tc>
        <w:tc>
          <w:tcPr>
            <w:tcW w:w="1011" w:type="dxa"/>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0.958</w:t>
            </w:r>
          </w:p>
        </w:tc>
        <w:tc>
          <w:tcPr>
            <w:tcW w:w="1818" w:type="dxa"/>
            <w:tcBorders>
              <w:top w:val="single" w:sz="4" w:space="0" w:color="auto"/>
            </w:tcBorders>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.022</w:t>
            </w:r>
          </w:p>
        </w:tc>
        <w:tc>
          <w:tcPr>
            <w:tcW w:w="1469" w:type="dxa"/>
            <w:tcBorders>
              <w:top w:val="single" w:sz="4" w:space="0" w:color="auto"/>
            </w:tcBorders>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2.708</w:t>
            </w:r>
          </w:p>
        </w:tc>
      </w:tr>
      <w:tr w:rsidR="00782031" w:rsidRPr="00A32446" w:rsidTr="00CE237E">
        <w:trPr>
          <w:trHeight w:val="390"/>
        </w:trPr>
        <w:tc>
          <w:tcPr>
            <w:tcW w:w="9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radius tibia</w:t>
            </w:r>
          </w:p>
        </w:tc>
        <w:tc>
          <w:tcPr>
            <w:tcW w:w="862"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0.996</w:t>
            </w:r>
          </w:p>
        </w:tc>
        <w:tc>
          <w:tcPr>
            <w:tcW w:w="88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.992</w:t>
            </w:r>
          </w:p>
        </w:tc>
        <w:tc>
          <w:tcPr>
            <w:tcW w:w="1011"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.991</w:t>
            </w:r>
          </w:p>
        </w:tc>
        <w:tc>
          <w:tcPr>
            <w:tcW w:w="181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Pr>
                <w:rFonts w:eastAsia="Times New Roman"/>
                <w:color w:val="000000"/>
                <w:lang w:val="en-GB" w:eastAsia="en-GB"/>
              </w:rPr>
              <w:t>.010</w:t>
            </w:r>
          </w:p>
        </w:tc>
        <w:tc>
          <w:tcPr>
            <w:tcW w:w="1469"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1.507</w:t>
            </w:r>
          </w:p>
        </w:tc>
      </w:tr>
      <w:tr w:rsidR="00782031" w:rsidRPr="00A32446" w:rsidTr="00CE237E">
        <w:trPr>
          <w:trHeight w:val="375"/>
        </w:trPr>
        <w:tc>
          <w:tcPr>
            <w:tcW w:w="9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humerus-radius</w:t>
            </w:r>
          </w:p>
        </w:tc>
        <w:tc>
          <w:tcPr>
            <w:tcW w:w="862"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0.987</w:t>
            </w:r>
          </w:p>
        </w:tc>
        <w:tc>
          <w:tcPr>
            <w:tcW w:w="88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.974</w:t>
            </w:r>
          </w:p>
        </w:tc>
        <w:tc>
          <w:tcPr>
            <w:tcW w:w="1011"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.972</w:t>
            </w:r>
          </w:p>
        </w:tc>
        <w:tc>
          <w:tcPr>
            <w:tcW w:w="181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Pr>
                <w:rFonts w:eastAsia="Times New Roman"/>
                <w:color w:val="000000"/>
                <w:lang w:val="en-GB" w:eastAsia="en-GB"/>
              </w:rPr>
              <w:t>.019</w:t>
            </w:r>
          </w:p>
        </w:tc>
        <w:tc>
          <w:tcPr>
            <w:tcW w:w="1469"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3.014</w:t>
            </w:r>
          </w:p>
        </w:tc>
      </w:tr>
      <w:tr w:rsidR="00782031" w:rsidRPr="00A32446" w:rsidTr="00CE237E">
        <w:trPr>
          <w:trHeight w:val="360"/>
        </w:trPr>
        <w:tc>
          <w:tcPr>
            <w:tcW w:w="90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473"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tibia-femur</w:t>
            </w:r>
          </w:p>
        </w:tc>
        <w:tc>
          <w:tcPr>
            <w:tcW w:w="862"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0.996</w:t>
            </w:r>
          </w:p>
        </w:tc>
        <w:tc>
          <w:tcPr>
            <w:tcW w:w="88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.992</w:t>
            </w:r>
          </w:p>
        </w:tc>
        <w:tc>
          <w:tcPr>
            <w:tcW w:w="1011"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.991</w:t>
            </w:r>
          </w:p>
        </w:tc>
        <w:tc>
          <w:tcPr>
            <w:tcW w:w="1818" w:type="dxa"/>
            <w:shd w:val="clear" w:color="auto" w:fill="auto"/>
            <w:noWrap/>
            <w:vAlign w:val="center"/>
            <w:hideMark/>
          </w:tcPr>
          <w:p w:rsidR="00A35CA0" w:rsidRDefault="00AE53F6"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0</w:t>
            </w:r>
            <w:r w:rsidR="00782031" w:rsidRPr="00A32446">
              <w:rPr>
                <w:rFonts w:eastAsia="Times New Roman"/>
                <w:color w:val="000000"/>
                <w:lang w:val="en-GB" w:eastAsia="en-GB"/>
              </w:rPr>
              <w:t>.00</w:t>
            </w:r>
            <w:r w:rsidR="00782031">
              <w:rPr>
                <w:rFonts w:eastAsia="Times New Roman"/>
                <w:color w:val="000000"/>
                <w:lang w:val="en-GB" w:eastAsia="en-GB"/>
              </w:rPr>
              <w:t>9</w:t>
            </w:r>
          </w:p>
        </w:tc>
        <w:tc>
          <w:tcPr>
            <w:tcW w:w="1469" w:type="dxa"/>
            <w:shd w:val="clear" w:color="auto" w:fill="auto"/>
            <w:noWrap/>
            <w:vAlign w:val="center"/>
            <w:hideMark/>
          </w:tcPr>
          <w:p w:rsidR="00A35CA0" w:rsidRDefault="00782031" w:rsidP="00CA5FBB">
            <w:pPr>
              <w:spacing w:before="0" w:line="240" w:lineRule="auto"/>
              <w:jc w:val="center"/>
              <w:rPr>
                <w:rFonts w:eastAsia="Times New Roman"/>
                <w:color w:val="000000"/>
                <w:sz w:val="24"/>
                <w:szCs w:val="24"/>
                <w:lang w:val="en-GB" w:eastAsia="en-GB"/>
              </w:rPr>
            </w:pPr>
            <w:r w:rsidRPr="00A32446">
              <w:rPr>
                <w:rFonts w:eastAsia="Times New Roman"/>
                <w:color w:val="000000"/>
                <w:lang w:val="en-GB" w:eastAsia="en-GB"/>
              </w:rPr>
              <w:t>2.318</w:t>
            </w:r>
          </w:p>
        </w:tc>
      </w:tr>
    </w:tbl>
    <w:p w:rsidR="00281EDF" w:rsidRDefault="00281EDF" w:rsidP="00281EDF">
      <w:pPr>
        <w:rPr>
          <w:noProof/>
        </w:rPr>
      </w:pPr>
      <w:r>
        <w:rPr>
          <w:noProof/>
        </w:rPr>
        <w:br w:type="page"/>
      </w:r>
    </w:p>
    <w:p w:rsidR="00A35CA0" w:rsidRPr="00D263E8" w:rsidRDefault="00281EDF" w:rsidP="00CA5FBB">
      <w:pPr>
        <w:pStyle w:val="Heading2"/>
      </w:pPr>
      <w:bookmarkStart w:id="1023" w:name="_Toc373477816"/>
      <w:bookmarkStart w:id="1024" w:name="_Toc373480814"/>
      <w:r w:rsidRPr="00D263E8">
        <w:rPr>
          <w:rStyle w:val="Heading2Char"/>
          <w:b/>
          <w:i/>
        </w:rPr>
        <w:lastRenderedPageBreak/>
        <w:t>Calendar year estimation of epiphyseal fusion events for comparability to other studies.</w:t>
      </w:r>
      <w:bookmarkEnd w:id="1023"/>
      <w:bookmarkEnd w:id="1024"/>
    </w:p>
    <w:p w:rsidR="00B92920" w:rsidRDefault="00B92920" w:rsidP="00B92920">
      <w:pPr>
        <w:rPr>
          <w:noProof/>
        </w:rPr>
      </w:pPr>
      <w:r>
        <w:rPr>
          <w:noProof/>
        </w:rPr>
        <w:t xml:space="preserve">Estimated chronological ages were produced using Kuykendall’s (1996) regression for summary dental score </w:t>
      </w:r>
      <w:r w:rsidR="00945480">
        <w:rPr>
          <w:noProof/>
        </w:rPr>
        <w:t xml:space="preserve">using </w:t>
      </w:r>
      <w:r>
        <w:rPr>
          <w:noProof/>
        </w:rPr>
        <w:t xml:space="preserve">8 teeth.  It should be noted that Kuykendall’s (1996) estimation of third molar completion was only technically a projection beyond stage 6, as there were no teeth present with stages 7 or 8 in his analysis.  Anemone </w:t>
      </w:r>
      <w:r>
        <w:rPr>
          <w:i/>
          <w:noProof/>
        </w:rPr>
        <w:t>et al</w:t>
      </w:r>
      <w:r>
        <w:rPr>
          <w:noProof/>
        </w:rPr>
        <w:t>. (1996) used a version of the Demirjian (1973) system in which complete third molar maturation was observed and their results agree with the projections of Kuykendall (1996) with maturation complete between 10-12 years.  Kuykendall’s regression</w:t>
      </w:r>
      <w:r w:rsidR="001A1BFD">
        <w:rPr>
          <w:noProof/>
        </w:rPr>
        <w:t xml:space="preserve"> equation</w:t>
      </w:r>
      <w:r>
        <w:rPr>
          <w:noProof/>
        </w:rPr>
        <w:t xml:space="preserve"> </w:t>
      </w:r>
      <w:r w:rsidR="001A1BFD">
        <w:rPr>
          <w:noProof/>
        </w:rPr>
        <w:t xml:space="preserve">for 8 teeth </w:t>
      </w:r>
      <w:r>
        <w:rPr>
          <w:noProof/>
        </w:rPr>
        <w:t xml:space="preserve">will be used </w:t>
      </w:r>
      <w:r w:rsidR="001A1BFD">
        <w:rPr>
          <w:noProof/>
        </w:rPr>
        <w:t xml:space="preserve">in this analysis as it is the only means available to predict age using </w:t>
      </w:r>
      <w:r>
        <w:rPr>
          <w:noProof/>
        </w:rPr>
        <w:t>summary dental score</w:t>
      </w:r>
      <w:r w:rsidR="001A1BFD">
        <w:rPr>
          <w:noProof/>
        </w:rPr>
        <w:t xml:space="preserve">.  </w:t>
      </w:r>
      <w:r>
        <w:rPr>
          <w:noProof/>
        </w:rPr>
        <w:t xml:space="preserve">Anemone’s </w:t>
      </w:r>
      <w:r w:rsidR="004C64CF">
        <w:rPr>
          <w:noProof/>
        </w:rPr>
        <w:t>(1996</w:t>
      </w:r>
      <w:r w:rsidR="00FA58F1">
        <w:rPr>
          <w:noProof/>
        </w:rPr>
        <w:t xml:space="preserve">) </w:t>
      </w:r>
      <w:r>
        <w:rPr>
          <w:noProof/>
        </w:rPr>
        <w:t xml:space="preserve">study </w:t>
      </w:r>
      <w:r w:rsidR="001A1BFD">
        <w:rPr>
          <w:noProof/>
        </w:rPr>
        <w:t>provided information for individual teeth but did not provide a regression</w:t>
      </w:r>
      <w:r w:rsidR="004C64CF">
        <w:rPr>
          <w:noProof/>
        </w:rPr>
        <w:t xml:space="preserve"> equation</w:t>
      </w:r>
      <w:r>
        <w:rPr>
          <w:noProof/>
        </w:rPr>
        <w:t>.</w:t>
      </w:r>
      <w:r w:rsidR="00414E5C">
        <w:rPr>
          <w:noProof/>
        </w:rPr>
        <w:t xml:space="preserve">  The concordance between Kuykendall’s (1996) regression </w:t>
      </w:r>
      <w:r w:rsidR="004C64CF">
        <w:rPr>
          <w:noProof/>
        </w:rPr>
        <w:t xml:space="preserve">estimate </w:t>
      </w:r>
      <w:r w:rsidR="00414E5C">
        <w:rPr>
          <w:noProof/>
        </w:rPr>
        <w:t>for third molar maturation timing and Anemone’s (199</w:t>
      </w:r>
      <w:r w:rsidR="00B506B9">
        <w:rPr>
          <w:noProof/>
        </w:rPr>
        <w:t>6</w:t>
      </w:r>
      <w:r w:rsidR="00414E5C">
        <w:rPr>
          <w:noProof/>
        </w:rPr>
        <w:t>) observation of real-world individuals provide</w:t>
      </w:r>
      <w:r w:rsidR="004C64CF">
        <w:rPr>
          <w:noProof/>
        </w:rPr>
        <w:t>s support for the</w:t>
      </w:r>
      <w:r w:rsidR="00414E5C">
        <w:rPr>
          <w:noProof/>
        </w:rPr>
        <w:t xml:space="preserve"> approach</w:t>
      </w:r>
      <w:r w:rsidR="004C64CF">
        <w:rPr>
          <w:noProof/>
        </w:rPr>
        <w:t xml:space="preserve"> used here</w:t>
      </w:r>
      <w:r w:rsidR="00414E5C">
        <w:rPr>
          <w:noProof/>
        </w:rPr>
        <w:t>.</w:t>
      </w:r>
    </w:p>
    <w:p w:rsidR="00615D2A" w:rsidRDefault="00B92920" w:rsidP="00B92920">
      <w:pPr>
        <w:rPr>
          <w:noProof/>
        </w:rPr>
      </w:pPr>
      <w:r>
        <w:rPr>
          <w:noProof/>
        </w:rPr>
        <w:t xml:space="preserve">Estimated chronological ages </w:t>
      </w:r>
      <w:r w:rsidR="00CE7B4A">
        <w:rPr>
          <w:noProof/>
        </w:rPr>
        <w:t>using</w:t>
      </w:r>
      <w:r>
        <w:rPr>
          <w:noProof/>
        </w:rPr>
        <w:t xml:space="preserve"> 8 teeth for both mid-fusion and complete fusion are shown in Table </w:t>
      </w:r>
      <w:r w:rsidR="00281EDF">
        <w:rPr>
          <w:noProof/>
        </w:rPr>
        <w:t>4.27</w:t>
      </w:r>
      <w:r>
        <w:rPr>
          <w:noProof/>
        </w:rPr>
        <w:t xml:space="preserve">.  Scores with median values of 64 are simply noted as greater than </w:t>
      </w:r>
      <w:r w:rsidR="007F6FE1">
        <w:rPr>
          <w:noProof/>
        </w:rPr>
        <w:t>or equal to (</w:t>
      </w:r>
      <w:r w:rsidR="00BF7E3E" w:rsidRPr="002E58E1">
        <w:t>≥</w:t>
      </w:r>
      <w:r w:rsidR="007F6FE1">
        <w:rPr>
          <w:noProof/>
        </w:rPr>
        <w:t xml:space="preserve">) </w:t>
      </w:r>
      <w:r>
        <w:rPr>
          <w:noProof/>
        </w:rPr>
        <w:t>9.453 years of age (&gt;9.453).  This is the value that is produce when DS64 is put in</w:t>
      </w:r>
      <w:r w:rsidR="00757B91">
        <w:rPr>
          <w:noProof/>
        </w:rPr>
        <w:t xml:space="preserve">to </w:t>
      </w:r>
      <w:r w:rsidR="00FB48F6">
        <w:rPr>
          <w:noProof/>
        </w:rPr>
        <w:t>the</w:t>
      </w:r>
      <w:r w:rsidR="00757B91">
        <w:rPr>
          <w:noProof/>
        </w:rPr>
        <w:t xml:space="preserve"> regression</w:t>
      </w:r>
      <w:r>
        <w:rPr>
          <w:noProof/>
        </w:rPr>
        <w:t xml:space="preserve"> equation.  It should be noted that Kuykendall’s </w:t>
      </w:r>
      <w:r w:rsidR="000C624B">
        <w:rPr>
          <w:noProof/>
        </w:rPr>
        <w:t xml:space="preserve">(1996) </w:t>
      </w:r>
      <w:r>
        <w:rPr>
          <w:noProof/>
        </w:rPr>
        <w:t xml:space="preserve">regression does not differentiate between males and females.  Tables </w:t>
      </w:r>
      <w:r w:rsidR="008E61A1">
        <w:rPr>
          <w:noProof/>
        </w:rPr>
        <w:t>4.28, 4.29 and 4.30</w:t>
      </w:r>
      <w:r w:rsidRPr="008E61A1">
        <w:rPr>
          <w:noProof/>
          <w:color w:val="000000" w:themeColor="text1"/>
        </w:rPr>
        <w:t xml:space="preserve"> </w:t>
      </w:r>
      <w:r w:rsidR="009168A5">
        <w:rPr>
          <w:noProof/>
        </w:rPr>
        <w:t xml:space="preserve">provide estimated age </w:t>
      </w:r>
      <w:r>
        <w:rPr>
          <w:noProof/>
        </w:rPr>
        <w:t xml:space="preserve">values for </w:t>
      </w:r>
      <w:r>
        <w:rPr>
          <w:i/>
          <w:noProof/>
        </w:rPr>
        <w:t>Pan troglodytes</w:t>
      </w:r>
      <w:r>
        <w:rPr>
          <w:noProof/>
        </w:rPr>
        <w:t xml:space="preserve"> males and </w:t>
      </w:r>
      <w:r>
        <w:rPr>
          <w:i/>
          <w:noProof/>
        </w:rPr>
        <w:t>Pan panicus</w:t>
      </w:r>
      <w:r>
        <w:rPr>
          <w:noProof/>
        </w:rPr>
        <w:t xml:space="preserve"> males and females.</w:t>
      </w:r>
    </w:p>
    <w:p w:rsidR="00A35CA0" w:rsidRDefault="00615D2A" w:rsidP="00CA5FBB">
      <w:pPr>
        <w:rPr>
          <w:noProof/>
        </w:rPr>
      </w:pPr>
      <w:r>
        <w:rPr>
          <w:noProof/>
        </w:rPr>
        <w:t xml:space="preserve">Variation in chronological age estimates </w:t>
      </w:r>
      <w:r w:rsidR="00F175DA">
        <w:rPr>
          <w:noProof/>
        </w:rPr>
        <w:t>inevitably mirror the variation</w:t>
      </w:r>
      <w:r>
        <w:rPr>
          <w:noProof/>
        </w:rPr>
        <w:t xml:space="preserve"> </w:t>
      </w:r>
      <w:r w:rsidR="00F175DA">
        <w:rPr>
          <w:noProof/>
        </w:rPr>
        <w:t xml:space="preserve">found </w:t>
      </w:r>
      <w:r>
        <w:rPr>
          <w:noProof/>
        </w:rPr>
        <w:t xml:space="preserve">when fusion timing relative to dental score was plotted (section 4.2.1).  The limitations of sample size for </w:t>
      </w:r>
      <w:r>
        <w:rPr>
          <w:i/>
          <w:noProof/>
        </w:rPr>
        <w:t>Pan paniscus</w:t>
      </w:r>
      <w:r w:rsidR="00FC6175">
        <w:rPr>
          <w:noProof/>
        </w:rPr>
        <w:t xml:space="preserve"> was</w:t>
      </w:r>
      <w:r>
        <w:rPr>
          <w:noProof/>
        </w:rPr>
        <w:t xml:space="preserve"> problematic in that </w:t>
      </w:r>
      <w:r w:rsidR="00EE61C3">
        <w:rPr>
          <w:noProof/>
        </w:rPr>
        <w:t xml:space="preserve">analysis.  This </w:t>
      </w:r>
      <w:r>
        <w:rPr>
          <w:noProof/>
        </w:rPr>
        <w:t xml:space="preserve">problem is </w:t>
      </w:r>
      <w:r w:rsidR="00EE61C3">
        <w:rPr>
          <w:noProof/>
        </w:rPr>
        <w:t xml:space="preserve">directly </w:t>
      </w:r>
      <w:r>
        <w:rPr>
          <w:noProof/>
        </w:rPr>
        <w:t xml:space="preserve">translated </w:t>
      </w:r>
      <w:r w:rsidR="00FA70A6">
        <w:rPr>
          <w:noProof/>
        </w:rPr>
        <w:t xml:space="preserve">into this analysis </w:t>
      </w:r>
      <w:r w:rsidR="00EE61C3">
        <w:rPr>
          <w:noProof/>
        </w:rPr>
        <w:t xml:space="preserve">for </w:t>
      </w:r>
      <w:r>
        <w:rPr>
          <w:noProof/>
        </w:rPr>
        <w:t>age estimations in terms of chronological years</w:t>
      </w:r>
      <w:r w:rsidR="00EE61C3">
        <w:rPr>
          <w:noProof/>
        </w:rPr>
        <w:t xml:space="preserve"> as </w:t>
      </w:r>
      <w:r w:rsidR="00D73450">
        <w:rPr>
          <w:noProof/>
        </w:rPr>
        <w:t xml:space="preserve">the </w:t>
      </w:r>
      <w:r w:rsidR="00EE61C3">
        <w:rPr>
          <w:noProof/>
        </w:rPr>
        <w:t>same data</w:t>
      </w:r>
      <w:r w:rsidR="00FA70A6">
        <w:rPr>
          <w:noProof/>
        </w:rPr>
        <w:t xml:space="preserve"> are used</w:t>
      </w:r>
      <w:r>
        <w:rPr>
          <w:noProof/>
        </w:rPr>
        <w:t xml:space="preserve">.  It is worth noting the effect </w:t>
      </w:r>
      <w:r w:rsidR="00BA52CC">
        <w:rPr>
          <w:noProof/>
        </w:rPr>
        <w:t xml:space="preserve">that </w:t>
      </w:r>
      <w:r>
        <w:rPr>
          <w:noProof/>
        </w:rPr>
        <w:t xml:space="preserve">these variations </w:t>
      </w:r>
      <w:r w:rsidR="00BA52CC">
        <w:rPr>
          <w:noProof/>
        </w:rPr>
        <w:t xml:space="preserve">have for </w:t>
      </w:r>
      <w:r>
        <w:rPr>
          <w:noProof/>
        </w:rPr>
        <w:t xml:space="preserve">chronological age estimation.  </w:t>
      </w:r>
      <w:r w:rsidRPr="00137FF8">
        <w:rPr>
          <w:noProof/>
        </w:rPr>
        <w:t>Given p</w:t>
      </w:r>
      <w:r w:rsidR="00BA52CC">
        <w:rPr>
          <w:noProof/>
        </w:rPr>
        <w:t>rior</w:t>
      </w:r>
      <w:r w:rsidRPr="00137FF8">
        <w:rPr>
          <w:noProof/>
        </w:rPr>
        <w:t xml:space="preserve"> statements about the difficulty of collecting data for the lateral clavicle and the anterior inferior iliac spine, it is </w:t>
      </w:r>
      <w:r>
        <w:rPr>
          <w:noProof/>
        </w:rPr>
        <w:t xml:space="preserve">unsurprising </w:t>
      </w:r>
      <w:r w:rsidRPr="00137FF8">
        <w:rPr>
          <w:noProof/>
        </w:rPr>
        <w:t xml:space="preserve">that the values for these epiphyses vary much more than other epiphyses.  </w:t>
      </w:r>
      <w:r>
        <w:rPr>
          <w:noProof/>
        </w:rPr>
        <w:t xml:space="preserve">Insufficient sample size for a given epiphysis was a recurrent problem for </w:t>
      </w:r>
      <w:r>
        <w:rPr>
          <w:i/>
          <w:noProof/>
        </w:rPr>
        <w:t>Pan paniscus</w:t>
      </w:r>
      <w:r>
        <w:rPr>
          <w:noProof/>
        </w:rPr>
        <w:t xml:space="preserve"> and </w:t>
      </w:r>
      <w:r w:rsidR="00C07E0F">
        <w:rPr>
          <w:noProof/>
        </w:rPr>
        <w:t>this</w:t>
      </w:r>
      <w:r>
        <w:rPr>
          <w:noProof/>
        </w:rPr>
        <w:t xml:space="preserve"> is reflected in the inconsistency between male and female values as well as between </w:t>
      </w:r>
      <w:r>
        <w:rPr>
          <w:i/>
          <w:noProof/>
        </w:rPr>
        <w:t>Pan paniscus</w:t>
      </w:r>
      <w:r>
        <w:rPr>
          <w:noProof/>
        </w:rPr>
        <w:t xml:space="preserve"> and </w:t>
      </w:r>
      <w:r>
        <w:rPr>
          <w:i/>
          <w:noProof/>
        </w:rPr>
        <w:t>Pan troglodytes</w:t>
      </w:r>
      <w:r>
        <w:rPr>
          <w:noProof/>
        </w:rPr>
        <w:t xml:space="preserve">.  </w:t>
      </w:r>
      <w:r w:rsidR="00C07E0F">
        <w:rPr>
          <w:noProof/>
        </w:rPr>
        <w:t xml:space="preserve">As brought forward from </w:t>
      </w:r>
      <w:r>
        <w:rPr>
          <w:noProof/>
        </w:rPr>
        <w:t xml:space="preserve">the results found for dental score, it is not possible to </w:t>
      </w:r>
      <w:r w:rsidR="00C07E0F">
        <w:rPr>
          <w:noProof/>
        </w:rPr>
        <w:t xml:space="preserve">test differences between the </w:t>
      </w:r>
      <w:r>
        <w:rPr>
          <w:noProof/>
        </w:rPr>
        <w:t>two species.</w:t>
      </w:r>
    </w:p>
    <w:p w:rsidR="00615D2A" w:rsidRDefault="00615D2A">
      <w:pPr>
        <w:spacing w:before="0" w:after="200" w:line="276" w:lineRule="auto"/>
        <w:jc w:val="left"/>
        <w:rPr>
          <w:noProof/>
        </w:rPr>
      </w:pPr>
      <w:r>
        <w:rPr>
          <w:noProof/>
        </w:rPr>
        <w:br w:type="page"/>
      </w:r>
    </w:p>
    <w:p w:rsidR="00B92920" w:rsidRPr="00F41FB2" w:rsidRDefault="00B54110" w:rsidP="008F6AD8">
      <w:pPr>
        <w:spacing w:after="120" w:line="240" w:lineRule="auto"/>
        <w:rPr>
          <w:noProof/>
        </w:rPr>
      </w:pPr>
      <w:bookmarkStart w:id="1025" w:name="_Toc373180171"/>
      <w:proofErr w:type="gramStart"/>
      <w:r w:rsidRPr="00E76021">
        <w:rPr>
          <w:b/>
        </w:rPr>
        <w:lastRenderedPageBreak/>
        <w:t xml:space="preserve">Table </w:t>
      </w:r>
      <w:r w:rsidR="008943E4" w:rsidRPr="00E76021">
        <w:rPr>
          <w:b/>
        </w:rPr>
        <w:fldChar w:fldCharType="begin"/>
      </w:r>
      <w:r w:rsidRPr="00E76021">
        <w:rPr>
          <w:b/>
        </w:rPr>
        <w:instrText xml:space="preserve"> STYLEREF 1 \s </w:instrText>
      </w:r>
      <w:r w:rsidR="008943E4" w:rsidRPr="00E76021">
        <w:rPr>
          <w:b/>
        </w:rPr>
        <w:fldChar w:fldCharType="separate"/>
      </w:r>
      <w:r w:rsidR="00795735">
        <w:rPr>
          <w:b/>
          <w:noProof/>
        </w:rPr>
        <w:t>4</w:t>
      </w:r>
      <w:r w:rsidR="008943E4" w:rsidRPr="00E76021">
        <w:rPr>
          <w:b/>
        </w:rPr>
        <w:fldChar w:fldCharType="end"/>
      </w:r>
      <w:r w:rsidRPr="00E76021">
        <w:rPr>
          <w:b/>
        </w:rPr>
        <w:t>.</w:t>
      </w:r>
      <w:proofErr w:type="gramEnd"/>
      <w:r w:rsidR="008943E4" w:rsidRPr="00E76021">
        <w:rPr>
          <w:b/>
        </w:rPr>
        <w:fldChar w:fldCharType="begin"/>
      </w:r>
      <w:r w:rsidRPr="00E76021">
        <w:rPr>
          <w:b/>
        </w:rPr>
        <w:instrText xml:space="preserve"> SEQ Table \* ARABIC \s 1 </w:instrText>
      </w:r>
      <w:r w:rsidR="008943E4" w:rsidRPr="00E76021">
        <w:rPr>
          <w:b/>
        </w:rPr>
        <w:fldChar w:fldCharType="separate"/>
      </w:r>
      <w:r w:rsidR="00795735">
        <w:rPr>
          <w:b/>
          <w:noProof/>
        </w:rPr>
        <w:t>27</w:t>
      </w:r>
      <w:r w:rsidR="008943E4" w:rsidRPr="00E76021">
        <w:rPr>
          <w:b/>
        </w:rPr>
        <w:fldChar w:fldCharType="end"/>
      </w:r>
      <w:r>
        <w:rPr>
          <w:noProof/>
          <w:color w:val="000000" w:themeColor="text1"/>
        </w:rPr>
        <w:t xml:space="preserve"> </w:t>
      </w:r>
      <w:r>
        <w:rPr>
          <w:noProof/>
        </w:rPr>
        <w:t>Estimated chronological ages for fusion</w:t>
      </w:r>
      <w:r w:rsidR="00EA6BEE">
        <w:rPr>
          <w:noProof/>
        </w:rPr>
        <w:t xml:space="preserve"> events</w:t>
      </w:r>
      <w:r>
        <w:rPr>
          <w:noProof/>
        </w:rPr>
        <w:t xml:space="preserve"> based on median values of mid-fusion and complete fusion in </w:t>
      </w:r>
      <w:r>
        <w:rPr>
          <w:i/>
          <w:noProof/>
        </w:rPr>
        <w:t>Pan troglodytes</w:t>
      </w:r>
      <w:r>
        <w:rPr>
          <w:noProof/>
        </w:rPr>
        <w:t xml:space="preserve"> females.</w:t>
      </w:r>
      <w:bookmarkEnd w:id="1025"/>
    </w:p>
    <w:tbl>
      <w:tblPr>
        <w:tblW w:w="9614" w:type="dxa"/>
        <w:tblInd w:w="-34" w:type="dxa"/>
        <w:tblBorders>
          <w:top w:val="single" w:sz="4" w:space="0" w:color="auto"/>
          <w:bottom w:val="single" w:sz="4" w:space="0" w:color="auto"/>
        </w:tblBorders>
        <w:tblLook w:val="04A0" w:firstRow="1" w:lastRow="0" w:firstColumn="1" w:lastColumn="0" w:noHBand="0" w:noVBand="1"/>
      </w:tblPr>
      <w:tblGrid>
        <w:gridCol w:w="990"/>
        <w:gridCol w:w="2696"/>
        <w:gridCol w:w="791"/>
        <w:gridCol w:w="1059"/>
        <w:gridCol w:w="1109"/>
        <w:gridCol w:w="1141"/>
        <w:gridCol w:w="898"/>
        <w:gridCol w:w="1059"/>
      </w:tblGrid>
      <w:tr w:rsidR="00B92920" w:rsidRPr="00300915" w:rsidTr="00D759EE">
        <w:trPr>
          <w:trHeight w:val="315"/>
        </w:trPr>
        <w:tc>
          <w:tcPr>
            <w:tcW w:w="990" w:type="dxa"/>
            <w:vMerge w:val="restart"/>
            <w:tcBorders>
              <w:top w:val="single" w:sz="4" w:space="0" w:color="auto"/>
              <w:bottom w:val="nil"/>
            </w:tcBorders>
            <w:shd w:val="clear" w:color="auto" w:fill="auto"/>
            <w:noWrap/>
            <w:vAlign w:val="center"/>
            <w:hideMark/>
          </w:tcPr>
          <w:p w:rsidR="00A35CA0" w:rsidRDefault="006D4558"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s</w:t>
            </w:r>
            <w:r w:rsidR="00B92920" w:rsidRPr="00300915">
              <w:rPr>
                <w:rFonts w:eastAsia="Times New Roman"/>
                <w:b/>
                <w:bCs/>
                <w:color w:val="000000"/>
                <w:lang w:val="en-GB" w:eastAsia="en-GB"/>
              </w:rPr>
              <w:t>keletal region</w:t>
            </w:r>
          </w:p>
        </w:tc>
        <w:tc>
          <w:tcPr>
            <w:tcW w:w="2696" w:type="dxa"/>
            <w:vMerge w:val="restart"/>
            <w:tcBorders>
              <w:top w:val="single" w:sz="4" w:space="0" w:color="auto"/>
              <w:bottom w:val="nil"/>
            </w:tcBorders>
            <w:shd w:val="clear" w:color="auto" w:fill="auto"/>
            <w:noWrap/>
            <w:vAlign w:val="center"/>
            <w:hideMark/>
          </w:tcPr>
          <w:p w:rsidR="00A35CA0" w:rsidRDefault="006D4558"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e</w:t>
            </w:r>
            <w:r w:rsidR="00B92920" w:rsidRPr="00300915">
              <w:rPr>
                <w:rFonts w:eastAsia="Times New Roman"/>
                <w:b/>
                <w:bCs/>
                <w:color w:val="000000"/>
                <w:lang w:val="en-GB" w:eastAsia="en-GB"/>
              </w:rPr>
              <w:t>piphyseal fusion site</w:t>
            </w:r>
          </w:p>
        </w:tc>
        <w:tc>
          <w:tcPr>
            <w:tcW w:w="662"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b/>
                <w:bCs/>
                <w:color w:val="000000"/>
                <w:lang w:val="en-GB" w:eastAsia="en-GB"/>
              </w:rPr>
            </w:pPr>
            <w:r w:rsidRPr="006D4558">
              <w:rPr>
                <w:rFonts w:eastAsia="Times New Roman"/>
                <w:b/>
                <w:bCs/>
                <w:i/>
                <w:color w:val="000000"/>
                <w:lang w:val="en-GB" w:eastAsia="en-GB"/>
              </w:rPr>
              <w:t>N</w:t>
            </w:r>
            <w:r w:rsidRPr="00300915">
              <w:rPr>
                <w:rFonts w:eastAsia="Times New Roman"/>
                <w:b/>
                <w:bCs/>
                <w:color w:val="000000"/>
                <w:lang w:val="en-GB" w:eastAsia="en-GB"/>
              </w:rPr>
              <w:t xml:space="preserve"> mid-fusion</w:t>
            </w:r>
          </w:p>
        </w:tc>
        <w:tc>
          <w:tcPr>
            <w:tcW w:w="1059"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b/>
                <w:bCs/>
                <w:color w:val="000000"/>
                <w:lang w:val="en-GB" w:eastAsia="en-GB"/>
              </w:rPr>
            </w:pPr>
            <w:r w:rsidRPr="006D4558">
              <w:rPr>
                <w:rFonts w:eastAsia="Times New Roman"/>
                <w:b/>
                <w:bCs/>
                <w:i/>
                <w:color w:val="000000"/>
                <w:lang w:val="en-GB" w:eastAsia="en-GB"/>
              </w:rPr>
              <w:t>N</w:t>
            </w:r>
            <w:r w:rsidRPr="00300915">
              <w:rPr>
                <w:rFonts w:eastAsia="Times New Roman"/>
                <w:b/>
                <w:bCs/>
                <w:color w:val="000000"/>
                <w:lang w:val="en-GB" w:eastAsia="en-GB"/>
              </w:rPr>
              <w:t xml:space="preserve"> complete fusion</w:t>
            </w:r>
          </w:p>
        </w:tc>
        <w:tc>
          <w:tcPr>
            <w:tcW w:w="1109" w:type="dxa"/>
            <w:tcBorders>
              <w:top w:val="single" w:sz="4" w:space="0" w:color="auto"/>
              <w:bottom w:val="nil"/>
            </w:tcBorders>
            <w:shd w:val="clear" w:color="auto" w:fill="auto"/>
            <w:noWrap/>
            <w:vAlign w:val="center"/>
            <w:hideMark/>
          </w:tcPr>
          <w:p w:rsidR="00A35CA0" w:rsidRDefault="006D4558"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B92920" w:rsidRPr="00300915">
              <w:rPr>
                <w:rFonts w:eastAsia="Times New Roman"/>
                <w:b/>
                <w:bCs/>
                <w:color w:val="000000"/>
                <w:lang w:val="en-GB" w:eastAsia="en-GB"/>
              </w:rPr>
              <w:t>id-fusion median</w:t>
            </w:r>
          </w:p>
        </w:tc>
        <w:tc>
          <w:tcPr>
            <w:tcW w:w="1141" w:type="dxa"/>
            <w:tcBorders>
              <w:top w:val="single" w:sz="4" w:space="0" w:color="auto"/>
              <w:bottom w:val="nil"/>
            </w:tcBorders>
            <w:shd w:val="clear" w:color="auto" w:fill="auto"/>
            <w:noWrap/>
            <w:vAlign w:val="center"/>
            <w:hideMark/>
          </w:tcPr>
          <w:p w:rsidR="00A35CA0" w:rsidRDefault="006D4558"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c</w:t>
            </w:r>
            <w:r w:rsidR="00B92920" w:rsidRPr="00300915">
              <w:rPr>
                <w:rFonts w:eastAsia="Times New Roman"/>
                <w:b/>
                <w:bCs/>
                <w:color w:val="000000"/>
                <w:lang w:val="en-GB" w:eastAsia="en-GB"/>
              </w:rPr>
              <w:t>omplete fusion median</w:t>
            </w:r>
          </w:p>
        </w:tc>
        <w:tc>
          <w:tcPr>
            <w:tcW w:w="898" w:type="dxa"/>
            <w:tcBorders>
              <w:top w:val="single" w:sz="4" w:space="0" w:color="auto"/>
              <w:bottom w:val="nil"/>
            </w:tcBorders>
            <w:shd w:val="clear" w:color="auto" w:fill="auto"/>
            <w:noWrap/>
            <w:vAlign w:val="center"/>
            <w:hideMark/>
          </w:tcPr>
          <w:p w:rsidR="00A35CA0" w:rsidRDefault="006D4558"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m</w:t>
            </w:r>
            <w:r w:rsidR="00B92920" w:rsidRPr="00300915">
              <w:rPr>
                <w:rFonts w:eastAsia="Times New Roman"/>
                <w:b/>
                <w:bCs/>
                <w:color w:val="000000"/>
                <w:lang w:val="en-GB" w:eastAsia="en-GB"/>
              </w:rPr>
              <w:t>id-fusion</w:t>
            </w:r>
          </w:p>
        </w:tc>
        <w:tc>
          <w:tcPr>
            <w:tcW w:w="1059" w:type="dxa"/>
            <w:tcBorders>
              <w:top w:val="single" w:sz="4" w:space="0" w:color="auto"/>
              <w:bottom w:val="nil"/>
            </w:tcBorders>
            <w:shd w:val="clear" w:color="auto" w:fill="auto"/>
            <w:noWrap/>
            <w:vAlign w:val="center"/>
            <w:hideMark/>
          </w:tcPr>
          <w:p w:rsidR="00A35CA0" w:rsidRDefault="006D4558" w:rsidP="00CA5FBB">
            <w:pPr>
              <w:spacing w:before="0" w:line="240" w:lineRule="auto"/>
              <w:jc w:val="center"/>
              <w:rPr>
                <w:rFonts w:eastAsia="Times New Roman"/>
                <w:b/>
                <w:bCs/>
                <w:color w:val="000000"/>
                <w:lang w:val="en-GB" w:eastAsia="en-GB"/>
              </w:rPr>
            </w:pPr>
            <w:r>
              <w:rPr>
                <w:rFonts w:eastAsia="Times New Roman"/>
                <w:b/>
                <w:bCs/>
                <w:color w:val="000000"/>
                <w:lang w:val="en-GB" w:eastAsia="en-GB"/>
              </w:rPr>
              <w:t>c</w:t>
            </w:r>
            <w:r w:rsidR="00B92920" w:rsidRPr="00300915">
              <w:rPr>
                <w:rFonts w:eastAsia="Times New Roman"/>
                <w:b/>
                <w:bCs/>
                <w:color w:val="000000"/>
                <w:lang w:val="en-GB" w:eastAsia="en-GB"/>
              </w:rPr>
              <w:t>omplete fusion</w:t>
            </w:r>
          </w:p>
        </w:tc>
      </w:tr>
      <w:tr w:rsidR="00B92920" w:rsidRPr="00300915" w:rsidTr="00D759EE">
        <w:trPr>
          <w:trHeight w:val="375"/>
        </w:trPr>
        <w:tc>
          <w:tcPr>
            <w:tcW w:w="990"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2696"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662"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1059"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1109"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dental score</w:t>
            </w:r>
          </w:p>
        </w:tc>
        <w:tc>
          <w:tcPr>
            <w:tcW w:w="1141"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dental score</w:t>
            </w:r>
          </w:p>
        </w:tc>
        <w:tc>
          <w:tcPr>
            <w:tcW w:w="898"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years</w:t>
            </w:r>
          </w:p>
        </w:tc>
        <w:tc>
          <w:tcPr>
            <w:tcW w:w="1059"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years</w:t>
            </w:r>
          </w:p>
        </w:tc>
      </w:tr>
      <w:tr w:rsidR="00B92920" w:rsidRPr="00300915" w:rsidTr="00D759EE">
        <w:trPr>
          <w:trHeight w:hRule="exact" w:val="284"/>
        </w:trPr>
        <w:tc>
          <w:tcPr>
            <w:tcW w:w="990"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upper limb</w:t>
            </w:r>
          </w:p>
        </w:tc>
        <w:tc>
          <w:tcPr>
            <w:tcW w:w="2696"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humerus</w:t>
            </w:r>
          </w:p>
        </w:tc>
        <w:tc>
          <w:tcPr>
            <w:tcW w:w="662"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19</w:t>
            </w:r>
          </w:p>
        </w:tc>
        <w:tc>
          <w:tcPr>
            <w:tcW w:w="1059"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12</w:t>
            </w:r>
          </w:p>
        </w:tc>
        <w:tc>
          <w:tcPr>
            <w:tcW w:w="1109"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41"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059" w:type="dxa"/>
            <w:tcBorders>
              <w:top w:val="single" w:sz="4" w:space="0" w:color="auto"/>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top w:val="nil"/>
              <w:bottom w:val="nil"/>
            </w:tcBorders>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66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5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48</w:t>
            </w:r>
          </w:p>
        </w:tc>
        <w:tc>
          <w:tcPr>
            <w:tcW w:w="110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48</w:t>
            </w:r>
          </w:p>
        </w:tc>
        <w:tc>
          <w:tcPr>
            <w:tcW w:w="114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89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6.317</w:t>
            </w:r>
          </w:p>
        </w:tc>
        <w:tc>
          <w:tcPr>
            <w:tcW w:w="105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D759EE">
        <w:trPr>
          <w:trHeight w:hRule="exact" w:val="284"/>
        </w:trPr>
        <w:tc>
          <w:tcPr>
            <w:tcW w:w="990"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top w:val="nil"/>
              <w:bottom w:val="nil"/>
            </w:tcBorders>
            <w:shd w:val="clear" w:color="auto" w:fill="auto"/>
            <w:noWrap/>
            <w:vAlign w:val="center"/>
            <w:hideMark/>
          </w:tcPr>
          <w:p w:rsidR="00A35CA0" w:rsidRDefault="00D759E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B92920" w:rsidRPr="00300915">
              <w:rPr>
                <w:rFonts w:eastAsia="Times New Roman"/>
                <w:color w:val="000000"/>
                <w:lang w:val="en-GB" w:eastAsia="en-GB"/>
              </w:rPr>
              <w:t>medial epicondyle</w:t>
            </w:r>
          </w:p>
        </w:tc>
        <w:tc>
          <w:tcPr>
            <w:tcW w:w="66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5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42</w:t>
            </w:r>
          </w:p>
        </w:tc>
        <w:tc>
          <w:tcPr>
            <w:tcW w:w="110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55</w:t>
            </w:r>
          </w:p>
        </w:tc>
        <w:tc>
          <w:tcPr>
            <w:tcW w:w="114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7.626</w:t>
            </w:r>
          </w:p>
        </w:tc>
        <w:tc>
          <w:tcPr>
            <w:tcW w:w="1059"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radius</w:t>
            </w:r>
          </w:p>
        </w:tc>
        <w:tc>
          <w:tcPr>
            <w:tcW w:w="66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11</w:t>
            </w:r>
          </w:p>
        </w:tc>
        <w:tc>
          <w:tcPr>
            <w:tcW w:w="105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30</w:t>
            </w:r>
          </w:p>
        </w:tc>
        <w:tc>
          <w:tcPr>
            <w:tcW w:w="110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14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c>
          <w:tcPr>
            <w:tcW w:w="1059"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radius</w:t>
            </w:r>
          </w:p>
        </w:tc>
        <w:tc>
          <w:tcPr>
            <w:tcW w:w="66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16</w:t>
            </w:r>
          </w:p>
        </w:tc>
        <w:tc>
          <w:tcPr>
            <w:tcW w:w="105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w:t>
            </w:r>
          </w:p>
        </w:tc>
        <w:tc>
          <w:tcPr>
            <w:tcW w:w="110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4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059"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ulna</w:t>
            </w:r>
          </w:p>
        </w:tc>
        <w:tc>
          <w:tcPr>
            <w:tcW w:w="66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05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40</w:t>
            </w:r>
          </w:p>
        </w:tc>
        <w:tc>
          <w:tcPr>
            <w:tcW w:w="1109"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56</w:t>
            </w:r>
          </w:p>
        </w:tc>
        <w:tc>
          <w:tcPr>
            <w:tcW w:w="114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7.821</w:t>
            </w:r>
          </w:p>
        </w:tc>
        <w:tc>
          <w:tcPr>
            <w:tcW w:w="1059"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ulna</w:t>
            </w:r>
          </w:p>
        </w:tc>
        <w:tc>
          <w:tcPr>
            <w:tcW w:w="662"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14</w:t>
            </w:r>
          </w:p>
        </w:tc>
        <w:tc>
          <w:tcPr>
            <w:tcW w:w="1059"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109"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41"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nil"/>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059" w:type="dxa"/>
            <w:tcBorders>
              <w:top w:val="nil"/>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han</w:t>
            </w:r>
            <w:r>
              <w:rPr>
                <w:rFonts w:eastAsia="Times New Roman"/>
                <w:color w:val="000000"/>
                <w:lang w:val="en-GB" w:eastAsia="en-GB"/>
              </w:rPr>
              <w:t>d</w:t>
            </w:r>
          </w:p>
        </w:tc>
        <w:tc>
          <w:tcPr>
            <w:tcW w:w="26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phalanges (hand)</w:t>
            </w:r>
          </w:p>
        </w:tc>
        <w:tc>
          <w:tcPr>
            <w:tcW w:w="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05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10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50</w:t>
            </w:r>
          </w:p>
        </w:tc>
        <w:tc>
          <w:tcPr>
            <w:tcW w:w="114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89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6.681</w:t>
            </w:r>
          </w:p>
        </w:tc>
        <w:tc>
          <w:tcPr>
            <w:tcW w:w="105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base of metacarpal 1</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29</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8.826</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and middle phalanges (hand)</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29</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60.5</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8.723</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metacarpal heads 2-5</w:t>
            </w:r>
          </w:p>
        </w:tc>
        <w:tc>
          <w:tcPr>
            <w:tcW w:w="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05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25</w:t>
            </w:r>
          </w:p>
        </w:tc>
        <w:tc>
          <w:tcPr>
            <w:tcW w:w="110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4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059"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lower lim</w:t>
            </w:r>
            <w:r>
              <w:rPr>
                <w:rFonts w:eastAsia="Times New Roman"/>
                <w:color w:val="000000"/>
                <w:lang w:val="en-GB" w:eastAsia="en-GB"/>
              </w:rPr>
              <w:t>b</w:t>
            </w:r>
          </w:p>
        </w:tc>
        <w:tc>
          <w:tcPr>
            <w:tcW w:w="26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femoral head</w:t>
            </w:r>
          </w:p>
        </w:tc>
        <w:tc>
          <w:tcPr>
            <w:tcW w:w="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05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29</w:t>
            </w:r>
          </w:p>
        </w:tc>
        <w:tc>
          <w:tcPr>
            <w:tcW w:w="110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4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059"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greater trochanter</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32</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61.5</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8.929</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lesser trochanter</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37</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8.826</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femur</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19</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12</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tibia</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20</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13</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63.5</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9.347</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tibia</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12</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21</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62.5</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9.137</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fibula</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14</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16</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fibula</w:t>
            </w:r>
          </w:p>
        </w:tc>
        <w:tc>
          <w:tcPr>
            <w:tcW w:w="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w:t>
            </w:r>
          </w:p>
        </w:tc>
        <w:tc>
          <w:tcPr>
            <w:tcW w:w="105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24</w:t>
            </w:r>
          </w:p>
        </w:tc>
        <w:tc>
          <w:tcPr>
            <w:tcW w:w="110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14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c>
          <w:tcPr>
            <w:tcW w:w="1059"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foot</w:t>
            </w:r>
          </w:p>
        </w:tc>
        <w:tc>
          <w:tcPr>
            <w:tcW w:w="26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calcaneus</w:t>
            </w:r>
          </w:p>
        </w:tc>
        <w:tc>
          <w:tcPr>
            <w:tcW w:w="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05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35</w:t>
            </w:r>
          </w:p>
        </w:tc>
        <w:tc>
          <w:tcPr>
            <w:tcW w:w="110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w:t>
            </w:r>
          </w:p>
        </w:tc>
        <w:tc>
          <w:tcPr>
            <w:tcW w:w="114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059"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talus</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46</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57</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8.018</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phalanges (foot)</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11</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31</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middle phalanges (foot)</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29</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metatarsal heads (2-5)</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13</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25</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base of metatarsal 1</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32</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62.5</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9.137</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510"/>
        </w:trPr>
        <w:tc>
          <w:tcPr>
            <w:tcW w:w="990"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phalanges (foot)</w:t>
            </w:r>
          </w:p>
        </w:tc>
        <w:tc>
          <w:tcPr>
            <w:tcW w:w="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5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27</w:t>
            </w:r>
          </w:p>
        </w:tc>
        <w:tc>
          <w:tcPr>
            <w:tcW w:w="110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61.5</w:t>
            </w:r>
          </w:p>
        </w:tc>
        <w:tc>
          <w:tcPr>
            <w:tcW w:w="114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8.929</w:t>
            </w:r>
          </w:p>
        </w:tc>
        <w:tc>
          <w:tcPr>
            <w:tcW w:w="1059"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pelvis</w:t>
            </w:r>
          </w:p>
        </w:tc>
        <w:tc>
          <w:tcPr>
            <w:tcW w:w="26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triradiate</w:t>
            </w:r>
          </w:p>
        </w:tc>
        <w:tc>
          <w:tcPr>
            <w:tcW w:w="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5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39</w:t>
            </w:r>
          </w:p>
        </w:tc>
        <w:tc>
          <w:tcPr>
            <w:tcW w:w="110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56.5</w:t>
            </w:r>
          </w:p>
        </w:tc>
        <w:tc>
          <w:tcPr>
            <w:tcW w:w="114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7.919</w:t>
            </w:r>
          </w:p>
        </w:tc>
        <w:tc>
          <w:tcPr>
            <w:tcW w:w="1059"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571"/>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anterior inferior iliac spine</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40</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55</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7.626</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iliac crest</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18</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898"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r>
      <w:tr w:rsidR="00B92920" w:rsidRPr="00300915" w:rsidTr="00D759EE">
        <w:trPr>
          <w:trHeight w:hRule="exact" w:val="284"/>
        </w:trPr>
        <w:tc>
          <w:tcPr>
            <w:tcW w:w="990"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ischia</w:t>
            </w:r>
            <w:r w:rsidR="0054060B">
              <w:rPr>
                <w:rFonts w:eastAsia="Times New Roman"/>
                <w:color w:val="000000"/>
                <w:lang w:val="en-GB" w:eastAsia="en-GB"/>
              </w:rPr>
              <w:t>l</w:t>
            </w:r>
            <w:r w:rsidRPr="00300915">
              <w:rPr>
                <w:rFonts w:eastAsia="Times New Roman"/>
                <w:color w:val="000000"/>
                <w:lang w:val="en-GB" w:eastAsia="en-GB"/>
              </w:rPr>
              <w:t xml:space="preserve"> epiphysis</w:t>
            </w:r>
          </w:p>
        </w:tc>
        <w:tc>
          <w:tcPr>
            <w:tcW w:w="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16</w:t>
            </w:r>
          </w:p>
        </w:tc>
        <w:tc>
          <w:tcPr>
            <w:tcW w:w="105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11</w:t>
            </w:r>
          </w:p>
        </w:tc>
        <w:tc>
          <w:tcPr>
            <w:tcW w:w="110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4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059"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clavicle</w:t>
            </w:r>
          </w:p>
        </w:tc>
        <w:tc>
          <w:tcPr>
            <w:tcW w:w="26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medial clavicle</w:t>
            </w:r>
          </w:p>
        </w:tc>
        <w:tc>
          <w:tcPr>
            <w:tcW w:w="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05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10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4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059"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tcBorders>
              <w:bottom w:val="single" w:sz="4" w:space="0" w:color="auto"/>
            </w:tcBorders>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26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lateral clavicle</w:t>
            </w:r>
          </w:p>
        </w:tc>
        <w:tc>
          <w:tcPr>
            <w:tcW w:w="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05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28</w:t>
            </w:r>
          </w:p>
        </w:tc>
        <w:tc>
          <w:tcPr>
            <w:tcW w:w="1109"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59</w:t>
            </w:r>
          </w:p>
        </w:tc>
        <w:tc>
          <w:tcPr>
            <w:tcW w:w="114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8.418</w:t>
            </w:r>
          </w:p>
        </w:tc>
        <w:tc>
          <w:tcPr>
            <w:tcW w:w="1059"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scapula</w:t>
            </w:r>
          </w:p>
        </w:tc>
        <w:tc>
          <w:tcPr>
            <w:tcW w:w="26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coracoid</w:t>
            </w:r>
          </w:p>
        </w:tc>
        <w:tc>
          <w:tcPr>
            <w:tcW w:w="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w:t>
            </w:r>
          </w:p>
        </w:tc>
        <w:tc>
          <w:tcPr>
            <w:tcW w:w="105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39</w:t>
            </w:r>
          </w:p>
        </w:tc>
        <w:tc>
          <w:tcPr>
            <w:tcW w:w="1109"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58</w:t>
            </w:r>
          </w:p>
        </w:tc>
        <w:tc>
          <w:tcPr>
            <w:tcW w:w="114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8.217</w:t>
            </w:r>
          </w:p>
        </w:tc>
        <w:tc>
          <w:tcPr>
            <w:tcW w:w="1059"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567"/>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sub-coracoid and glenoid</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42</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50</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6.681</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acromium</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16</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D759EE">
        <w:trPr>
          <w:trHeight w:hRule="exact" w:val="284"/>
        </w:trPr>
        <w:tc>
          <w:tcPr>
            <w:tcW w:w="990"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medial border</w:t>
            </w:r>
          </w:p>
        </w:tc>
        <w:tc>
          <w:tcPr>
            <w:tcW w:w="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5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09"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4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98"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059"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bl>
    <w:p w:rsidR="00B92920" w:rsidRDefault="00B92920" w:rsidP="008F6AD8">
      <w:pPr>
        <w:spacing w:before="120" w:after="120" w:line="240" w:lineRule="auto"/>
        <w:rPr>
          <w:noProof/>
        </w:rPr>
      </w:pPr>
      <w:bookmarkStart w:id="1026" w:name="_Toc373180172"/>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28</w:t>
      </w:r>
      <w:r w:rsidR="008943E4">
        <w:rPr>
          <w:b/>
        </w:rPr>
        <w:fldChar w:fldCharType="end"/>
      </w:r>
      <w:r>
        <w:rPr>
          <w:noProof/>
        </w:rPr>
        <w:t xml:space="preserve"> Estimated chronological ages for fusion </w:t>
      </w:r>
      <w:r w:rsidR="00956B7C">
        <w:rPr>
          <w:noProof/>
        </w:rPr>
        <w:t xml:space="preserve">events </w:t>
      </w:r>
      <w:r>
        <w:rPr>
          <w:noProof/>
        </w:rPr>
        <w:t xml:space="preserve">based on median values of mid-fusion and complete fusion in </w:t>
      </w:r>
      <w:r>
        <w:rPr>
          <w:i/>
          <w:noProof/>
        </w:rPr>
        <w:t>Pan troglodytes</w:t>
      </w:r>
      <w:r>
        <w:rPr>
          <w:noProof/>
        </w:rPr>
        <w:t xml:space="preserve"> males.</w:t>
      </w:r>
      <w:bookmarkEnd w:id="1026"/>
    </w:p>
    <w:tbl>
      <w:tblPr>
        <w:tblW w:w="10289" w:type="dxa"/>
        <w:jc w:val="center"/>
        <w:tblInd w:w="346" w:type="dxa"/>
        <w:tblBorders>
          <w:top w:val="single" w:sz="4" w:space="0" w:color="auto"/>
          <w:bottom w:val="single" w:sz="4" w:space="0" w:color="auto"/>
        </w:tblBorders>
        <w:tblLayout w:type="fixed"/>
        <w:tblLook w:val="04A0" w:firstRow="1" w:lastRow="0" w:firstColumn="1" w:lastColumn="0" w:noHBand="0" w:noVBand="1"/>
      </w:tblPr>
      <w:tblGrid>
        <w:gridCol w:w="1036"/>
        <w:gridCol w:w="2828"/>
        <w:gridCol w:w="896"/>
        <w:gridCol w:w="1133"/>
        <w:gridCol w:w="1036"/>
        <w:gridCol w:w="1236"/>
        <w:gridCol w:w="994"/>
        <w:gridCol w:w="1130"/>
      </w:tblGrid>
      <w:tr w:rsidR="00B92920" w:rsidRPr="00300915" w:rsidTr="005927B6">
        <w:trPr>
          <w:trHeight w:val="315"/>
          <w:jc w:val="center"/>
        </w:trPr>
        <w:tc>
          <w:tcPr>
            <w:tcW w:w="1036" w:type="dxa"/>
            <w:vMerge w:val="restart"/>
            <w:tcBorders>
              <w:top w:val="single" w:sz="4" w:space="0" w:color="auto"/>
              <w:bottom w:val="nil"/>
            </w:tcBorders>
            <w:shd w:val="clear" w:color="auto" w:fill="auto"/>
            <w:noWrap/>
            <w:vAlign w:val="center"/>
            <w:hideMark/>
          </w:tcPr>
          <w:p w:rsidR="00A35CA0" w:rsidRDefault="006756F4"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B92920" w:rsidRPr="00300915">
              <w:rPr>
                <w:rFonts w:eastAsia="Times New Roman"/>
                <w:b/>
                <w:bCs/>
                <w:color w:val="000000"/>
                <w:lang w:val="en-GB" w:eastAsia="en-GB"/>
              </w:rPr>
              <w:t>keletal region</w:t>
            </w:r>
          </w:p>
        </w:tc>
        <w:tc>
          <w:tcPr>
            <w:tcW w:w="2828" w:type="dxa"/>
            <w:vMerge w:val="restart"/>
            <w:tcBorders>
              <w:top w:val="single" w:sz="4" w:space="0" w:color="auto"/>
              <w:bottom w:val="nil"/>
            </w:tcBorders>
            <w:shd w:val="clear" w:color="auto" w:fill="auto"/>
            <w:noWrap/>
            <w:vAlign w:val="center"/>
            <w:hideMark/>
          </w:tcPr>
          <w:p w:rsidR="00A35CA0" w:rsidRDefault="006756F4"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B92920" w:rsidRPr="00300915">
              <w:rPr>
                <w:rFonts w:eastAsia="Times New Roman"/>
                <w:b/>
                <w:bCs/>
                <w:color w:val="000000"/>
                <w:lang w:val="en-GB" w:eastAsia="en-GB"/>
              </w:rPr>
              <w:t>piphyseal fusion site</w:t>
            </w:r>
          </w:p>
        </w:tc>
        <w:tc>
          <w:tcPr>
            <w:tcW w:w="896"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8"/>
                <w:szCs w:val="28"/>
                <w:lang w:val="en-GB" w:eastAsia="en-GB"/>
              </w:rPr>
            </w:pPr>
            <w:r w:rsidRPr="006756F4">
              <w:rPr>
                <w:rFonts w:eastAsia="Times New Roman"/>
                <w:b/>
                <w:bCs/>
                <w:i/>
                <w:color w:val="000000"/>
                <w:lang w:val="en-GB" w:eastAsia="en-GB"/>
              </w:rPr>
              <w:t>N</w:t>
            </w:r>
            <w:r w:rsidRPr="00300915">
              <w:rPr>
                <w:rFonts w:eastAsia="Times New Roman"/>
                <w:b/>
                <w:bCs/>
                <w:color w:val="000000"/>
                <w:lang w:val="en-GB" w:eastAsia="en-GB"/>
              </w:rPr>
              <w:t xml:space="preserve"> mid-fusion</w:t>
            </w:r>
          </w:p>
        </w:tc>
        <w:tc>
          <w:tcPr>
            <w:tcW w:w="1133"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8"/>
                <w:szCs w:val="28"/>
                <w:lang w:val="en-GB" w:eastAsia="en-GB"/>
              </w:rPr>
            </w:pPr>
            <w:r w:rsidRPr="006756F4">
              <w:rPr>
                <w:rFonts w:eastAsia="Times New Roman"/>
                <w:b/>
                <w:bCs/>
                <w:i/>
                <w:color w:val="000000"/>
                <w:lang w:val="en-GB" w:eastAsia="en-GB"/>
              </w:rPr>
              <w:t>N</w:t>
            </w:r>
            <w:r w:rsidRPr="00300915">
              <w:rPr>
                <w:rFonts w:eastAsia="Times New Roman"/>
                <w:b/>
                <w:bCs/>
                <w:color w:val="000000"/>
                <w:lang w:val="en-GB" w:eastAsia="en-GB"/>
              </w:rPr>
              <w:t xml:space="preserve"> complete fusion</w:t>
            </w:r>
          </w:p>
        </w:tc>
        <w:tc>
          <w:tcPr>
            <w:tcW w:w="1036" w:type="dxa"/>
            <w:tcBorders>
              <w:top w:val="single" w:sz="4" w:space="0" w:color="auto"/>
              <w:bottom w:val="nil"/>
            </w:tcBorders>
            <w:shd w:val="clear" w:color="auto" w:fill="auto"/>
            <w:noWrap/>
            <w:vAlign w:val="center"/>
            <w:hideMark/>
          </w:tcPr>
          <w:p w:rsidR="00A35CA0" w:rsidRDefault="006756F4"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m</w:t>
            </w:r>
            <w:r w:rsidR="00B92920" w:rsidRPr="00300915">
              <w:rPr>
                <w:rFonts w:eastAsia="Times New Roman"/>
                <w:b/>
                <w:bCs/>
                <w:color w:val="000000"/>
                <w:lang w:val="en-GB" w:eastAsia="en-GB"/>
              </w:rPr>
              <w:t>id-fusion median</w:t>
            </w:r>
          </w:p>
        </w:tc>
        <w:tc>
          <w:tcPr>
            <w:tcW w:w="1236" w:type="dxa"/>
            <w:tcBorders>
              <w:top w:val="single" w:sz="4" w:space="0" w:color="auto"/>
              <w:bottom w:val="nil"/>
            </w:tcBorders>
            <w:shd w:val="clear" w:color="auto" w:fill="auto"/>
            <w:noWrap/>
            <w:vAlign w:val="center"/>
            <w:hideMark/>
          </w:tcPr>
          <w:p w:rsidR="00A35CA0" w:rsidRDefault="006756F4"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c</w:t>
            </w:r>
            <w:r w:rsidR="00B92920" w:rsidRPr="00300915">
              <w:rPr>
                <w:rFonts w:eastAsia="Times New Roman"/>
                <w:b/>
                <w:bCs/>
                <w:color w:val="000000"/>
                <w:lang w:val="en-GB" w:eastAsia="en-GB"/>
              </w:rPr>
              <w:t>omplete fusion median</w:t>
            </w:r>
          </w:p>
        </w:tc>
        <w:tc>
          <w:tcPr>
            <w:tcW w:w="994" w:type="dxa"/>
            <w:tcBorders>
              <w:top w:val="single" w:sz="4" w:space="0" w:color="auto"/>
              <w:bottom w:val="nil"/>
            </w:tcBorders>
            <w:shd w:val="clear" w:color="auto" w:fill="auto"/>
            <w:noWrap/>
            <w:vAlign w:val="center"/>
            <w:hideMark/>
          </w:tcPr>
          <w:p w:rsidR="00A35CA0" w:rsidRDefault="006756F4"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m</w:t>
            </w:r>
            <w:r w:rsidR="00B92920" w:rsidRPr="00300915">
              <w:rPr>
                <w:rFonts w:eastAsia="Times New Roman"/>
                <w:b/>
                <w:bCs/>
                <w:color w:val="000000"/>
                <w:lang w:val="en-GB" w:eastAsia="en-GB"/>
              </w:rPr>
              <w:t>id-fusion</w:t>
            </w:r>
          </w:p>
        </w:tc>
        <w:tc>
          <w:tcPr>
            <w:tcW w:w="1130" w:type="dxa"/>
            <w:tcBorders>
              <w:top w:val="single" w:sz="4" w:space="0" w:color="auto"/>
              <w:bottom w:val="nil"/>
            </w:tcBorders>
            <w:shd w:val="clear" w:color="auto" w:fill="auto"/>
            <w:noWrap/>
            <w:vAlign w:val="center"/>
            <w:hideMark/>
          </w:tcPr>
          <w:p w:rsidR="00A35CA0" w:rsidRDefault="006756F4"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c</w:t>
            </w:r>
            <w:r w:rsidR="00B92920" w:rsidRPr="00300915">
              <w:rPr>
                <w:rFonts w:eastAsia="Times New Roman"/>
                <w:b/>
                <w:bCs/>
                <w:color w:val="000000"/>
                <w:lang w:val="en-GB" w:eastAsia="en-GB"/>
              </w:rPr>
              <w:t>omplete fusion</w:t>
            </w:r>
          </w:p>
        </w:tc>
      </w:tr>
      <w:tr w:rsidR="00B92920" w:rsidRPr="00300915" w:rsidTr="005927B6">
        <w:trPr>
          <w:trHeight w:val="375"/>
          <w:jc w:val="center"/>
        </w:trPr>
        <w:tc>
          <w:tcPr>
            <w:tcW w:w="1036"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2828"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896"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1133"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103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dental score</w:t>
            </w:r>
          </w:p>
        </w:tc>
        <w:tc>
          <w:tcPr>
            <w:tcW w:w="123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dental score</w:t>
            </w:r>
          </w:p>
        </w:tc>
        <w:tc>
          <w:tcPr>
            <w:tcW w:w="99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years</w:t>
            </w:r>
          </w:p>
        </w:tc>
        <w:tc>
          <w:tcPr>
            <w:tcW w:w="1130"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years</w:t>
            </w:r>
          </w:p>
        </w:tc>
      </w:tr>
      <w:tr w:rsidR="00B92920" w:rsidRPr="00300915" w:rsidTr="005927B6">
        <w:trPr>
          <w:trHeight w:hRule="exact" w:val="284"/>
          <w:jc w:val="center"/>
        </w:trPr>
        <w:tc>
          <w:tcPr>
            <w:tcW w:w="1036"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upper limb</w:t>
            </w:r>
          </w:p>
        </w:tc>
        <w:tc>
          <w:tcPr>
            <w:tcW w:w="282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humerus</w:t>
            </w:r>
          </w:p>
        </w:tc>
        <w:tc>
          <w:tcPr>
            <w:tcW w:w="8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13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0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2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c>
          <w:tcPr>
            <w:tcW w:w="1130"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18</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48</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8.217</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8.929</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D759E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B92920" w:rsidRPr="00300915">
              <w:rPr>
                <w:rFonts w:eastAsia="Times New Roman"/>
                <w:color w:val="000000"/>
                <w:lang w:val="en-GB" w:eastAsia="en-GB"/>
              </w:rPr>
              <w:t>medial epicondyle</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13</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55</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radius</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8.826</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radius</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ulna</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12</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56</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8.723</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ulna</w:t>
            </w:r>
          </w:p>
        </w:tc>
        <w:tc>
          <w:tcPr>
            <w:tcW w:w="8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13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03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23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c>
          <w:tcPr>
            <w:tcW w:w="1130"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hand</w:t>
            </w:r>
          </w:p>
        </w:tc>
        <w:tc>
          <w:tcPr>
            <w:tcW w:w="282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phalanges (hand)</w:t>
            </w:r>
          </w:p>
        </w:tc>
        <w:tc>
          <w:tcPr>
            <w:tcW w:w="8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0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50</w:t>
            </w:r>
          </w:p>
        </w:tc>
        <w:tc>
          <w:tcPr>
            <w:tcW w:w="12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99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7.919</w:t>
            </w:r>
          </w:p>
        </w:tc>
        <w:tc>
          <w:tcPr>
            <w:tcW w:w="113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base of metacarpal 1</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8.217</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9.347</w:t>
            </w:r>
          </w:p>
        </w:tc>
      </w:tr>
      <w:tr w:rsidR="00B92920" w:rsidRPr="00300915" w:rsidTr="005927B6">
        <w:trPr>
          <w:trHeight w:hRule="exact" w:val="482"/>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and middle phalanges (hand)</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60.5</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8.826</w:t>
            </w:r>
          </w:p>
        </w:tc>
        <w:tc>
          <w:tcPr>
            <w:tcW w:w="1130"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metacarpal heads 2-5</w:t>
            </w:r>
          </w:p>
        </w:tc>
        <w:tc>
          <w:tcPr>
            <w:tcW w:w="8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3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23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130"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lower limb</w:t>
            </w:r>
          </w:p>
        </w:tc>
        <w:tc>
          <w:tcPr>
            <w:tcW w:w="2828"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femoral head</w:t>
            </w:r>
          </w:p>
        </w:tc>
        <w:tc>
          <w:tcPr>
            <w:tcW w:w="896"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133"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10</w:t>
            </w:r>
          </w:p>
        </w:tc>
        <w:tc>
          <w:tcPr>
            <w:tcW w:w="1036"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236"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greater trochanter</w:t>
            </w:r>
          </w:p>
        </w:tc>
        <w:tc>
          <w:tcPr>
            <w:tcW w:w="8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12</w:t>
            </w:r>
          </w:p>
        </w:tc>
        <w:tc>
          <w:tcPr>
            <w:tcW w:w="10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61.5</w:t>
            </w:r>
          </w:p>
        </w:tc>
        <w:tc>
          <w:tcPr>
            <w:tcW w:w="12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8.826</w:t>
            </w:r>
          </w:p>
        </w:tc>
        <w:tc>
          <w:tcPr>
            <w:tcW w:w="1130"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lesser trochanter</w:t>
            </w:r>
          </w:p>
        </w:tc>
        <w:tc>
          <w:tcPr>
            <w:tcW w:w="8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12</w:t>
            </w:r>
          </w:p>
        </w:tc>
        <w:tc>
          <w:tcPr>
            <w:tcW w:w="10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w:t>
            </w:r>
          </w:p>
        </w:tc>
        <w:tc>
          <w:tcPr>
            <w:tcW w:w="12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8.217</w:t>
            </w:r>
          </w:p>
        </w:tc>
        <w:tc>
          <w:tcPr>
            <w:tcW w:w="1130"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femur</w:t>
            </w:r>
          </w:p>
        </w:tc>
        <w:tc>
          <w:tcPr>
            <w:tcW w:w="8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13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0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2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130"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tibia</w:t>
            </w:r>
          </w:p>
        </w:tc>
        <w:tc>
          <w:tcPr>
            <w:tcW w:w="8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13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0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63.5</w:t>
            </w:r>
          </w:p>
        </w:tc>
        <w:tc>
          <w:tcPr>
            <w:tcW w:w="12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130"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tibia</w:t>
            </w:r>
          </w:p>
        </w:tc>
        <w:tc>
          <w:tcPr>
            <w:tcW w:w="8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13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0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62.5</w:t>
            </w:r>
          </w:p>
        </w:tc>
        <w:tc>
          <w:tcPr>
            <w:tcW w:w="12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8.826</w:t>
            </w:r>
          </w:p>
        </w:tc>
        <w:tc>
          <w:tcPr>
            <w:tcW w:w="1130"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fibula</w:t>
            </w:r>
          </w:p>
        </w:tc>
        <w:tc>
          <w:tcPr>
            <w:tcW w:w="8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13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0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2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c>
          <w:tcPr>
            <w:tcW w:w="1130"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fibula</w:t>
            </w:r>
          </w:p>
        </w:tc>
        <w:tc>
          <w:tcPr>
            <w:tcW w:w="89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133"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03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23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tcBorders>
              <w:top w:val="nil"/>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foot</w:t>
            </w:r>
          </w:p>
        </w:tc>
        <w:tc>
          <w:tcPr>
            <w:tcW w:w="282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calcaneus</w:t>
            </w:r>
          </w:p>
        </w:tc>
        <w:tc>
          <w:tcPr>
            <w:tcW w:w="8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11</w:t>
            </w:r>
          </w:p>
        </w:tc>
        <w:tc>
          <w:tcPr>
            <w:tcW w:w="10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w:t>
            </w:r>
          </w:p>
        </w:tc>
        <w:tc>
          <w:tcPr>
            <w:tcW w:w="12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talus</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21</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57</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8.826</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phalanges (foot)</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8.217</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middle phalanges (foot)</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8.418</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9.347</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metatarsal heads (2-5)</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130"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base of metatarsal 1</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62.5</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phalanges (foot)</w:t>
            </w:r>
          </w:p>
        </w:tc>
        <w:tc>
          <w:tcPr>
            <w:tcW w:w="8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03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61.5</w:t>
            </w:r>
          </w:p>
        </w:tc>
        <w:tc>
          <w:tcPr>
            <w:tcW w:w="123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tcBorders>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pelvis</w:t>
            </w:r>
          </w:p>
        </w:tc>
        <w:tc>
          <w:tcPr>
            <w:tcW w:w="2828"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triradiate</w:t>
            </w:r>
          </w:p>
        </w:tc>
        <w:tc>
          <w:tcPr>
            <w:tcW w:w="896"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w:t>
            </w:r>
          </w:p>
        </w:tc>
        <w:tc>
          <w:tcPr>
            <w:tcW w:w="1133"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13</w:t>
            </w:r>
          </w:p>
        </w:tc>
        <w:tc>
          <w:tcPr>
            <w:tcW w:w="1036"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56.5</w:t>
            </w:r>
          </w:p>
        </w:tc>
        <w:tc>
          <w:tcPr>
            <w:tcW w:w="1236"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anterior inferior iliac spine</w:t>
            </w:r>
          </w:p>
        </w:tc>
        <w:tc>
          <w:tcPr>
            <w:tcW w:w="8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0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55</w:t>
            </w:r>
          </w:p>
        </w:tc>
        <w:tc>
          <w:tcPr>
            <w:tcW w:w="12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7.626</w:t>
            </w:r>
          </w:p>
        </w:tc>
        <w:tc>
          <w:tcPr>
            <w:tcW w:w="1130"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iliac crest</w:t>
            </w:r>
          </w:p>
        </w:tc>
        <w:tc>
          <w:tcPr>
            <w:tcW w:w="89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13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0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236"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994"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0" w:type="dxa"/>
            <w:tcBorders>
              <w:top w:val="nil"/>
              <w:bottom w:val="nil"/>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ischia</w:t>
            </w:r>
            <w:r w:rsidR="0054060B">
              <w:rPr>
                <w:rFonts w:eastAsia="Times New Roman"/>
                <w:color w:val="000000"/>
                <w:lang w:val="en-GB" w:eastAsia="en-GB"/>
              </w:rPr>
              <w:t>l</w:t>
            </w:r>
            <w:r w:rsidRPr="00300915">
              <w:rPr>
                <w:rFonts w:eastAsia="Times New Roman"/>
                <w:color w:val="000000"/>
                <w:lang w:val="en-GB" w:eastAsia="en-GB"/>
              </w:rPr>
              <w:t xml:space="preserve"> epiphysis</w:t>
            </w:r>
          </w:p>
        </w:tc>
        <w:tc>
          <w:tcPr>
            <w:tcW w:w="89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133"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103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236"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9.137</w:t>
            </w:r>
          </w:p>
        </w:tc>
        <w:tc>
          <w:tcPr>
            <w:tcW w:w="1130" w:type="dxa"/>
            <w:tcBorders>
              <w:top w:val="nil"/>
              <w:bottom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clavicle</w:t>
            </w:r>
          </w:p>
        </w:tc>
        <w:tc>
          <w:tcPr>
            <w:tcW w:w="282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medial clavicle</w:t>
            </w:r>
          </w:p>
        </w:tc>
        <w:tc>
          <w:tcPr>
            <w:tcW w:w="8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13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0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2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0" w:type="dxa"/>
            <w:tcBorders>
              <w:top w:val="single" w:sz="4" w:space="0" w:color="auto"/>
            </w:tcBorders>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lateral clavicle</w:t>
            </w:r>
          </w:p>
        </w:tc>
        <w:tc>
          <w:tcPr>
            <w:tcW w:w="89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w:t>
            </w:r>
          </w:p>
        </w:tc>
        <w:tc>
          <w:tcPr>
            <w:tcW w:w="103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59</w:t>
            </w:r>
          </w:p>
        </w:tc>
        <w:tc>
          <w:tcPr>
            <w:tcW w:w="1236"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6.681</w:t>
            </w:r>
          </w:p>
        </w:tc>
        <w:tc>
          <w:tcPr>
            <w:tcW w:w="113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scapula</w:t>
            </w:r>
          </w:p>
        </w:tc>
        <w:tc>
          <w:tcPr>
            <w:tcW w:w="2828"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coracoid</w:t>
            </w:r>
          </w:p>
        </w:tc>
        <w:tc>
          <w:tcPr>
            <w:tcW w:w="89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13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14</w:t>
            </w:r>
          </w:p>
        </w:tc>
        <w:tc>
          <w:tcPr>
            <w:tcW w:w="10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58</w:t>
            </w:r>
          </w:p>
        </w:tc>
        <w:tc>
          <w:tcPr>
            <w:tcW w:w="1236"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sub-coracoid and glenoid</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14</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50</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8.217</w:t>
            </w:r>
          </w:p>
        </w:tc>
        <w:tc>
          <w:tcPr>
            <w:tcW w:w="113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acromium</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0"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B92920" w:rsidRPr="00300915" w:rsidTr="005927B6">
        <w:trPr>
          <w:trHeight w:hRule="exact" w:val="284"/>
          <w:jc w:val="center"/>
        </w:trPr>
        <w:tc>
          <w:tcPr>
            <w:tcW w:w="103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828"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medial border</w:t>
            </w:r>
          </w:p>
        </w:tc>
        <w:tc>
          <w:tcPr>
            <w:tcW w:w="89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13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0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236"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994"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0" w:type="dxa"/>
            <w:shd w:val="clear" w:color="auto" w:fill="auto"/>
            <w:noWrap/>
            <w:vAlign w:val="center"/>
            <w:hideMark/>
          </w:tcPr>
          <w:p w:rsidR="00A35CA0" w:rsidRDefault="00BF7E3E"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bl>
    <w:p w:rsidR="00615D2A" w:rsidRDefault="00615D2A">
      <w:pPr>
        <w:spacing w:before="0" w:after="200" w:line="276" w:lineRule="auto"/>
        <w:jc w:val="left"/>
        <w:rPr>
          <w:noProof/>
        </w:rPr>
      </w:pPr>
      <w:r>
        <w:rPr>
          <w:noProof/>
        </w:rPr>
        <w:br w:type="page"/>
      </w:r>
    </w:p>
    <w:p w:rsidR="00B92920" w:rsidRDefault="00B92920" w:rsidP="008F6AD8">
      <w:pPr>
        <w:spacing w:after="120" w:line="240" w:lineRule="auto"/>
        <w:rPr>
          <w:noProof/>
        </w:rPr>
      </w:pPr>
      <w:bookmarkStart w:id="1027" w:name="_Toc373180173"/>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29</w:t>
      </w:r>
      <w:r w:rsidR="008943E4">
        <w:rPr>
          <w:b/>
        </w:rPr>
        <w:fldChar w:fldCharType="end"/>
      </w:r>
      <w:r>
        <w:rPr>
          <w:noProof/>
        </w:rPr>
        <w:t xml:space="preserve"> Estimated chronological ages for fusion</w:t>
      </w:r>
      <w:r w:rsidR="00956B7C">
        <w:rPr>
          <w:noProof/>
        </w:rPr>
        <w:t xml:space="preserve"> events</w:t>
      </w:r>
      <w:r>
        <w:rPr>
          <w:noProof/>
        </w:rPr>
        <w:t xml:space="preserve"> based on median values of mid-fusion and complete fusion in </w:t>
      </w:r>
      <w:r>
        <w:rPr>
          <w:i/>
          <w:noProof/>
        </w:rPr>
        <w:t xml:space="preserve">Pan paniscus </w:t>
      </w:r>
      <w:r>
        <w:rPr>
          <w:noProof/>
        </w:rPr>
        <w:t>females.</w:t>
      </w:r>
      <w:bookmarkEnd w:id="1027"/>
    </w:p>
    <w:tbl>
      <w:tblPr>
        <w:tblW w:w="9849" w:type="dxa"/>
        <w:tblInd w:w="-102" w:type="dxa"/>
        <w:tblBorders>
          <w:top w:val="single" w:sz="4" w:space="0" w:color="auto"/>
          <w:bottom w:val="single" w:sz="4" w:space="0" w:color="auto"/>
        </w:tblBorders>
        <w:tblLayout w:type="fixed"/>
        <w:tblLook w:val="04A0" w:firstRow="1" w:lastRow="0" w:firstColumn="1" w:lastColumn="0" w:noHBand="0" w:noVBand="1"/>
      </w:tblPr>
      <w:tblGrid>
        <w:gridCol w:w="1061"/>
        <w:gridCol w:w="2693"/>
        <w:gridCol w:w="851"/>
        <w:gridCol w:w="1134"/>
        <w:gridCol w:w="992"/>
        <w:gridCol w:w="1134"/>
        <w:gridCol w:w="850"/>
        <w:gridCol w:w="1134"/>
      </w:tblGrid>
      <w:tr w:rsidR="00CE2832" w:rsidRPr="00300915" w:rsidTr="00CE2832">
        <w:trPr>
          <w:trHeight w:val="375"/>
        </w:trPr>
        <w:tc>
          <w:tcPr>
            <w:tcW w:w="1061" w:type="dxa"/>
            <w:vMerge w:val="restart"/>
            <w:tcBorders>
              <w:top w:val="single" w:sz="4" w:space="0" w:color="auto"/>
              <w:bottom w:val="nil"/>
            </w:tcBorders>
            <w:shd w:val="clear" w:color="auto" w:fill="auto"/>
            <w:noWrap/>
            <w:vAlign w:val="center"/>
            <w:hideMark/>
          </w:tcPr>
          <w:p w:rsidR="00A35CA0" w:rsidRDefault="0054060B"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B92920" w:rsidRPr="00300915">
              <w:rPr>
                <w:rFonts w:eastAsia="Times New Roman"/>
                <w:b/>
                <w:bCs/>
                <w:color w:val="000000"/>
                <w:lang w:val="en-GB" w:eastAsia="en-GB"/>
              </w:rPr>
              <w:t>keletal region</w:t>
            </w:r>
          </w:p>
        </w:tc>
        <w:tc>
          <w:tcPr>
            <w:tcW w:w="2693" w:type="dxa"/>
            <w:vMerge w:val="restart"/>
            <w:tcBorders>
              <w:top w:val="single" w:sz="4" w:space="0" w:color="auto"/>
              <w:bottom w:val="nil"/>
            </w:tcBorders>
            <w:shd w:val="clear" w:color="auto" w:fill="auto"/>
            <w:noWrap/>
            <w:vAlign w:val="center"/>
            <w:hideMark/>
          </w:tcPr>
          <w:p w:rsidR="00A35CA0" w:rsidRDefault="0054060B"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B92920" w:rsidRPr="00300915">
              <w:rPr>
                <w:rFonts w:eastAsia="Times New Roman"/>
                <w:b/>
                <w:bCs/>
                <w:color w:val="000000"/>
                <w:lang w:val="en-GB" w:eastAsia="en-GB"/>
              </w:rPr>
              <w:t>piphyseal fusion site</w:t>
            </w:r>
          </w:p>
        </w:tc>
        <w:tc>
          <w:tcPr>
            <w:tcW w:w="851"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8"/>
                <w:szCs w:val="28"/>
                <w:lang w:val="en-GB" w:eastAsia="en-GB"/>
              </w:rPr>
            </w:pPr>
            <w:r w:rsidRPr="0054060B">
              <w:rPr>
                <w:rFonts w:eastAsia="Times New Roman"/>
                <w:b/>
                <w:bCs/>
                <w:i/>
                <w:color w:val="000000"/>
                <w:lang w:val="en-GB" w:eastAsia="en-GB"/>
              </w:rPr>
              <w:t>N</w:t>
            </w:r>
            <w:r w:rsidRPr="00300915">
              <w:rPr>
                <w:rFonts w:eastAsia="Times New Roman"/>
                <w:b/>
                <w:bCs/>
                <w:color w:val="000000"/>
                <w:lang w:val="en-GB" w:eastAsia="en-GB"/>
              </w:rPr>
              <w:t xml:space="preserve"> mid-fusion</w:t>
            </w:r>
          </w:p>
        </w:tc>
        <w:tc>
          <w:tcPr>
            <w:tcW w:w="1134"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8"/>
                <w:szCs w:val="28"/>
                <w:lang w:val="en-GB" w:eastAsia="en-GB"/>
              </w:rPr>
            </w:pPr>
            <w:r w:rsidRPr="0054060B">
              <w:rPr>
                <w:rFonts w:eastAsia="Times New Roman"/>
                <w:b/>
                <w:bCs/>
                <w:i/>
                <w:color w:val="000000"/>
                <w:lang w:val="en-GB" w:eastAsia="en-GB"/>
              </w:rPr>
              <w:t>N</w:t>
            </w:r>
            <w:r w:rsidRPr="00300915">
              <w:rPr>
                <w:rFonts w:eastAsia="Times New Roman"/>
                <w:b/>
                <w:bCs/>
                <w:color w:val="000000"/>
                <w:lang w:val="en-GB" w:eastAsia="en-GB"/>
              </w:rPr>
              <w:t xml:space="preserve"> complete fusion</w:t>
            </w:r>
          </w:p>
        </w:tc>
        <w:tc>
          <w:tcPr>
            <w:tcW w:w="992" w:type="dxa"/>
            <w:tcBorders>
              <w:top w:val="single" w:sz="4" w:space="0" w:color="auto"/>
              <w:bottom w:val="nil"/>
            </w:tcBorders>
            <w:shd w:val="clear" w:color="auto" w:fill="auto"/>
            <w:noWrap/>
            <w:vAlign w:val="center"/>
            <w:hideMark/>
          </w:tcPr>
          <w:p w:rsidR="00A35CA0" w:rsidRDefault="0054060B"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m</w:t>
            </w:r>
            <w:r w:rsidR="00B92920" w:rsidRPr="00300915">
              <w:rPr>
                <w:rFonts w:eastAsia="Times New Roman"/>
                <w:b/>
                <w:bCs/>
                <w:color w:val="000000"/>
                <w:lang w:val="en-GB" w:eastAsia="en-GB"/>
              </w:rPr>
              <w:t>id-fusion median</w:t>
            </w:r>
          </w:p>
        </w:tc>
        <w:tc>
          <w:tcPr>
            <w:tcW w:w="1134" w:type="dxa"/>
            <w:tcBorders>
              <w:top w:val="single" w:sz="4" w:space="0" w:color="auto"/>
              <w:bottom w:val="nil"/>
            </w:tcBorders>
            <w:shd w:val="clear" w:color="auto" w:fill="auto"/>
            <w:noWrap/>
            <w:vAlign w:val="center"/>
            <w:hideMark/>
          </w:tcPr>
          <w:p w:rsidR="00A35CA0" w:rsidRDefault="0054060B"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c</w:t>
            </w:r>
            <w:r w:rsidR="00B92920" w:rsidRPr="00300915">
              <w:rPr>
                <w:rFonts w:eastAsia="Times New Roman"/>
                <w:b/>
                <w:bCs/>
                <w:color w:val="000000"/>
                <w:lang w:val="en-GB" w:eastAsia="en-GB"/>
              </w:rPr>
              <w:t>omplete fusion median</w:t>
            </w:r>
          </w:p>
        </w:tc>
        <w:tc>
          <w:tcPr>
            <w:tcW w:w="850" w:type="dxa"/>
            <w:tcBorders>
              <w:top w:val="single" w:sz="4" w:space="0" w:color="auto"/>
              <w:bottom w:val="nil"/>
            </w:tcBorders>
            <w:shd w:val="clear" w:color="auto" w:fill="auto"/>
            <w:noWrap/>
            <w:vAlign w:val="center"/>
            <w:hideMark/>
          </w:tcPr>
          <w:p w:rsidR="00A35CA0" w:rsidRDefault="0054060B"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m</w:t>
            </w:r>
            <w:r w:rsidR="00B92920" w:rsidRPr="00300915">
              <w:rPr>
                <w:rFonts w:eastAsia="Times New Roman"/>
                <w:b/>
                <w:bCs/>
                <w:color w:val="000000"/>
                <w:lang w:val="en-GB" w:eastAsia="en-GB"/>
              </w:rPr>
              <w:t>id-fusion</w:t>
            </w:r>
          </w:p>
        </w:tc>
        <w:tc>
          <w:tcPr>
            <w:tcW w:w="1134" w:type="dxa"/>
            <w:tcBorders>
              <w:top w:val="single" w:sz="4" w:space="0" w:color="auto"/>
              <w:bottom w:val="nil"/>
            </w:tcBorders>
            <w:shd w:val="clear" w:color="auto" w:fill="auto"/>
            <w:noWrap/>
            <w:vAlign w:val="center"/>
            <w:hideMark/>
          </w:tcPr>
          <w:p w:rsidR="00A35CA0" w:rsidRDefault="0054060B"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c</w:t>
            </w:r>
            <w:r w:rsidR="00B92920" w:rsidRPr="00300915">
              <w:rPr>
                <w:rFonts w:eastAsia="Times New Roman"/>
                <w:b/>
                <w:bCs/>
                <w:color w:val="000000"/>
                <w:lang w:val="en-GB" w:eastAsia="en-GB"/>
              </w:rPr>
              <w:t>omplete fusion</w:t>
            </w:r>
          </w:p>
        </w:tc>
      </w:tr>
      <w:tr w:rsidR="00CE2832" w:rsidRPr="00300915" w:rsidTr="00CE2832">
        <w:trPr>
          <w:trHeight w:val="315"/>
        </w:trPr>
        <w:tc>
          <w:tcPr>
            <w:tcW w:w="1061"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2693"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851"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1134"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992"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dental score</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dental score</w:t>
            </w:r>
          </w:p>
        </w:tc>
        <w:tc>
          <w:tcPr>
            <w:tcW w:w="850"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years</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300915">
              <w:rPr>
                <w:rFonts w:eastAsia="Times New Roman"/>
                <w:b/>
                <w:bCs/>
                <w:color w:val="000000"/>
                <w:lang w:val="en-GB" w:eastAsia="en-GB"/>
              </w:rPr>
              <w:t>years</w:t>
            </w:r>
          </w:p>
        </w:tc>
      </w:tr>
      <w:tr w:rsidR="00CE2832" w:rsidRPr="00300915" w:rsidTr="00CE2832">
        <w:trPr>
          <w:trHeight w:hRule="exact" w:val="284"/>
        </w:trPr>
        <w:tc>
          <w:tcPr>
            <w:tcW w:w="1061"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upper limb</w:t>
            </w:r>
          </w:p>
        </w:tc>
        <w:tc>
          <w:tcPr>
            <w:tcW w:w="269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humerus</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tcBorders>
              <w:top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rPr>
                <w:rFonts w:eastAsia="Times New Roman"/>
                <w:color w:val="000000"/>
                <w:lang w:val="en-GB" w:eastAsia="en-GB"/>
              </w:rPr>
            </w:pPr>
          </w:p>
        </w:tc>
        <w:tc>
          <w:tcPr>
            <w:tcW w:w="2693"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48</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7.242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D759EE"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B92920" w:rsidRPr="00300915">
              <w:rPr>
                <w:rFonts w:eastAsia="Times New Roman"/>
                <w:color w:val="000000"/>
                <w:lang w:val="en-GB" w:eastAsia="en-GB"/>
              </w:rPr>
              <w:t>medial epicondyle</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7.242</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radius</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radius</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ulna</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56</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8.11725</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ulna</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r>
      <w:tr w:rsidR="00CE2832" w:rsidRPr="00300915" w:rsidTr="00CE2832">
        <w:trPr>
          <w:trHeight w:hRule="exact" w:val="284"/>
        </w:trPr>
        <w:tc>
          <w:tcPr>
            <w:tcW w:w="1061"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hand</w:t>
            </w:r>
          </w:p>
        </w:tc>
        <w:tc>
          <w:tcPr>
            <w:tcW w:w="269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phalanges (hand)</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50</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7.242</w:t>
            </w:r>
          </w:p>
        </w:tc>
        <w:tc>
          <w:tcPr>
            <w:tcW w:w="1134" w:type="dxa"/>
            <w:tcBorders>
              <w:top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base of metacarpal 1</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7.242</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499"/>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and middle phalanges (hand)</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7.242</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metacarpal heads 2-5</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tcBorders>
              <w:bottom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lower limb</w:t>
            </w:r>
          </w:p>
        </w:tc>
        <w:tc>
          <w:tcPr>
            <w:tcW w:w="269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femoral head</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4" w:type="dxa"/>
            <w:tcBorders>
              <w:top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greater trochanter</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8.621</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lesser trochanter</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femur</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tibia</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tibia</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fibula</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r>
      <w:tr w:rsidR="00CE2832" w:rsidRPr="00300915" w:rsidTr="00CE2832">
        <w:trPr>
          <w:trHeight w:hRule="exact" w:val="284"/>
        </w:trPr>
        <w:tc>
          <w:tcPr>
            <w:tcW w:w="106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fibula</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tcBorders>
              <w:bottom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val="restart"/>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foot</w:t>
            </w:r>
          </w:p>
        </w:tc>
        <w:tc>
          <w:tcPr>
            <w:tcW w:w="2693"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calcaneus</w:t>
            </w:r>
          </w:p>
        </w:tc>
        <w:tc>
          <w:tcPr>
            <w:tcW w:w="851"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w:t>
            </w:r>
          </w:p>
        </w:tc>
        <w:tc>
          <w:tcPr>
            <w:tcW w:w="1134"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single" w:sz="4" w:space="0" w:color="auto"/>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c>
          <w:tcPr>
            <w:tcW w:w="1134" w:type="dxa"/>
            <w:tcBorders>
              <w:top w:val="single" w:sz="4" w:space="0" w:color="auto"/>
              <w:bottom w:val="nil"/>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talus</w:t>
            </w:r>
          </w:p>
        </w:tc>
        <w:tc>
          <w:tcPr>
            <w:tcW w:w="85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99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57</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63</w:t>
            </w:r>
          </w:p>
        </w:tc>
        <w:tc>
          <w:tcPr>
            <w:tcW w:w="850"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tcBorders>
              <w:top w:val="nil"/>
              <w:bottom w:val="nil"/>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distal phalanges (foot)</w:t>
            </w:r>
          </w:p>
        </w:tc>
        <w:tc>
          <w:tcPr>
            <w:tcW w:w="85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60</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7.053</w:t>
            </w:r>
          </w:p>
        </w:tc>
        <w:tc>
          <w:tcPr>
            <w:tcW w:w="1134" w:type="dxa"/>
            <w:tcBorders>
              <w:top w:val="nil"/>
              <w:bottom w:val="nil"/>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499"/>
        </w:trPr>
        <w:tc>
          <w:tcPr>
            <w:tcW w:w="1061"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middle phalanges (foot)</w:t>
            </w:r>
          </w:p>
        </w:tc>
        <w:tc>
          <w:tcPr>
            <w:tcW w:w="85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7.053</w:t>
            </w:r>
          </w:p>
        </w:tc>
        <w:tc>
          <w:tcPr>
            <w:tcW w:w="1134" w:type="dxa"/>
            <w:tcBorders>
              <w:top w:val="nil"/>
              <w:bottom w:val="nil"/>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metatarsal heads (2-5)</w:t>
            </w:r>
          </w:p>
        </w:tc>
        <w:tc>
          <w:tcPr>
            <w:tcW w:w="85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7.053</w:t>
            </w:r>
          </w:p>
        </w:tc>
        <w:tc>
          <w:tcPr>
            <w:tcW w:w="1134" w:type="dxa"/>
            <w:tcBorders>
              <w:top w:val="nil"/>
              <w:bottom w:val="nil"/>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tcBorders>
              <w:top w:val="nil"/>
              <w:bottom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base of metatarsal 1</w:t>
            </w:r>
          </w:p>
        </w:tc>
        <w:tc>
          <w:tcPr>
            <w:tcW w:w="851"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62.5</w:t>
            </w:r>
          </w:p>
        </w:tc>
        <w:tc>
          <w:tcPr>
            <w:tcW w:w="1134"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nil"/>
              <w:bottom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tcBorders>
              <w:top w:val="nil"/>
              <w:bottom w:val="nil"/>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499"/>
        </w:trPr>
        <w:tc>
          <w:tcPr>
            <w:tcW w:w="1061"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proximal phalanges (foot)</w:t>
            </w:r>
          </w:p>
        </w:tc>
        <w:tc>
          <w:tcPr>
            <w:tcW w:w="851"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61.5</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tcBorders>
              <w:top w:val="nil"/>
              <w:bottom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pelvis</w:t>
            </w:r>
          </w:p>
        </w:tc>
        <w:tc>
          <w:tcPr>
            <w:tcW w:w="269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triradiate</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56.5</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8.11725</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8.826</w:t>
            </w:r>
          </w:p>
        </w:tc>
      </w:tr>
      <w:tr w:rsidR="00CE2832" w:rsidRPr="00300915" w:rsidTr="00CE2832">
        <w:trPr>
          <w:trHeight w:hRule="exact" w:val="499"/>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anterior inferior iliac spine</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iliac crest</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850"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r>
      <w:tr w:rsidR="00CE2832" w:rsidRPr="00300915" w:rsidTr="00CE2832">
        <w:trPr>
          <w:trHeight w:hRule="exact" w:val="284"/>
        </w:trPr>
        <w:tc>
          <w:tcPr>
            <w:tcW w:w="106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ischia</w:t>
            </w:r>
            <w:r w:rsidR="0054060B">
              <w:rPr>
                <w:rFonts w:eastAsia="Times New Roman"/>
                <w:color w:val="000000"/>
                <w:lang w:val="en-GB" w:eastAsia="en-GB"/>
              </w:rPr>
              <w:t>l</w:t>
            </w:r>
            <w:r w:rsidRPr="00300915">
              <w:rPr>
                <w:rFonts w:eastAsia="Times New Roman"/>
                <w:color w:val="000000"/>
                <w:lang w:val="en-GB" w:eastAsia="en-GB"/>
              </w:rPr>
              <w:t xml:space="preserve"> epiphysis</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r>
      <w:tr w:rsidR="00CE2832" w:rsidRPr="00300915" w:rsidTr="00CE2832">
        <w:trPr>
          <w:trHeight w:hRule="exact" w:val="284"/>
        </w:trPr>
        <w:tc>
          <w:tcPr>
            <w:tcW w:w="1061"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clavicle</w:t>
            </w:r>
          </w:p>
        </w:tc>
        <w:tc>
          <w:tcPr>
            <w:tcW w:w="269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medial clavicle</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r>
      <w:tr w:rsidR="00CE2832" w:rsidRPr="00300915" w:rsidTr="00CE2832">
        <w:trPr>
          <w:trHeight w:hRule="exact" w:val="284"/>
        </w:trPr>
        <w:tc>
          <w:tcPr>
            <w:tcW w:w="1061"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lateral clavicle</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0</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59</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w:t>
            </w:r>
          </w:p>
        </w:tc>
        <w:tc>
          <w:tcPr>
            <w:tcW w:w="1134" w:type="dxa"/>
            <w:tcBorders>
              <w:bottom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scapula</w:t>
            </w:r>
          </w:p>
        </w:tc>
        <w:tc>
          <w:tcPr>
            <w:tcW w:w="2693"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coracoid</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58</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7.242</w:t>
            </w:r>
          </w:p>
        </w:tc>
        <w:tc>
          <w:tcPr>
            <w:tcW w:w="1134" w:type="dxa"/>
            <w:tcBorders>
              <w:top w:val="single" w:sz="4" w:space="0" w:color="auto"/>
            </w:tcBorders>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sub-coracoid and glenoid</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4</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50</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7.242</w:t>
            </w:r>
          </w:p>
        </w:tc>
        <w:tc>
          <w:tcPr>
            <w:tcW w:w="1134"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acromium</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2</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9.242</w:t>
            </w:r>
          </w:p>
        </w:tc>
      </w:tr>
      <w:tr w:rsidR="00CE2832" w:rsidRPr="00300915" w:rsidTr="00CE2832">
        <w:trPr>
          <w:trHeight w:hRule="exact" w:val="284"/>
        </w:trPr>
        <w:tc>
          <w:tcPr>
            <w:tcW w:w="1061"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93"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medial border</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1</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64</w:t>
            </w:r>
          </w:p>
        </w:tc>
        <w:tc>
          <w:tcPr>
            <w:tcW w:w="850" w:type="dxa"/>
            <w:shd w:val="clear" w:color="auto" w:fill="auto"/>
            <w:noWrap/>
            <w:vAlign w:val="center"/>
            <w:hideMark/>
          </w:tcPr>
          <w:p w:rsidR="00A35CA0" w:rsidRDefault="00741B54" w:rsidP="00CA5FBB">
            <w:pPr>
              <w:spacing w:before="0" w:line="240" w:lineRule="auto"/>
              <w:jc w:val="center"/>
              <w:rPr>
                <w:rFonts w:eastAsia="Times New Roman"/>
                <w:color w:val="000000"/>
                <w:sz w:val="24"/>
                <w:szCs w:val="24"/>
                <w:lang w:val="en-GB" w:eastAsia="en-GB"/>
              </w:rPr>
            </w:pPr>
            <w:r w:rsidRPr="002E58E1">
              <w:t>≥</w:t>
            </w:r>
            <w:r w:rsidR="00B92920" w:rsidRPr="00300915">
              <w:rPr>
                <w:rFonts w:eastAsia="Times New Roman"/>
                <w:color w:val="000000"/>
                <w:lang w:val="en-GB" w:eastAsia="en-GB"/>
              </w:rPr>
              <w:t>9.453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300915">
              <w:rPr>
                <w:rFonts w:eastAsia="Times New Roman"/>
                <w:color w:val="000000"/>
                <w:lang w:val="en-GB" w:eastAsia="en-GB"/>
              </w:rPr>
              <w:t>9.033</w:t>
            </w:r>
          </w:p>
        </w:tc>
      </w:tr>
    </w:tbl>
    <w:p w:rsidR="00B92920" w:rsidRPr="00F41FB2" w:rsidRDefault="00B92920" w:rsidP="008F6AD8">
      <w:pPr>
        <w:spacing w:after="120" w:line="240" w:lineRule="auto"/>
        <w:rPr>
          <w:noProof/>
        </w:rPr>
      </w:pPr>
      <w:bookmarkStart w:id="1028" w:name="_Toc373180174"/>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30</w:t>
      </w:r>
      <w:r w:rsidR="008943E4">
        <w:rPr>
          <w:b/>
        </w:rPr>
        <w:fldChar w:fldCharType="end"/>
      </w:r>
      <w:r>
        <w:rPr>
          <w:noProof/>
        </w:rPr>
        <w:t xml:space="preserve"> Estimated chronological ages for fusion</w:t>
      </w:r>
      <w:r w:rsidR="00956B7C">
        <w:rPr>
          <w:noProof/>
        </w:rPr>
        <w:t xml:space="preserve"> events</w:t>
      </w:r>
      <w:r>
        <w:rPr>
          <w:noProof/>
        </w:rPr>
        <w:t xml:space="preserve"> based on median values of mid-fusion and complete fusion in </w:t>
      </w:r>
      <w:r>
        <w:rPr>
          <w:i/>
          <w:noProof/>
        </w:rPr>
        <w:t xml:space="preserve">Pan paniscus </w:t>
      </w:r>
      <w:r>
        <w:rPr>
          <w:noProof/>
        </w:rPr>
        <w:t>males.</w:t>
      </w:r>
      <w:bookmarkEnd w:id="1028"/>
    </w:p>
    <w:tbl>
      <w:tblPr>
        <w:tblW w:w="9781" w:type="dxa"/>
        <w:tblInd w:w="-34" w:type="dxa"/>
        <w:tblBorders>
          <w:top w:val="single" w:sz="4" w:space="0" w:color="auto"/>
        </w:tblBorders>
        <w:tblLayout w:type="fixed"/>
        <w:tblLook w:val="04A0" w:firstRow="1" w:lastRow="0" w:firstColumn="1" w:lastColumn="0" w:noHBand="0" w:noVBand="1"/>
      </w:tblPr>
      <w:tblGrid>
        <w:gridCol w:w="1024"/>
        <w:gridCol w:w="2662"/>
        <w:gridCol w:w="851"/>
        <w:gridCol w:w="1134"/>
        <w:gridCol w:w="992"/>
        <w:gridCol w:w="1134"/>
        <w:gridCol w:w="850"/>
        <w:gridCol w:w="1134"/>
      </w:tblGrid>
      <w:tr w:rsidR="00B92920" w:rsidRPr="00A05CF0" w:rsidTr="00451881">
        <w:trPr>
          <w:trHeight w:val="227"/>
        </w:trPr>
        <w:tc>
          <w:tcPr>
            <w:tcW w:w="1024" w:type="dxa"/>
            <w:vMerge w:val="restart"/>
            <w:tcBorders>
              <w:top w:val="single" w:sz="4" w:space="0" w:color="auto"/>
            </w:tcBorders>
            <w:shd w:val="clear" w:color="auto" w:fill="auto"/>
            <w:noWrap/>
            <w:vAlign w:val="center"/>
            <w:hideMark/>
          </w:tcPr>
          <w:p w:rsidR="00A35CA0" w:rsidRDefault="00D31517"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B92920" w:rsidRPr="00A05CF0">
              <w:rPr>
                <w:rFonts w:eastAsia="Times New Roman"/>
                <w:b/>
                <w:bCs/>
                <w:color w:val="000000"/>
                <w:lang w:val="en-GB" w:eastAsia="en-GB"/>
              </w:rPr>
              <w:t>keletal region</w:t>
            </w:r>
          </w:p>
        </w:tc>
        <w:tc>
          <w:tcPr>
            <w:tcW w:w="2662" w:type="dxa"/>
            <w:vMerge w:val="restart"/>
            <w:tcBorders>
              <w:top w:val="single" w:sz="4" w:space="0" w:color="auto"/>
            </w:tcBorders>
            <w:shd w:val="clear" w:color="auto" w:fill="auto"/>
            <w:noWrap/>
            <w:vAlign w:val="center"/>
            <w:hideMark/>
          </w:tcPr>
          <w:p w:rsidR="00A35CA0" w:rsidRDefault="00D31517"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B92920" w:rsidRPr="00A05CF0">
              <w:rPr>
                <w:rFonts w:eastAsia="Times New Roman"/>
                <w:b/>
                <w:bCs/>
                <w:color w:val="000000"/>
                <w:lang w:val="en-GB" w:eastAsia="en-GB"/>
              </w:rPr>
              <w:t>piphyseal fusion site</w:t>
            </w:r>
          </w:p>
        </w:tc>
        <w:tc>
          <w:tcPr>
            <w:tcW w:w="851"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8"/>
                <w:szCs w:val="28"/>
                <w:lang w:val="en-GB" w:eastAsia="en-GB"/>
              </w:rPr>
            </w:pPr>
            <w:r w:rsidRPr="00D31517">
              <w:rPr>
                <w:rFonts w:eastAsia="Times New Roman"/>
                <w:b/>
                <w:bCs/>
                <w:i/>
                <w:color w:val="000000"/>
                <w:lang w:val="en-GB" w:eastAsia="en-GB"/>
              </w:rPr>
              <w:t>N</w:t>
            </w:r>
            <w:r w:rsidRPr="00A05CF0">
              <w:rPr>
                <w:rFonts w:eastAsia="Times New Roman"/>
                <w:b/>
                <w:bCs/>
                <w:color w:val="000000"/>
                <w:lang w:val="en-GB" w:eastAsia="en-GB"/>
              </w:rPr>
              <w:t xml:space="preserve"> mid-fusion</w:t>
            </w:r>
          </w:p>
        </w:tc>
        <w:tc>
          <w:tcPr>
            <w:tcW w:w="1134"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8"/>
                <w:szCs w:val="28"/>
                <w:lang w:val="en-GB" w:eastAsia="en-GB"/>
              </w:rPr>
            </w:pPr>
            <w:r w:rsidRPr="00D31517">
              <w:rPr>
                <w:rFonts w:eastAsia="Times New Roman"/>
                <w:b/>
                <w:bCs/>
                <w:i/>
                <w:color w:val="000000"/>
                <w:lang w:val="en-GB" w:eastAsia="en-GB"/>
              </w:rPr>
              <w:t>N</w:t>
            </w:r>
            <w:r w:rsidRPr="00A05CF0">
              <w:rPr>
                <w:rFonts w:eastAsia="Times New Roman"/>
                <w:b/>
                <w:bCs/>
                <w:color w:val="000000"/>
                <w:lang w:val="en-GB" w:eastAsia="en-GB"/>
              </w:rPr>
              <w:t xml:space="preserve"> complete fusion</w:t>
            </w:r>
          </w:p>
        </w:tc>
        <w:tc>
          <w:tcPr>
            <w:tcW w:w="992" w:type="dxa"/>
            <w:tcBorders>
              <w:top w:val="single" w:sz="4" w:space="0" w:color="auto"/>
            </w:tcBorders>
            <w:shd w:val="clear" w:color="auto" w:fill="auto"/>
            <w:noWrap/>
            <w:vAlign w:val="center"/>
            <w:hideMark/>
          </w:tcPr>
          <w:p w:rsidR="00A35CA0" w:rsidRDefault="00D31517"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m</w:t>
            </w:r>
            <w:r w:rsidR="00B92920" w:rsidRPr="00A05CF0">
              <w:rPr>
                <w:rFonts w:eastAsia="Times New Roman"/>
                <w:b/>
                <w:bCs/>
                <w:color w:val="000000"/>
                <w:lang w:val="en-GB" w:eastAsia="en-GB"/>
              </w:rPr>
              <w:t>id-fusion median</w:t>
            </w:r>
          </w:p>
        </w:tc>
        <w:tc>
          <w:tcPr>
            <w:tcW w:w="1134" w:type="dxa"/>
            <w:tcBorders>
              <w:top w:val="single" w:sz="4" w:space="0" w:color="auto"/>
            </w:tcBorders>
            <w:shd w:val="clear" w:color="auto" w:fill="auto"/>
            <w:noWrap/>
            <w:vAlign w:val="center"/>
            <w:hideMark/>
          </w:tcPr>
          <w:p w:rsidR="00A35CA0" w:rsidRDefault="00D31517"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c</w:t>
            </w:r>
            <w:r w:rsidR="00B92920" w:rsidRPr="00A05CF0">
              <w:rPr>
                <w:rFonts w:eastAsia="Times New Roman"/>
                <w:b/>
                <w:bCs/>
                <w:color w:val="000000"/>
                <w:lang w:val="en-GB" w:eastAsia="en-GB"/>
              </w:rPr>
              <w:t>omplete fusion median</w:t>
            </w:r>
          </w:p>
        </w:tc>
        <w:tc>
          <w:tcPr>
            <w:tcW w:w="850" w:type="dxa"/>
            <w:tcBorders>
              <w:top w:val="single" w:sz="4" w:space="0" w:color="auto"/>
            </w:tcBorders>
            <w:shd w:val="clear" w:color="auto" w:fill="auto"/>
            <w:noWrap/>
            <w:vAlign w:val="center"/>
            <w:hideMark/>
          </w:tcPr>
          <w:p w:rsidR="00A35CA0" w:rsidRDefault="00D31517"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m</w:t>
            </w:r>
            <w:r w:rsidR="00B92920" w:rsidRPr="00A05CF0">
              <w:rPr>
                <w:rFonts w:eastAsia="Times New Roman"/>
                <w:b/>
                <w:bCs/>
                <w:color w:val="000000"/>
                <w:lang w:val="en-GB" w:eastAsia="en-GB"/>
              </w:rPr>
              <w:t>id-fusion</w:t>
            </w:r>
          </w:p>
        </w:tc>
        <w:tc>
          <w:tcPr>
            <w:tcW w:w="1134" w:type="dxa"/>
            <w:tcBorders>
              <w:top w:val="single" w:sz="4" w:space="0" w:color="auto"/>
            </w:tcBorders>
            <w:shd w:val="clear" w:color="auto" w:fill="auto"/>
            <w:noWrap/>
            <w:vAlign w:val="center"/>
            <w:hideMark/>
          </w:tcPr>
          <w:p w:rsidR="00A35CA0" w:rsidRDefault="00D31517"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c</w:t>
            </w:r>
            <w:r w:rsidR="00B92920" w:rsidRPr="00A05CF0">
              <w:rPr>
                <w:rFonts w:eastAsia="Times New Roman"/>
                <w:b/>
                <w:bCs/>
                <w:color w:val="000000"/>
                <w:lang w:val="en-GB" w:eastAsia="en-GB"/>
              </w:rPr>
              <w:t>omplete fusion</w:t>
            </w:r>
          </w:p>
        </w:tc>
      </w:tr>
      <w:tr w:rsidR="00B92920" w:rsidRPr="00A05CF0" w:rsidTr="00451881">
        <w:trPr>
          <w:trHeight w:val="227"/>
        </w:trPr>
        <w:tc>
          <w:tcPr>
            <w:tcW w:w="1024"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2662"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851"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1134" w:type="dxa"/>
            <w:vMerge/>
            <w:tcBorders>
              <w:top w:val="nil"/>
              <w:bottom w:val="single" w:sz="4" w:space="0" w:color="auto"/>
            </w:tcBorders>
            <w:vAlign w:val="center"/>
            <w:hideMark/>
          </w:tcPr>
          <w:p w:rsidR="00A35CA0" w:rsidRDefault="00A35CA0" w:rsidP="00CA5FBB">
            <w:pPr>
              <w:spacing w:before="0" w:line="240" w:lineRule="auto"/>
              <w:rPr>
                <w:rFonts w:eastAsia="Times New Roman"/>
                <w:b/>
                <w:bCs/>
                <w:color w:val="000000"/>
                <w:lang w:val="en-GB" w:eastAsia="en-GB"/>
              </w:rPr>
            </w:pPr>
          </w:p>
        </w:tc>
        <w:tc>
          <w:tcPr>
            <w:tcW w:w="992"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A05CF0">
              <w:rPr>
                <w:rFonts w:eastAsia="Times New Roman"/>
                <w:b/>
                <w:bCs/>
                <w:color w:val="000000"/>
                <w:lang w:val="en-GB" w:eastAsia="en-GB"/>
              </w:rPr>
              <w:t>dental score</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A05CF0">
              <w:rPr>
                <w:rFonts w:eastAsia="Times New Roman"/>
                <w:b/>
                <w:bCs/>
                <w:color w:val="000000"/>
                <w:lang w:val="en-GB" w:eastAsia="en-GB"/>
              </w:rPr>
              <w:t>dental score</w:t>
            </w:r>
          </w:p>
        </w:tc>
        <w:tc>
          <w:tcPr>
            <w:tcW w:w="850"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A05CF0">
              <w:rPr>
                <w:rFonts w:eastAsia="Times New Roman"/>
                <w:b/>
                <w:bCs/>
                <w:color w:val="000000"/>
                <w:lang w:val="en-GB" w:eastAsia="en-GB"/>
              </w:rPr>
              <w:t>years</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b/>
                <w:bCs/>
                <w:color w:val="000000"/>
                <w:sz w:val="24"/>
                <w:szCs w:val="24"/>
                <w:lang w:val="en-GB" w:eastAsia="en-GB"/>
              </w:rPr>
            </w:pPr>
            <w:r w:rsidRPr="00A05CF0">
              <w:rPr>
                <w:rFonts w:eastAsia="Times New Roman"/>
                <w:b/>
                <w:bCs/>
                <w:color w:val="000000"/>
                <w:lang w:val="en-GB" w:eastAsia="en-GB"/>
              </w:rPr>
              <w:t>years</w:t>
            </w:r>
          </w:p>
        </w:tc>
      </w:tr>
      <w:tr w:rsidR="00B92920" w:rsidRPr="00A05CF0" w:rsidTr="00451881">
        <w:trPr>
          <w:trHeight w:hRule="exact" w:val="255"/>
        </w:trPr>
        <w:tc>
          <w:tcPr>
            <w:tcW w:w="1024"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upper limb</w:t>
            </w:r>
          </w:p>
        </w:tc>
        <w:tc>
          <w:tcPr>
            <w:tcW w:w="2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proximal humerus</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62</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8.621</w:t>
            </w:r>
          </w:p>
        </w:tc>
      </w:tr>
      <w:tr w:rsidR="00B92920" w:rsidRPr="00A05CF0" w:rsidTr="00451881">
        <w:trPr>
          <w:trHeight w:hRule="exact" w:val="255"/>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7</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48</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63</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8.418</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8.72325</w:t>
            </w:r>
          </w:p>
        </w:tc>
      </w:tr>
      <w:tr w:rsidR="00B92920" w:rsidRPr="00A05CF0" w:rsidTr="00451881">
        <w:trPr>
          <w:trHeight w:hRule="exact" w:val="255"/>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451881"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B92920" w:rsidRPr="00A05CF0">
              <w:rPr>
                <w:rFonts w:eastAsia="Times New Roman"/>
                <w:color w:val="000000"/>
                <w:lang w:val="en-GB" w:eastAsia="en-GB"/>
              </w:rPr>
              <w:t>medial epicondyle</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8.621</w:t>
            </w:r>
          </w:p>
        </w:tc>
        <w:tc>
          <w:tcPr>
            <w:tcW w:w="1134"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proximal radius</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8.621</w:t>
            </w:r>
          </w:p>
        </w:tc>
        <w:tc>
          <w:tcPr>
            <w:tcW w:w="1134"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distal radius</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8.621</w:t>
            </w:r>
          </w:p>
        </w:tc>
      </w:tr>
      <w:tr w:rsidR="00B92920" w:rsidRPr="00A05CF0" w:rsidTr="00451881">
        <w:trPr>
          <w:trHeight w:hRule="exact" w:val="255"/>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proximal ulna</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7</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56</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6.138</w:t>
            </w:r>
          </w:p>
        </w:tc>
        <w:tc>
          <w:tcPr>
            <w:tcW w:w="1134"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distal ulna</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9.13725</w:t>
            </w:r>
          </w:p>
        </w:tc>
      </w:tr>
      <w:tr w:rsidR="00B92920" w:rsidRPr="00A05CF0" w:rsidTr="00451881">
        <w:trPr>
          <w:trHeight w:hRule="exact" w:val="283"/>
        </w:trPr>
        <w:tc>
          <w:tcPr>
            <w:tcW w:w="1024"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hand</w:t>
            </w:r>
          </w:p>
        </w:tc>
        <w:tc>
          <w:tcPr>
            <w:tcW w:w="2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distal phalanges (hand)</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4</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50</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62</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5.961</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&gt;9.453</w:t>
            </w:r>
          </w:p>
        </w:tc>
      </w:tr>
      <w:tr w:rsidR="00B92920" w:rsidRPr="00A05CF0" w:rsidTr="00451881">
        <w:trPr>
          <w:trHeight w:hRule="exact" w:val="283"/>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base of metacarpal 1</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6.77325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&gt;9.453</w:t>
            </w:r>
          </w:p>
        </w:tc>
      </w:tr>
      <w:tr w:rsidR="00B92920" w:rsidRPr="00A05CF0" w:rsidTr="00451881">
        <w:trPr>
          <w:trHeight w:hRule="exact" w:val="499"/>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proximal and middle phalanges (hand)</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60.5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7.433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&gt;9.453</w:t>
            </w:r>
          </w:p>
        </w:tc>
      </w:tr>
      <w:tr w:rsidR="00B92920" w:rsidRPr="00A05CF0" w:rsidTr="00451881">
        <w:trPr>
          <w:trHeight w:hRule="exact" w:val="284"/>
        </w:trPr>
        <w:tc>
          <w:tcPr>
            <w:tcW w:w="102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metacarpal heads 2-5</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62</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8.621</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8.826</w:t>
            </w:r>
          </w:p>
        </w:tc>
      </w:tr>
      <w:tr w:rsidR="00B92920" w:rsidRPr="00A05CF0" w:rsidTr="00451881">
        <w:trPr>
          <w:trHeight w:hRule="exact" w:val="255"/>
        </w:trPr>
        <w:tc>
          <w:tcPr>
            <w:tcW w:w="1024"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lower limb</w:t>
            </w:r>
          </w:p>
        </w:tc>
        <w:tc>
          <w:tcPr>
            <w:tcW w:w="2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femoral head</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62</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8.72325</w:t>
            </w:r>
          </w:p>
        </w:tc>
        <w:tc>
          <w:tcPr>
            <w:tcW w:w="1134" w:type="dxa"/>
            <w:tcBorders>
              <w:top w:val="single" w:sz="4" w:space="0" w:color="auto"/>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tcBorders>
              <w:top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greater trochanter</w:t>
            </w:r>
          </w:p>
        </w:tc>
        <w:tc>
          <w:tcPr>
            <w:tcW w:w="851"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99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61.5</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8.621</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8.826</w:t>
            </w:r>
          </w:p>
        </w:tc>
      </w:tr>
      <w:tr w:rsidR="00B92920" w:rsidRPr="00A05CF0" w:rsidTr="00451881">
        <w:trPr>
          <w:trHeight w:hRule="exact" w:val="255"/>
        </w:trPr>
        <w:tc>
          <w:tcPr>
            <w:tcW w:w="1024" w:type="dxa"/>
            <w:vMerge/>
            <w:tcBorders>
              <w:top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lesser trochanter</w:t>
            </w:r>
          </w:p>
        </w:tc>
        <w:tc>
          <w:tcPr>
            <w:tcW w:w="851"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w:t>
            </w:r>
          </w:p>
        </w:tc>
        <w:tc>
          <w:tcPr>
            <w:tcW w:w="99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61</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8.51925</w:t>
            </w:r>
          </w:p>
        </w:tc>
        <w:tc>
          <w:tcPr>
            <w:tcW w:w="1134" w:type="dxa"/>
            <w:tcBorders>
              <w:top w:val="nil"/>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tcBorders>
              <w:top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distal femur</w:t>
            </w:r>
          </w:p>
        </w:tc>
        <w:tc>
          <w:tcPr>
            <w:tcW w:w="851"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99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c>
          <w:tcPr>
            <w:tcW w:w="1134" w:type="dxa"/>
            <w:tcBorders>
              <w:top w:val="nil"/>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tcBorders>
              <w:top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proximal tibia</w:t>
            </w:r>
          </w:p>
        </w:tc>
        <w:tc>
          <w:tcPr>
            <w:tcW w:w="851"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63.5</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8.621</w:t>
            </w:r>
          </w:p>
        </w:tc>
        <w:tc>
          <w:tcPr>
            <w:tcW w:w="1134" w:type="dxa"/>
            <w:tcBorders>
              <w:top w:val="nil"/>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tcBorders>
              <w:top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distal tibia</w:t>
            </w:r>
          </w:p>
        </w:tc>
        <w:tc>
          <w:tcPr>
            <w:tcW w:w="851"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62.5</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1134" w:type="dxa"/>
            <w:tcBorders>
              <w:top w:val="nil"/>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tcBorders>
              <w:top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proximal fibula</w:t>
            </w:r>
          </w:p>
        </w:tc>
        <w:tc>
          <w:tcPr>
            <w:tcW w:w="851"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63</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1134" w:type="dxa"/>
            <w:tcBorders>
              <w:top w:val="nil"/>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55"/>
        </w:trPr>
        <w:tc>
          <w:tcPr>
            <w:tcW w:w="1024"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distal fibula</w:t>
            </w:r>
          </w:p>
        </w:tc>
        <w:tc>
          <w:tcPr>
            <w:tcW w:w="851"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63</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8.11725</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8.826</w:t>
            </w:r>
          </w:p>
        </w:tc>
      </w:tr>
      <w:tr w:rsidR="00B92920" w:rsidRPr="00A05CF0" w:rsidTr="00451881">
        <w:trPr>
          <w:trHeight w:hRule="exact" w:val="283"/>
        </w:trPr>
        <w:tc>
          <w:tcPr>
            <w:tcW w:w="1024"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foot</w:t>
            </w:r>
          </w:p>
        </w:tc>
        <w:tc>
          <w:tcPr>
            <w:tcW w:w="2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calcaneus</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60</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7.33725</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8.621</w:t>
            </w:r>
          </w:p>
        </w:tc>
      </w:tr>
      <w:tr w:rsidR="00B92920" w:rsidRPr="00A05CF0" w:rsidTr="00451881">
        <w:trPr>
          <w:trHeight w:hRule="exact" w:val="283"/>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talus</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9</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57</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63</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1134"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83"/>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distal phalanges (foot)</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60</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8.018</w:t>
            </w:r>
          </w:p>
        </w:tc>
        <w:tc>
          <w:tcPr>
            <w:tcW w:w="1134"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499"/>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middle phalanges (foot)</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8.018</w:t>
            </w:r>
          </w:p>
        </w:tc>
        <w:tc>
          <w:tcPr>
            <w:tcW w:w="1134"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84"/>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metatarsal heads (2-5)</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62</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8.018</w:t>
            </w:r>
          </w:p>
        </w:tc>
        <w:tc>
          <w:tcPr>
            <w:tcW w:w="1134"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84"/>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base of metatarsal 1</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62.5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8.018</w:t>
            </w:r>
          </w:p>
        </w:tc>
        <w:tc>
          <w:tcPr>
            <w:tcW w:w="1134"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499"/>
        </w:trPr>
        <w:tc>
          <w:tcPr>
            <w:tcW w:w="102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proximal phalanges (foot)</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4</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61.5</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8.018</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8.826</w:t>
            </w:r>
          </w:p>
        </w:tc>
      </w:tr>
      <w:tr w:rsidR="00B92920" w:rsidRPr="00A05CF0" w:rsidTr="00451881">
        <w:trPr>
          <w:trHeight w:hRule="exact" w:val="284"/>
        </w:trPr>
        <w:tc>
          <w:tcPr>
            <w:tcW w:w="1024"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pelvis</w:t>
            </w:r>
          </w:p>
        </w:tc>
        <w:tc>
          <w:tcPr>
            <w:tcW w:w="2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triradiate</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4</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56.5</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7.91925</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8.826</w:t>
            </w:r>
          </w:p>
        </w:tc>
      </w:tr>
      <w:tr w:rsidR="00B92920" w:rsidRPr="00A05CF0" w:rsidTr="00451881">
        <w:trPr>
          <w:trHeight w:hRule="exact" w:val="499"/>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anterior inferior iliac spine</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55</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r>
      <w:tr w:rsidR="00B92920" w:rsidRPr="00A05CF0" w:rsidTr="00451881">
        <w:trPr>
          <w:trHeight w:hRule="exact" w:val="284"/>
        </w:trPr>
        <w:tc>
          <w:tcPr>
            <w:tcW w:w="1024"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iliac crest</w:t>
            </w:r>
          </w:p>
        </w:tc>
        <w:tc>
          <w:tcPr>
            <w:tcW w:w="851"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992"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850" w:type="dxa"/>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c>
          <w:tcPr>
            <w:tcW w:w="1134" w:type="dxa"/>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r>
      <w:tr w:rsidR="00B92920" w:rsidRPr="00A05CF0" w:rsidTr="00451881">
        <w:trPr>
          <w:trHeight w:hRule="exact" w:val="284"/>
        </w:trPr>
        <w:tc>
          <w:tcPr>
            <w:tcW w:w="102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ischia</w:t>
            </w:r>
            <w:r w:rsidR="00D31517">
              <w:rPr>
                <w:rFonts w:eastAsia="Times New Roman"/>
                <w:color w:val="000000"/>
                <w:lang w:val="en-GB" w:eastAsia="en-GB"/>
              </w:rPr>
              <w:t>l</w:t>
            </w:r>
            <w:r w:rsidRPr="00A05CF0">
              <w:rPr>
                <w:rFonts w:eastAsia="Times New Roman"/>
                <w:color w:val="000000"/>
                <w:lang w:val="en-GB" w:eastAsia="en-GB"/>
              </w:rPr>
              <w:t xml:space="preserve"> epiphysis</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4</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8.826</w:t>
            </w:r>
          </w:p>
        </w:tc>
        <w:tc>
          <w:tcPr>
            <w:tcW w:w="1134" w:type="dxa"/>
            <w:tcBorders>
              <w:bottom w:val="single" w:sz="4" w:space="0" w:color="auto"/>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84"/>
        </w:trPr>
        <w:tc>
          <w:tcPr>
            <w:tcW w:w="1024"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clavicle</w:t>
            </w:r>
          </w:p>
        </w:tc>
        <w:tc>
          <w:tcPr>
            <w:tcW w:w="2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medial clavicle</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7.433</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8.418</w:t>
            </w:r>
          </w:p>
        </w:tc>
      </w:tr>
      <w:tr w:rsidR="00B92920" w:rsidRPr="00A05CF0" w:rsidTr="00451881">
        <w:trPr>
          <w:trHeight w:hRule="exact" w:val="284"/>
        </w:trPr>
        <w:tc>
          <w:tcPr>
            <w:tcW w:w="1024"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lateral clavicle</w:t>
            </w:r>
          </w:p>
        </w:tc>
        <w:tc>
          <w:tcPr>
            <w:tcW w:w="851"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59</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1134" w:type="dxa"/>
            <w:tcBorders>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8.72325</w:t>
            </w:r>
          </w:p>
        </w:tc>
      </w:tr>
      <w:tr w:rsidR="00B92920" w:rsidRPr="00A05CF0" w:rsidTr="00451881">
        <w:trPr>
          <w:trHeight w:hRule="exact" w:val="284"/>
        </w:trPr>
        <w:tc>
          <w:tcPr>
            <w:tcW w:w="1024" w:type="dxa"/>
            <w:vMerge w:val="restart"/>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scapula</w:t>
            </w:r>
          </w:p>
        </w:tc>
        <w:tc>
          <w:tcPr>
            <w:tcW w:w="266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coracoid</w:t>
            </w:r>
          </w:p>
        </w:tc>
        <w:tc>
          <w:tcPr>
            <w:tcW w:w="851"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w:t>
            </w:r>
          </w:p>
        </w:tc>
        <w:tc>
          <w:tcPr>
            <w:tcW w:w="992"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58</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7.433</w:t>
            </w:r>
          </w:p>
        </w:tc>
        <w:tc>
          <w:tcPr>
            <w:tcW w:w="1134" w:type="dxa"/>
            <w:tcBorders>
              <w:top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9.13725</w:t>
            </w:r>
          </w:p>
        </w:tc>
      </w:tr>
      <w:tr w:rsidR="00B92920" w:rsidRPr="00A05CF0" w:rsidTr="00451881">
        <w:trPr>
          <w:trHeight w:hRule="exact" w:val="499"/>
        </w:trPr>
        <w:tc>
          <w:tcPr>
            <w:tcW w:w="1024" w:type="dxa"/>
            <w:vMerge/>
            <w:tcBorders>
              <w:top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sub-coracoid and glenoid</w:t>
            </w:r>
          </w:p>
        </w:tc>
        <w:tc>
          <w:tcPr>
            <w:tcW w:w="851"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3</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4</w:t>
            </w:r>
          </w:p>
        </w:tc>
        <w:tc>
          <w:tcPr>
            <w:tcW w:w="99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50</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8.418</w:t>
            </w:r>
          </w:p>
        </w:tc>
        <w:tc>
          <w:tcPr>
            <w:tcW w:w="1134" w:type="dxa"/>
            <w:tcBorders>
              <w:top w:val="nil"/>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84"/>
        </w:trPr>
        <w:tc>
          <w:tcPr>
            <w:tcW w:w="1024" w:type="dxa"/>
            <w:vMerge/>
            <w:tcBorders>
              <w:top w:val="nil"/>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acromium</w:t>
            </w:r>
          </w:p>
        </w:tc>
        <w:tc>
          <w:tcPr>
            <w:tcW w:w="851"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0</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2</w:t>
            </w:r>
          </w:p>
        </w:tc>
        <w:tc>
          <w:tcPr>
            <w:tcW w:w="992"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1134"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w:t>
            </w:r>
          </w:p>
        </w:tc>
        <w:tc>
          <w:tcPr>
            <w:tcW w:w="1134" w:type="dxa"/>
            <w:tcBorders>
              <w:top w:val="nil"/>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r>
      <w:tr w:rsidR="00B92920" w:rsidRPr="00A05CF0" w:rsidTr="00451881">
        <w:trPr>
          <w:trHeight w:hRule="exact" w:val="284"/>
        </w:trPr>
        <w:tc>
          <w:tcPr>
            <w:tcW w:w="1024" w:type="dxa"/>
            <w:vMerge/>
            <w:tcBorders>
              <w:top w:val="nil"/>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662"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medial border</w:t>
            </w:r>
          </w:p>
        </w:tc>
        <w:tc>
          <w:tcPr>
            <w:tcW w:w="851"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1</w:t>
            </w:r>
          </w:p>
        </w:tc>
        <w:tc>
          <w:tcPr>
            <w:tcW w:w="992"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64</w:t>
            </w:r>
          </w:p>
        </w:tc>
        <w:tc>
          <w:tcPr>
            <w:tcW w:w="850" w:type="dxa"/>
            <w:tcBorders>
              <w:top w:val="nil"/>
              <w:bottom w:val="single" w:sz="4" w:space="0" w:color="auto"/>
            </w:tcBorders>
            <w:shd w:val="clear" w:color="auto" w:fill="auto"/>
            <w:noWrap/>
            <w:vAlign w:val="center"/>
            <w:hideMark/>
          </w:tcPr>
          <w:p w:rsidR="00A35CA0" w:rsidRDefault="002C0043" w:rsidP="00CA5FBB">
            <w:pPr>
              <w:spacing w:before="0" w:line="240" w:lineRule="auto"/>
              <w:jc w:val="center"/>
              <w:rPr>
                <w:rFonts w:eastAsia="Times New Roman"/>
                <w:color w:val="000000"/>
                <w:sz w:val="24"/>
                <w:szCs w:val="24"/>
                <w:lang w:val="en-GB" w:eastAsia="en-GB"/>
              </w:rPr>
            </w:pPr>
            <w:r w:rsidRPr="002E58E1">
              <w:t>≥</w:t>
            </w:r>
            <w:r w:rsidR="00B92920" w:rsidRPr="00A05CF0">
              <w:rPr>
                <w:rFonts w:eastAsia="Times New Roman"/>
                <w:color w:val="000000"/>
                <w:lang w:val="en-GB" w:eastAsia="en-GB"/>
              </w:rPr>
              <w:t>9.453</w:t>
            </w:r>
          </w:p>
        </w:tc>
        <w:tc>
          <w:tcPr>
            <w:tcW w:w="1134" w:type="dxa"/>
            <w:tcBorders>
              <w:top w:val="nil"/>
              <w:bottom w:val="single" w:sz="4" w:space="0" w:color="auto"/>
            </w:tcBorders>
            <w:shd w:val="clear" w:color="auto" w:fill="auto"/>
            <w:noWrap/>
            <w:vAlign w:val="center"/>
            <w:hideMark/>
          </w:tcPr>
          <w:p w:rsidR="00A35CA0" w:rsidRDefault="00B92920" w:rsidP="00CA5FBB">
            <w:pPr>
              <w:spacing w:before="0" w:line="240" w:lineRule="auto"/>
              <w:jc w:val="center"/>
              <w:rPr>
                <w:rFonts w:eastAsia="Times New Roman"/>
                <w:color w:val="000000"/>
                <w:sz w:val="24"/>
                <w:szCs w:val="24"/>
                <w:lang w:val="en-GB" w:eastAsia="en-GB"/>
              </w:rPr>
            </w:pPr>
            <w:r w:rsidRPr="00A05CF0">
              <w:rPr>
                <w:rFonts w:eastAsia="Times New Roman"/>
                <w:color w:val="000000"/>
                <w:lang w:val="en-GB" w:eastAsia="en-GB"/>
              </w:rPr>
              <w:t>9.033</w:t>
            </w:r>
          </w:p>
        </w:tc>
      </w:tr>
    </w:tbl>
    <w:p w:rsidR="00A35CA0" w:rsidRDefault="00615D2A" w:rsidP="00A253AE">
      <w:pPr>
        <w:rPr>
          <w:noProof/>
          <w:color w:val="000000" w:themeColor="text1"/>
        </w:rPr>
      </w:pPr>
      <w:r>
        <w:rPr>
          <w:noProof/>
        </w:rPr>
        <w:br w:type="page"/>
      </w:r>
      <w:r w:rsidR="00B92920">
        <w:rPr>
          <w:noProof/>
        </w:rPr>
        <w:lastRenderedPageBreak/>
        <w:t xml:space="preserve">Prior studies of </w:t>
      </w:r>
      <w:r w:rsidR="00402BE2">
        <w:rPr>
          <w:noProof/>
        </w:rPr>
        <w:t xml:space="preserve">epiphyseal </w:t>
      </w:r>
      <w:r w:rsidR="00B92920">
        <w:rPr>
          <w:noProof/>
        </w:rPr>
        <w:t xml:space="preserve">fusion timing </w:t>
      </w:r>
      <w:r w:rsidR="00402BE2">
        <w:rPr>
          <w:noProof/>
        </w:rPr>
        <w:t xml:space="preserve">in chimpanzees and bonobos </w:t>
      </w:r>
      <w:r w:rsidR="00B92920">
        <w:rPr>
          <w:noProof/>
        </w:rPr>
        <w:t xml:space="preserve">were outlined in Chapter 2.  Bolter and Zihlman (2012) </w:t>
      </w:r>
      <w:r w:rsidR="00B92920" w:rsidRPr="00D87A2C">
        <w:rPr>
          <w:noProof/>
        </w:rPr>
        <w:t>provided the most comprehensive data set for epiphyseal fusion in chimpanzees and bonobos and included data from Kerley (1966) and Zihlman</w:t>
      </w:r>
      <w:r w:rsidR="00341E41">
        <w:rPr>
          <w:noProof/>
        </w:rPr>
        <w:t xml:space="preserve"> </w:t>
      </w:r>
      <w:r w:rsidR="00341E41" w:rsidRPr="00341E41">
        <w:rPr>
          <w:i/>
          <w:noProof/>
        </w:rPr>
        <w:t>et al.</w:t>
      </w:r>
      <w:r w:rsidR="00B92920" w:rsidRPr="00D87A2C">
        <w:rPr>
          <w:noProof/>
        </w:rPr>
        <w:t xml:space="preserve"> (2007).  These data will be used form comparison here.  Table </w:t>
      </w:r>
      <w:r w:rsidR="00C04CA5">
        <w:rPr>
          <w:noProof/>
        </w:rPr>
        <w:t>4.31</w:t>
      </w:r>
      <w:r w:rsidR="00B92920" w:rsidRPr="00D87A2C">
        <w:rPr>
          <w:noProof/>
        </w:rPr>
        <w:t xml:space="preserve"> compares estimated chronological ages based on median dental score values from chimpanzees in the present study to data from Bolter and Zihlman (2012).  </w:t>
      </w:r>
      <w:r w:rsidR="00B92920" w:rsidRPr="00D87A2C">
        <w:rPr>
          <w:color w:val="000000"/>
          <w:lang w:val="en-GB"/>
        </w:rPr>
        <w:t xml:space="preserve">Table </w:t>
      </w:r>
      <w:r w:rsidR="00C04CA5">
        <w:rPr>
          <w:color w:val="000000"/>
          <w:lang w:val="en-GB"/>
        </w:rPr>
        <w:t>4.32</w:t>
      </w:r>
      <w:r w:rsidR="00B92920" w:rsidRPr="00C04CA5">
        <w:rPr>
          <w:color w:val="000000" w:themeColor="text1"/>
          <w:lang w:val="en-GB"/>
        </w:rPr>
        <w:t xml:space="preserve"> </w:t>
      </w:r>
      <w:r w:rsidR="00B92920" w:rsidRPr="00D87A2C">
        <w:rPr>
          <w:color w:val="000000"/>
          <w:lang w:val="en-GB"/>
        </w:rPr>
        <w:t>provides comparative data from Bolter and Zihlman (2012) for bonobos to data from the present study.  All estimated ages based on dental score have an error range of +/- 0.92 (Kuykendall 1996).</w:t>
      </w:r>
    </w:p>
    <w:p w:rsidR="00B92920" w:rsidRPr="00CA5FBB" w:rsidRDefault="00B92920" w:rsidP="00DA1661">
      <w:pPr>
        <w:spacing w:before="120" w:after="120" w:line="240" w:lineRule="auto"/>
        <w:rPr>
          <w:b/>
          <w:color w:val="000000" w:themeColor="text1"/>
          <w:sz w:val="24"/>
          <w:szCs w:val="24"/>
          <w:lang w:val="en-GB"/>
        </w:rPr>
      </w:pPr>
      <w:bookmarkStart w:id="1029" w:name="_Toc373180175"/>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31</w:t>
      </w:r>
      <w:r w:rsidR="008943E4">
        <w:rPr>
          <w:b/>
        </w:rPr>
        <w:fldChar w:fldCharType="end"/>
      </w:r>
      <w:r>
        <w:rPr>
          <w:color w:val="000000" w:themeColor="text1"/>
          <w:lang w:val="en-GB"/>
        </w:rPr>
        <w:t xml:space="preserve"> </w:t>
      </w:r>
      <w:r w:rsidRPr="00D87A2C">
        <w:rPr>
          <w:color w:val="000000" w:themeColor="text1"/>
          <w:lang w:val="en-GB"/>
        </w:rPr>
        <w:t xml:space="preserve">Comparison of estimated mid-fusion and complete fusion ages in </w:t>
      </w:r>
      <w:r w:rsidRPr="00D87A2C">
        <w:rPr>
          <w:i/>
          <w:color w:val="000000" w:themeColor="text1"/>
          <w:lang w:val="en-GB"/>
        </w:rPr>
        <w:t xml:space="preserve">Pan </w:t>
      </w:r>
      <w:proofErr w:type="gramStart"/>
      <w:r w:rsidRPr="00D87A2C">
        <w:rPr>
          <w:i/>
          <w:color w:val="000000" w:themeColor="text1"/>
          <w:lang w:val="en-GB"/>
        </w:rPr>
        <w:t>troglodytes</w:t>
      </w:r>
      <w:proofErr w:type="gramEnd"/>
      <w:r w:rsidRPr="00D87A2C">
        <w:rPr>
          <w:i/>
          <w:color w:val="000000" w:themeColor="text1"/>
          <w:lang w:val="en-GB"/>
        </w:rPr>
        <w:t xml:space="preserve"> </w:t>
      </w:r>
      <w:r w:rsidRPr="00DA55AB">
        <w:rPr>
          <w:color w:val="000000" w:themeColor="text1"/>
          <w:sz w:val="24"/>
          <w:szCs w:val="24"/>
          <w:lang w:val="en-GB"/>
        </w:rPr>
        <w:t>from the present study to data from Bolter and Zihlman (2012).</w:t>
      </w:r>
      <w:bookmarkEnd w:id="1029"/>
    </w:p>
    <w:tbl>
      <w:tblPr>
        <w:tblW w:w="10137" w:type="dxa"/>
        <w:tblInd w:w="-176" w:type="dxa"/>
        <w:tblLook w:val="04A0" w:firstRow="1" w:lastRow="0" w:firstColumn="1" w:lastColumn="0" w:noHBand="0" w:noVBand="1"/>
      </w:tblPr>
      <w:tblGrid>
        <w:gridCol w:w="1702"/>
        <w:gridCol w:w="1819"/>
        <w:gridCol w:w="2435"/>
        <w:gridCol w:w="850"/>
        <w:gridCol w:w="1374"/>
        <w:gridCol w:w="809"/>
        <w:gridCol w:w="1148"/>
      </w:tblGrid>
      <w:tr w:rsidR="00DA1661" w:rsidRPr="00DA1661" w:rsidTr="008436A6">
        <w:trPr>
          <w:trHeight w:val="315"/>
        </w:trPr>
        <w:tc>
          <w:tcPr>
            <w:tcW w:w="1702" w:type="dxa"/>
            <w:tcBorders>
              <w:top w:val="single" w:sz="4" w:space="0" w:color="auto"/>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p>
        </w:tc>
        <w:tc>
          <w:tcPr>
            <w:tcW w:w="4254" w:type="dxa"/>
            <w:gridSpan w:val="2"/>
            <w:tcBorders>
              <w:top w:val="single" w:sz="4" w:space="0" w:color="auto"/>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prior studies</w:t>
            </w:r>
          </w:p>
        </w:tc>
        <w:tc>
          <w:tcPr>
            <w:tcW w:w="4181" w:type="dxa"/>
            <w:gridSpan w:val="4"/>
            <w:tcBorders>
              <w:top w:val="single" w:sz="4" w:space="0" w:color="auto"/>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b/>
                <w:bCs/>
                <w:color w:val="000000"/>
                <w:lang w:eastAsia="en-GB"/>
              </w:rPr>
              <w:t>data from the present study</w:t>
            </w:r>
          </w:p>
        </w:tc>
      </w:tr>
      <w:tr w:rsidR="00DA1661" w:rsidRPr="00DA1661" w:rsidTr="008436A6">
        <w:trPr>
          <w:trHeight w:val="315"/>
        </w:trPr>
        <w:tc>
          <w:tcPr>
            <w:tcW w:w="1702" w:type="dxa"/>
            <w:vMerge w:val="restart"/>
            <w:tcBorders>
              <w:top w:val="single" w:sz="8" w:space="0" w:color="auto"/>
              <w:left w:val="nil"/>
              <w:bottom w:val="single" w:sz="8" w:space="0" w:color="000000"/>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skeletal element</w:t>
            </w:r>
          </w:p>
        </w:tc>
        <w:tc>
          <w:tcPr>
            <w:tcW w:w="1819" w:type="dxa"/>
            <w:vMerge w:val="restart"/>
            <w:tcBorders>
              <w:top w:val="single" w:sz="4" w:space="0" w:color="auto"/>
              <w:left w:val="nil"/>
              <w:bottom w:val="single" w:sz="8" w:space="0" w:color="000000"/>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 xml:space="preserve">Captives from Yerkes, age in years, </w:t>
            </w:r>
            <w:r w:rsidRPr="00DA1661">
              <w:rPr>
                <w:rFonts w:eastAsia="Times New Roman"/>
                <w:b/>
                <w:bCs/>
                <w:i/>
                <w:color w:val="000000"/>
                <w:lang w:eastAsia="en-GB"/>
              </w:rPr>
              <w:t>N</w:t>
            </w:r>
            <w:r w:rsidRPr="00DA1661">
              <w:rPr>
                <w:rFonts w:eastAsia="Times New Roman"/>
                <w:b/>
                <w:bCs/>
                <w:color w:val="000000"/>
                <w:lang w:eastAsia="en-GB"/>
              </w:rPr>
              <w:t>=10</w:t>
            </w:r>
            <w:r w:rsidRPr="00DA1661">
              <w:rPr>
                <w:rFonts w:eastAsia="Times New Roman"/>
                <w:b/>
                <w:bCs/>
                <w:color w:val="000000"/>
                <w:vertAlign w:val="superscript"/>
                <w:lang w:eastAsia="en-GB"/>
              </w:rPr>
              <w:t>1.</w:t>
            </w:r>
          </w:p>
        </w:tc>
        <w:tc>
          <w:tcPr>
            <w:tcW w:w="2435" w:type="dxa"/>
            <w:vMerge w:val="restart"/>
            <w:tcBorders>
              <w:top w:val="single" w:sz="4" w:space="0" w:color="auto"/>
              <w:left w:val="nil"/>
              <w:bottom w:val="single" w:sz="8" w:space="0" w:color="000000"/>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 xml:space="preserve">Wild from Tai National Park, age in years, </w:t>
            </w:r>
            <w:r w:rsidRPr="00DA1661">
              <w:rPr>
                <w:rFonts w:eastAsia="Times New Roman"/>
                <w:b/>
                <w:bCs/>
                <w:i/>
                <w:color w:val="000000"/>
                <w:lang w:eastAsia="en-GB"/>
              </w:rPr>
              <w:t>N</w:t>
            </w:r>
            <w:r w:rsidRPr="00DA1661">
              <w:rPr>
                <w:rFonts w:eastAsia="Times New Roman"/>
                <w:b/>
                <w:bCs/>
                <w:color w:val="000000"/>
                <w:lang w:eastAsia="en-GB"/>
              </w:rPr>
              <w:t>=9</w:t>
            </w:r>
            <w:r w:rsidRPr="00DA1661">
              <w:rPr>
                <w:rFonts w:eastAsia="Times New Roman"/>
                <w:b/>
                <w:bCs/>
                <w:color w:val="000000"/>
                <w:vertAlign w:val="superscript"/>
                <w:lang w:eastAsia="en-GB"/>
              </w:rPr>
              <w:t>2.</w:t>
            </w:r>
          </w:p>
        </w:tc>
        <w:tc>
          <w:tcPr>
            <w:tcW w:w="2224" w:type="dxa"/>
            <w:gridSpan w:val="2"/>
            <w:tcBorders>
              <w:top w:val="single" w:sz="4" w:space="0" w:color="auto"/>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female estimated age by median (years)</w:t>
            </w:r>
          </w:p>
        </w:tc>
        <w:tc>
          <w:tcPr>
            <w:tcW w:w="1957" w:type="dxa"/>
            <w:gridSpan w:val="2"/>
            <w:tcBorders>
              <w:top w:val="single" w:sz="4" w:space="0" w:color="auto"/>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male estimated age by median (years)</w:t>
            </w:r>
          </w:p>
        </w:tc>
      </w:tr>
      <w:tr w:rsidR="00DA1661" w:rsidRPr="00DA1661" w:rsidTr="008436A6">
        <w:trPr>
          <w:trHeight w:val="315"/>
        </w:trPr>
        <w:tc>
          <w:tcPr>
            <w:tcW w:w="1702" w:type="dxa"/>
            <w:vMerge/>
            <w:tcBorders>
              <w:top w:val="single" w:sz="8" w:space="0" w:color="auto"/>
              <w:left w:val="nil"/>
              <w:bottom w:val="single" w:sz="4" w:space="0" w:color="auto"/>
              <w:right w:val="nil"/>
            </w:tcBorders>
            <w:vAlign w:val="center"/>
            <w:hideMark/>
          </w:tcPr>
          <w:p w:rsidR="00DA1661" w:rsidRPr="00DA1661" w:rsidRDefault="00DA1661" w:rsidP="00DA1661">
            <w:pPr>
              <w:spacing w:before="0" w:line="240" w:lineRule="auto"/>
              <w:rPr>
                <w:rFonts w:eastAsia="Times New Roman"/>
                <w:b/>
                <w:bCs/>
                <w:color w:val="000000"/>
                <w:lang w:eastAsia="en-GB"/>
              </w:rPr>
            </w:pPr>
          </w:p>
        </w:tc>
        <w:tc>
          <w:tcPr>
            <w:tcW w:w="1819" w:type="dxa"/>
            <w:vMerge/>
            <w:tcBorders>
              <w:top w:val="single" w:sz="8" w:space="0" w:color="auto"/>
              <w:left w:val="nil"/>
              <w:bottom w:val="single" w:sz="4" w:space="0" w:color="auto"/>
              <w:right w:val="nil"/>
            </w:tcBorders>
            <w:vAlign w:val="center"/>
            <w:hideMark/>
          </w:tcPr>
          <w:p w:rsidR="00DA1661" w:rsidRPr="00DA1661" w:rsidRDefault="00DA1661" w:rsidP="00DA1661">
            <w:pPr>
              <w:spacing w:before="0" w:line="240" w:lineRule="auto"/>
              <w:rPr>
                <w:rFonts w:eastAsia="Times New Roman"/>
                <w:b/>
                <w:bCs/>
                <w:color w:val="000000"/>
                <w:lang w:eastAsia="en-GB"/>
              </w:rPr>
            </w:pPr>
          </w:p>
        </w:tc>
        <w:tc>
          <w:tcPr>
            <w:tcW w:w="2435" w:type="dxa"/>
            <w:vMerge/>
            <w:tcBorders>
              <w:top w:val="single" w:sz="4" w:space="0" w:color="auto"/>
              <w:left w:val="nil"/>
              <w:bottom w:val="single" w:sz="4" w:space="0" w:color="auto"/>
              <w:right w:val="nil"/>
            </w:tcBorders>
            <w:vAlign w:val="center"/>
            <w:hideMark/>
          </w:tcPr>
          <w:p w:rsidR="00DA1661" w:rsidRPr="00DA1661" w:rsidRDefault="00DA1661" w:rsidP="00DA1661">
            <w:pPr>
              <w:spacing w:before="0" w:line="240" w:lineRule="auto"/>
              <w:rPr>
                <w:rFonts w:eastAsia="Times New Roman"/>
                <w:b/>
                <w:bCs/>
                <w:color w:val="000000"/>
                <w:lang w:eastAsia="en-GB"/>
              </w:rPr>
            </w:pPr>
          </w:p>
        </w:tc>
        <w:tc>
          <w:tcPr>
            <w:tcW w:w="850" w:type="dxa"/>
            <w:tcBorders>
              <w:top w:val="single" w:sz="4" w:space="0" w:color="auto"/>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mid-fusion</w:t>
            </w:r>
          </w:p>
        </w:tc>
        <w:tc>
          <w:tcPr>
            <w:tcW w:w="1374" w:type="dxa"/>
            <w:tcBorders>
              <w:top w:val="single" w:sz="4" w:space="0" w:color="auto"/>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complete fusion</w:t>
            </w:r>
          </w:p>
        </w:tc>
        <w:tc>
          <w:tcPr>
            <w:tcW w:w="809" w:type="dxa"/>
            <w:tcBorders>
              <w:top w:val="single" w:sz="4" w:space="0" w:color="auto"/>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mid-fusion</w:t>
            </w:r>
          </w:p>
        </w:tc>
        <w:tc>
          <w:tcPr>
            <w:tcW w:w="1148" w:type="dxa"/>
            <w:tcBorders>
              <w:top w:val="single" w:sz="4" w:space="0" w:color="auto"/>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b/>
                <w:bCs/>
                <w:color w:val="000000"/>
                <w:lang w:eastAsia="en-GB"/>
              </w:rPr>
            </w:pPr>
            <w:r w:rsidRPr="00DA1661">
              <w:rPr>
                <w:rFonts w:eastAsia="Times New Roman"/>
                <w:b/>
                <w:bCs/>
                <w:color w:val="000000"/>
                <w:lang w:eastAsia="en-GB"/>
              </w:rPr>
              <w:t>complete fusion</w:t>
            </w:r>
          </w:p>
        </w:tc>
      </w:tr>
      <w:tr w:rsidR="00DA1661" w:rsidRPr="00DA1661" w:rsidTr="008436A6">
        <w:trPr>
          <w:trHeight w:val="300"/>
        </w:trPr>
        <w:tc>
          <w:tcPr>
            <w:tcW w:w="1702" w:type="dxa"/>
            <w:tcBorders>
              <w:top w:val="single" w:sz="4" w:space="0" w:color="auto"/>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distal humerus</w:t>
            </w:r>
          </w:p>
        </w:tc>
        <w:tc>
          <w:tcPr>
            <w:tcW w:w="1819" w:type="dxa"/>
            <w:tcBorders>
              <w:top w:val="single" w:sz="4" w:space="0" w:color="auto"/>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6–7</w:t>
            </w:r>
          </w:p>
        </w:tc>
        <w:tc>
          <w:tcPr>
            <w:tcW w:w="2435" w:type="dxa"/>
            <w:tcBorders>
              <w:top w:val="single" w:sz="4" w:space="0" w:color="auto"/>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7.96b&lt;</w:t>
            </w:r>
            <w:r w:rsidRPr="00DA1661">
              <w:rPr>
                <w:rFonts w:eastAsia="Times New Roman"/>
                <w:i/>
                <w:iCs/>
                <w:color w:val="000000"/>
                <w:lang w:eastAsia="en-GB"/>
              </w:rPr>
              <w:t xml:space="preserve"> x</w:t>
            </w:r>
            <w:r w:rsidRPr="00DA1661">
              <w:rPr>
                <w:rFonts w:eastAsia="Times New Roman"/>
                <w:color w:val="000000"/>
                <w:lang w:eastAsia="en-GB"/>
              </w:rPr>
              <w:t xml:space="preserve"> &lt;10</w:t>
            </w:r>
          </w:p>
        </w:tc>
        <w:tc>
          <w:tcPr>
            <w:tcW w:w="850" w:type="dxa"/>
            <w:tcBorders>
              <w:top w:val="single" w:sz="4" w:space="0" w:color="auto"/>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6.32</w:t>
            </w:r>
          </w:p>
        </w:tc>
        <w:tc>
          <w:tcPr>
            <w:tcW w:w="1374" w:type="dxa"/>
            <w:tcBorders>
              <w:top w:val="single" w:sz="4" w:space="0" w:color="auto"/>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9.24</w:t>
            </w:r>
          </w:p>
        </w:tc>
        <w:tc>
          <w:tcPr>
            <w:tcW w:w="809" w:type="dxa"/>
            <w:tcBorders>
              <w:top w:val="single" w:sz="4" w:space="0" w:color="auto"/>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8.22</w:t>
            </w:r>
          </w:p>
        </w:tc>
        <w:tc>
          <w:tcPr>
            <w:tcW w:w="1148" w:type="dxa"/>
            <w:tcBorders>
              <w:top w:val="single" w:sz="4" w:space="0" w:color="auto"/>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8.93</w:t>
            </w:r>
          </w:p>
        </w:tc>
      </w:tr>
      <w:tr w:rsidR="00DA1661" w:rsidRPr="00DA1661" w:rsidTr="008436A6">
        <w:trPr>
          <w:trHeight w:val="300"/>
        </w:trPr>
        <w:tc>
          <w:tcPr>
            <w:tcW w:w="1702"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acetabulum</w:t>
            </w:r>
          </w:p>
        </w:tc>
        <w:tc>
          <w:tcPr>
            <w:tcW w:w="181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7</w:t>
            </w:r>
          </w:p>
        </w:tc>
        <w:tc>
          <w:tcPr>
            <w:tcW w:w="2435"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5.19&lt;</w:t>
            </w:r>
            <w:r w:rsidRPr="00DA1661">
              <w:rPr>
                <w:rFonts w:eastAsia="Times New Roman"/>
                <w:i/>
                <w:iCs/>
                <w:color w:val="000000"/>
                <w:lang w:eastAsia="en-GB"/>
              </w:rPr>
              <w:t xml:space="preserve"> x</w:t>
            </w:r>
            <w:r w:rsidRPr="00DA1661">
              <w:rPr>
                <w:rFonts w:eastAsia="Times New Roman"/>
                <w:color w:val="000000"/>
                <w:lang w:eastAsia="en-GB"/>
              </w:rPr>
              <w:t>&lt;11.38</w:t>
            </w:r>
          </w:p>
        </w:tc>
        <w:tc>
          <w:tcPr>
            <w:tcW w:w="850"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7.92</w:t>
            </w:r>
          </w:p>
        </w:tc>
        <w:tc>
          <w:tcPr>
            <w:tcW w:w="1374"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80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8.62</w:t>
            </w:r>
          </w:p>
        </w:tc>
        <w:tc>
          <w:tcPr>
            <w:tcW w:w="1148"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9.24</w:t>
            </w:r>
          </w:p>
        </w:tc>
      </w:tr>
      <w:tr w:rsidR="00DA1661" w:rsidRPr="00DA1661" w:rsidTr="008436A6">
        <w:trPr>
          <w:trHeight w:val="300"/>
        </w:trPr>
        <w:tc>
          <w:tcPr>
            <w:tcW w:w="1702"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proximal radius</w:t>
            </w:r>
          </w:p>
        </w:tc>
        <w:tc>
          <w:tcPr>
            <w:tcW w:w="181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9</w:t>
            </w:r>
          </w:p>
        </w:tc>
        <w:tc>
          <w:tcPr>
            <w:tcW w:w="2435"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11.38&lt;</w:t>
            </w:r>
            <w:r w:rsidRPr="00DA1661">
              <w:rPr>
                <w:rFonts w:eastAsia="Times New Roman"/>
                <w:i/>
                <w:iCs/>
                <w:color w:val="000000"/>
                <w:lang w:eastAsia="en-GB"/>
              </w:rPr>
              <w:t xml:space="preserve"> x</w:t>
            </w:r>
            <w:r w:rsidRPr="00DA1661">
              <w:rPr>
                <w:rFonts w:eastAsia="Times New Roman"/>
                <w:color w:val="000000"/>
                <w:lang w:eastAsia="en-GB"/>
              </w:rPr>
              <w:t xml:space="preserve"> &lt;12</w:t>
            </w:r>
          </w:p>
        </w:tc>
        <w:tc>
          <w:tcPr>
            <w:tcW w:w="850"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9.24</w:t>
            </w:r>
          </w:p>
        </w:tc>
        <w:tc>
          <w:tcPr>
            <w:tcW w:w="1374"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80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8.83</w:t>
            </w:r>
          </w:p>
        </w:tc>
        <w:tc>
          <w:tcPr>
            <w:tcW w:w="1148"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9.24</w:t>
            </w:r>
          </w:p>
        </w:tc>
      </w:tr>
      <w:tr w:rsidR="00DA1661" w:rsidRPr="00DA1661" w:rsidTr="008436A6">
        <w:trPr>
          <w:trHeight w:val="300"/>
        </w:trPr>
        <w:tc>
          <w:tcPr>
            <w:tcW w:w="1702"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coracoid</w:t>
            </w:r>
          </w:p>
        </w:tc>
        <w:tc>
          <w:tcPr>
            <w:tcW w:w="181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9</w:t>
            </w:r>
          </w:p>
        </w:tc>
        <w:tc>
          <w:tcPr>
            <w:tcW w:w="2435"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10&lt;</w:t>
            </w:r>
            <w:r w:rsidRPr="00DA1661">
              <w:rPr>
                <w:rFonts w:eastAsia="Times New Roman"/>
                <w:i/>
                <w:iCs/>
                <w:color w:val="000000"/>
                <w:lang w:eastAsia="en-GB"/>
              </w:rPr>
              <w:t xml:space="preserve"> x</w:t>
            </w:r>
            <w:r w:rsidRPr="00DA1661">
              <w:rPr>
                <w:rFonts w:eastAsia="Times New Roman"/>
                <w:color w:val="000000"/>
                <w:lang w:eastAsia="en-GB"/>
              </w:rPr>
              <w:t xml:space="preserve"> &lt;11.38</w:t>
            </w:r>
          </w:p>
        </w:tc>
        <w:tc>
          <w:tcPr>
            <w:tcW w:w="850"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8.22</w:t>
            </w:r>
          </w:p>
        </w:tc>
        <w:tc>
          <w:tcPr>
            <w:tcW w:w="1374"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80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8.62</w:t>
            </w:r>
          </w:p>
        </w:tc>
        <w:tc>
          <w:tcPr>
            <w:tcW w:w="1148"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9.24</w:t>
            </w:r>
          </w:p>
        </w:tc>
      </w:tr>
      <w:tr w:rsidR="00DA1661" w:rsidRPr="00DA1661" w:rsidTr="008436A6">
        <w:trPr>
          <w:trHeight w:val="300"/>
        </w:trPr>
        <w:tc>
          <w:tcPr>
            <w:tcW w:w="1702"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proximal femur</w:t>
            </w:r>
          </w:p>
        </w:tc>
        <w:tc>
          <w:tcPr>
            <w:tcW w:w="181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9</w:t>
            </w:r>
          </w:p>
        </w:tc>
        <w:tc>
          <w:tcPr>
            <w:tcW w:w="2435"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11.38&lt;</w:t>
            </w:r>
            <w:r w:rsidRPr="00DA1661">
              <w:rPr>
                <w:rFonts w:eastAsia="Times New Roman"/>
                <w:i/>
                <w:iCs/>
                <w:color w:val="000000"/>
                <w:lang w:eastAsia="en-GB"/>
              </w:rPr>
              <w:t xml:space="preserve"> x</w:t>
            </w:r>
            <w:r w:rsidRPr="00DA1661">
              <w:rPr>
                <w:rFonts w:eastAsia="Times New Roman"/>
                <w:color w:val="000000"/>
                <w:lang w:eastAsia="en-GB"/>
              </w:rPr>
              <w:t xml:space="preserve"> &lt;12</w:t>
            </w:r>
          </w:p>
        </w:tc>
        <w:tc>
          <w:tcPr>
            <w:tcW w:w="850"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9.03</w:t>
            </w:r>
          </w:p>
        </w:tc>
        <w:tc>
          <w:tcPr>
            <w:tcW w:w="1374"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80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8.62</w:t>
            </w:r>
          </w:p>
        </w:tc>
        <w:tc>
          <w:tcPr>
            <w:tcW w:w="1148"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9.24</w:t>
            </w:r>
          </w:p>
        </w:tc>
      </w:tr>
      <w:tr w:rsidR="00DA1661" w:rsidRPr="00DA1661" w:rsidTr="008436A6">
        <w:trPr>
          <w:trHeight w:val="300"/>
        </w:trPr>
        <w:tc>
          <w:tcPr>
            <w:tcW w:w="1702"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distal tibia</w:t>
            </w:r>
          </w:p>
        </w:tc>
        <w:tc>
          <w:tcPr>
            <w:tcW w:w="181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9</w:t>
            </w:r>
          </w:p>
        </w:tc>
        <w:tc>
          <w:tcPr>
            <w:tcW w:w="2435"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11.38&lt;</w:t>
            </w:r>
            <w:r w:rsidRPr="00DA1661">
              <w:rPr>
                <w:rFonts w:eastAsia="Times New Roman"/>
                <w:i/>
                <w:iCs/>
                <w:color w:val="000000"/>
                <w:lang w:eastAsia="en-GB"/>
              </w:rPr>
              <w:t xml:space="preserve"> x</w:t>
            </w:r>
            <w:r w:rsidRPr="00DA1661">
              <w:rPr>
                <w:rFonts w:eastAsia="Times New Roman"/>
                <w:color w:val="000000"/>
                <w:lang w:eastAsia="en-GB"/>
              </w:rPr>
              <w:t xml:space="preserve"> &lt;12</w:t>
            </w:r>
          </w:p>
        </w:tc>
        <w:tc>
          <w:tcPr>
            <w:tcW w:w="850"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9.14</w:t>
            </w:r>
          </w:p>
        </w:tc>
        <w:tc>
          <w:tcPr>
            <w:tcW w:w="1374"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80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8.83</w:t>
            </w:r>
          </w:p>
        </w:tc>
        <w:tc>
          <w:tcPr>
            <w:tcW w:w="1148"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r>
      <w:tr w:rsidR="00DA1661" w:rsidRPr="00DA1661" w:rsidTr="008436A6">
        <w:trPr>
          <w:trHeight w:val="300"/>
        </w:trPr>
        <w:tc>
          <w:tcPr>
            <w:tcW w:w="1702"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proximal tibia</w:t>
            </w:r>
          </w:p>
        </w:tc>
        <w:tc>
          <w:tcPr>
            <w:tcW w:w="181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9-14</w:t>
            </w:r>
          </w:p>
        </w:tc>
        <w:tc>
          <w:tcPr>
            <w:tcW w:w="2435"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&gt;12</w:t>
            </w:r>
          </w:p>
        </w:tc>
        <w:tc>
          <w:tcPr>
            <w:tcW w:w="850"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9.35</w:t>
            </w:r>
          </w:p>
        </w:tc>
        <w:tc>
          <w:tcPr>
            <w:tcW w:w="1374"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80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9.03</w:t>
            </w:r>
          </w:p>
        </w:tc>
        <w:tc>
          <w:tcPr>
            <w:tcW w:w="1148"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r>
      <w:tr w:rsidR="00DA1661" w:rsidRPr="00DA1661" w:rsidTr="008436A6">
        <w:trPr>
          <w:trHeight w:val="300"/>
        </w:trPr>
        <w:tc>
          <w:tcPr>
            <w:tcW w:w="1702"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humeral head</w:t>
            </w:r>
          </w:p>
        </w:tc>
        <w:tc>
          <w:tcPr>
            <w:tcW w:w="181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9-14</w:t>
            </w:r>
          </w:p>
        </w:tc>
        <w:tc>
          <w:tcPr>
            <w:tcW w:w="2435"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&gt;12</w:t>
            </w:r>
          </w:p>
        </w:tc>
        <w:tc>
          <w:tcPr>
            <w:tcW w:w="850"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9.03</w:t>
            </w:r>
          </w:p>
        </w:tc>
        <w:tc>
          <w:tcPr>
            <w:tcW w:w="1374"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80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9.24</w:t>
            </w:r>
          </w:p>
        </w:tc>
        <w:tc>
          <w:tcPr>
            <w:tcW w:w="1148"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r>
      <w:tr w:rsidR="00DA1661" w:rsidRPr="00DA1661" w:rsidTr="008436A6">
        <w:trPr>
          <w:trHeight w:val="315"/>
        </w:trPr>
        <w:tc>
          <w:tcPr>
            <w:tcW w:w="1702"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acromial process</w:t>
            </w:r>
          </w:p>
        </w:tc>
        <w:tc>
          <w:tcPr>
            <w:tcW w:w="181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&lt;10</w:t>
            </w:r>
          </w:p>
        </w:tc>
        <w:tc>
          <w:tcPr>
            <w:tcW w:w="2435"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&gt;12</w:t>
            </w:r>
          </w:p>
        </w:tc>
        <w:tc>
          <w:tcPr>
            <w:tcW w:w="850"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1374"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809"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8.62</w:t>
            </w:r>
            <w:r w:rsidRPr="00DA1661">
              <w:rPr>
                <w:rFonts w:eastAsia="Times New Roman"/>
                <w:color w:val="000000"/>
                <w:vertAlign w:val="superscript"/>
                <w:lang w:eastAsia="en-GB"/>
              </w:rPr>
              <w:t>3.</w:t>
            </w:r>
          </w:p>
        </w:tc>
        <w:tc>
          <w:tcPr>
            <w:tcW w:w="1148" w:type="dxa"/>
            <w:tcBorders>
              <w:top w:val="nil"/>
              <w:left w:val="nil"/>
              <w:bottom w:val="nil"/>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r>
      <w:tr w:rsidR="00DA1661" w:rsidRPr="00DA1661" w:rsidTr="008436A6">
        <w:trPr>
          <w:trHeight w:val="315"/>
        </w:trPr>
        <w:tc>
          <w:tcPr>
            <w:tcW w:w="1702" w:type="dxa"/>
            <w:tcBorders>
              <w:top w:val="nil"/>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iliac crest</w:t>
            </w:r>
          </w:p>
        </w:tc>
        <w:tc>
          <w:tcPr>
            <w:tcW w:w="1819" w:type="dxa"/>
            <w:tcBorders>
              <w:top w:val="nil"/>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partial 9-14</w:t>
            </w:r>
          </w:p>
        </w:tc>
        <w:tc>
          <w:tcPr>
            <w:tcW w:w="2435" w:type="dxa"/>
            <w:tcBorders>
              <w:top w:val="nil"/>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&gt;12</w:t>
            </w:r>
          </w:p>
        </w:tc>
        <w:tc>
          <w:tcPr>
            <w:tcW w:w="850" w:type="dxa"/>
            <w:tcBorders>
              <w:top w:val="nil"/>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1374" w:type="dxa"/>
            <w:tcBorders>
              <w:top w:val="nil"/>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rPr>
                <w:rFonts w:eastAsia="Times New Roman"/>
                <w:color w:val="000000"/>
                <w:lang w:eastAsia="en-GB"/>
              </w:rPr>
              <w:t>-</w:t>
            </w:r>
          </w:p>
        </w:tc>
        <w:tc>
          <w:tcPr>
            <w:tcW w:w="809" w:type="dxa"/>
            <w:tcBorders>
              <w:top w:val="nil"/>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c>
          <w:tcPr>
            <w:tcW w:w="1148" w:type="dxa"/>
            <w:tcBorders>
              <w:top w:val="nil"/>
              <w:left w:val="nil"/>
              <w:bottom w:val="single" w:sz="4" w:space="0" w:color="auto"/>
              <w:right w:val="nil"/>
            </w:tcBorders>
            <w:shd w:val="clear" w:color="auto" w:fill="auto"/>
            <w:noWrap/>
            <w:vAlign w:val="center"/>
            <w:hideMark/>
          </w:tcPr>
          <w:p w:rsidR="00DA1661" w:rsidRPr="00DA1661" w:rsidRDefault="00DA1661" w:rsidP="00DA1661">
            <w:pPr>
              <w:spacing w:before="0" w:line="240" w:lineRule="auto"/>
              <w:jc w:val="center"/>
              <w:rPr>
                <w:rFonts w:eastAsia="Times New Roman"/>
                <w:color w:val="000000"/>
                <w:lang w:eastAsia="en-GB"/>
              </w:rPr>
            </w:pPr>
            <w:r w:rsidRPr="00DA1661">
              <w:t xml:space="preserve">≥ </w:t>
            </w:r>
            <w:r w:rsidRPr="00DA1661">
              <w:rPr>
                <w:rFonts w:eastAsia="Times New Roman"/>
                <w:color w:val="000000"/>
                <w:lang w:eastAsia="en-GB"/>
              </w:rPr>
              <w:t>9.45</w:t>
            </w:r>
          </w:p>
        </w:tc>
      </w:tr>
    </w:tbl>
    <w:p w:rsidR="00A35CA0" w:rsidRDefault="00B92920" w:rsidP="00CA5FBB">
      <w:pPr>
        <w:pStyle w:val="ListParagraph"/>
        <w:numPr>
          <w:ilvl w:val="0"/>
          <w:numId w:val="26"/>
        </w:numPr>
        <w:spacing w:line="240" w:lineRule="auto"/>
        <w:ind w:left="0" w:hanging="426"/>
        <w:rPr>
          <w:noProof/>
          <w:sz w:val="20"/>
          <w:szCs w:val="20"/>
        </w:rPr>
      </w:pPr>
      <w:r w:rsidRPr="006B2134">
        <w:rPr>
          <w:noProof/>
          <w:sz w:val="20"/>
          <w:szCs w:val="20"/>
        </w:rPr>
        <w:t xml:space="preserve">There were only </w:t>
      </w:r>
      <w:r w:rsidRPr="00BD3950">
        <w:rPr>
          <w:noProof/>
          <w:sz w:val="20"/>
          <w:szCs w:val="20"/>
        </w:rPr>
        <w:t>two individuals present and both had the same dental score</w:t>
      </w:r>
      <w:r>
        <w:rPr>
          <w:noProof/>
          <w:sz w:val="20"/>
          <w:szCs w:val="20"/>
        </w:rPr>
        <w:t>.</w:t>
      </w:r>
    </w:p>
    <w:p w:rsidR="00A35CA0" w:rsidRDefault="00B92920" w:rsidP="00CA5FBB">
      <w:pPr>
        <w:pStyle w:val="ListParagraph"/>
        <w:numPr>
          <w:ilvl w:val="0"/>
          <w:numId w:val="26"/>
        </w:numPr>
        <w:spacing w:line="240" w:lineRule="auto"/>
        <w:ind w:left="0" w:hanging="426"/>
        <w:rPr>
          <w:noProof/>
          <w:sz w:val="20"/>
          <w:szCs w:val="20"/>
        </w:rPr>
      </w:pPr>
      <w:r w:rsidRPr="00BD3950">
        <w:rPr>
          <w:rFonts w:eastAsia="Times New Roman"/>
          <w:bCs/>
          <w:color w:val="000000"/>
          <w:sz w:val="20"/>
          <w:szCs w:val="20"/>
          <w:lang w:val="en-GB" w:eastAsia="en-GB"/>
        </w:rPr>
        <w:t>From Kerley (1966)</w:t>
      </w:r>
      <w:r>
        <w:rPr>
          <w:rFonts w:eastAsia="Times New Roman"/>
          <w:bCs/>
          <w:color w:val="000000"/>
          <w:sz w:val="20"/>
          <w:szCs w:val="20"/>
          <w:lang w:val="en-GB" w:eastAsia="en-GB"/>
        </w:rPr>
        <w:t>.</w:t>
      </w:r>
    </w:p>
    <w:p w:rsidR="00A35CA0" w:rsidRPr="00CA5FBB" w:rsidRDefault="00B92920" w:rsidP="00CA5FBB">
      <w:pPr>
        <w:pStyle w:val="ListParagraph"/>
        <w:numPr>
          <w:ilvl w:val="0"/>
          <w:numId w:val="26"/>
        </w:numPr>
        <w:spacing w:line="240" w:lineRule="auto"/>
        <w:ind w:left="0" w:hanging="426"/>
        <w:rPr>
          <w:noProof/>
          <w:sz w:val="20"/>
          <w:szCs w:val="20"/>
        </w:rPr>
      </w:pPr>
      <w:r w:rsidRPr="00BD3950">
        <w:rPr>
          <w:noProof/>
          <w:sz w:val="20"/>
          <w:szCs w:val="20"/>
        </w:rPr>
        <w:t xml:space="preserve">From Zihlman </w:t>
      </w:r>
      <w:r w:rsidRPr="00BD3950">
        <w:rPr>
          <w:i/>
          <w:noProof/>
          <w:sz w:val="20"/>
          <w:szCs w:val="20"/>
        </w:rPr>
        <w:t>et al.</w:t>
      </w:r>
      <w:r w:rsidRPr="00BD3950">
        <w:rPr>
          <w:noProof/>
          <w:sz w:val="20"/>
          <w:szCs w:val="20"/>
        </w:rPr>
        <w:t>(2007) and unpublished data.</w:t>
      </w:r>
      <w:r w:rsidRPr="00BD3950">
        <w:rPr>
          <w:i/>
          <w:noProof/>
          <w:sz w:val="20"/>
          <w:szCs w:val="20"/>
        </w:rPr>
        <w:t xml:space="preserve"> </w:t>
      </w:r>
    </w:p>
    <w:p w:rsidR="008B1FEC" w:rsidRDefault="008B1FEC">
      <w:pPr>
        <w:spacing w:before="0" w:after="200" w:line="276" w:lineRule="auto"/>
        <w:jc w:val="left"/>
        <w:rPr>
          <w:b/>
        </w:rPr>
      </w:pPr>
      <w:r>
        <w:rPr>
          <w:b/>
        </w:rPr>
        <w:br w:type="page"/>
      </w:r>
    </w:p>
    <w:p w:rsidR="00B92920" w:rsidRPr="004C05C0" w:rsidRDefault="00B92920" w:rsidP="008F6AD8">
      <w:pPr>
        <w:spacing w:after="120" w:line="240" w:lineRule="auto"/>
        <w:rPr>
          <w:noProof/>
          <w:sz w:val="20"/>
          <w:szCs w:val="20"/>
        </w:rPr>
      </w:pPr>
      <w:bookmarkStart w:id="1030" w:name="_Toc373180176"/>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4</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32</w:t>
      </w:r>
      <w:r w:rsidR="008943E4">
        <w:rPr>
          <w:b/>
        </w:rPr>
        <w:fldChar w:fldCharType="end"/>
      </w:r>
      <w:r w:rsidR="008943E4" w:rsidRPr="00CA5FBB">
        <w:rPr>
          <w:color w:val="000000" w:themeColor="text1"/>
          <w:lang w:val="en-GB"/>
        </w:rPr>
        <w:t xml:space="preserve"> Comparison of estimated mid-fusion and complete fusion ages in </w:t>
      </w:r>
      <w:r w:rsidR="008943E4" w:rsidRPr="00CA5FBB">
        <w:rPr>
          <w:i/>
          <w:color w:val="000000" w:themeColor="text1"/>
          <w:lang w:val="en-GB"/>
        </w:rPr>
        <w:t xml:space="preserve">Pan </w:t>
      </w:r>
      <w:proofErr w:type="gramStart"/>
      <w:r w:rsidR="008943E4" w:rsidRPr="00CA5FBB">
        <w:rPr>
          <w:i/>
          <w:color w:val="000000" w:themeColor="text1"/>
          <w:lang w:val="en-GB"/>
        </w:rPr>
        <w:t>paniscus</w:t>
      </w:r>
      <w:proofErr w:type="gramEnd"/>
      <w:r w:rsidR="008943E4" w:rsidRPr="00CA5FBB">
        <w:rPr>
          <w:i/>
          <w:color w:val="000000" w:themeColor="text1"/>
          <w:lang w:val="en-GB"/>
        </w:rPr>
        <w:t xml:space="preserve"> </w:t>
      </w:r>
      <w:r w:rsidR="008943E4" w:rsidRPr="00CA5FBB">
        <w:rPr>
          <w:color w:val="000000" w:themeColor="text1"/>
          <w:lang w:val="en-GB"/>
        </w:rPr>
        <w:t>from the present study to data from Bolter and Zihlman (2012</w:t>
      </w:r>
      <w:r w:rsidRPr="00DA55AB">
        <w:rPr>
          <w:color w:val="000000" w:themeColor="text1"/>
          <w:sz w:val="24"/>
          <w:szCs w:val="24"/>
          <w:lang w:val="en-GB"/>
        </w:rPr>
        <w:t>).</w:t>
      </w:r>
      <w:bookmarkEnd w:id="1030"/>
    </w:p>
    <w:tbl>
      <w:tblPr>
        <w:tblW w:w="9517" w:type="dxa"/>
        <w:jc w:val="center"/>
        <w:tblInd w:w="-34" w:type="dxa"/>
        <w:tblLook w:val="04A0" w:firstRow="1" w:lastRow="0" w:firstColumn="1" w:lastColumn="0" w:noHBand="0" w:noVBand="1"/>
      </w:tblPr>
      <w:tblGrid>
        <w:gridCol w:w="1843"/>
        <w:gridCol w:w="1737"/>
        <w:gridCol w:w="1284"/>
        <w:gridCol w:w="1756"/>
        <w:gridCol w:w="1223"/>
        <w:gridCol w:w="1674"/>
      </w:tblGrid>
      <w:tr w:rsidR="006443E7" w:rsidRPr="006443E7" w:rsidTr="008436A6">
        <w:trPr>
          <w:trHeight w:val="315"/>
          <w:jc w:val="center"/>
        </w:trPr>
        <w:tc>
          <w:tcPr>
            <w:tcW w:w="1843" w:type="dxa"/>
            <w:vMerge w:val="restart"/>
            <w:tcBorders>
              <w:top w:val="single" w:sz="4" w:space="0" w:color="auto"/>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epiphysis</w:t>
            </w:r>
          </w:p>
        </w:tc>
        <w:tc>
          <w:tcPr>
            <w:tcW w:w="1737" w:type="dxa"/>
            <w:vMerge w:val="restart"/>
            <w:tcBorders>
              <w:top w:val="single" w:sz="4" w:space="0" w:color="auto"/>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 xml:space="preserve">Bolter and Zihlman (2012) </w:t>
            </w:r>
            <w:r w:rsidRPr="006443E7">
              <w:rPr>
                <w:rFonts w:eastAsia="Times New Roman"/>
                <w:b/>
                <w:i/>
                <w:color w:val="000000"/>
                <w:lang w:eastAsia="en-GB"/>
              </w:rPr>
              <w:t>N</w:t>
            </w:r>
            <w:r w:rsidRPr="006443E7">
              <w:rPr>
                <w:rFonts w:eastAsia="Times New Roman"/>
                <w:b/>
                <w:color w:val="000000"/>
                <w:lang w:eastAsia="en-GB"/>
              </w:rPr>
              <w:t>=5</w:t>
            </w:r>
            <w:r w:rsidRPr="006443E7">
              <w:rPr>
                <w:rFonts w:eastAsia="Times New Roman"/>
                <w:b/>
                <w:color w:val="000000"/>
                <w:vertAlign w:val="superscript"/>
                <w:lang w:eastAsia="en-GB"/>
              </w:rPr>
              <w:t>1.</w:t>
            </w:r>
          </w:p>
        </w:tc>
        <w:tc>
          <w:tcPr>
            <w:tcW w:w="5937" w:type="dxa"/>
            <w:gridSpan w:val="4"/>
            <w:tcBorders>
              <w:top w:val="single" w:sz="4" w:space="0" w:color="auto"/>
              <w:left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data from the present study</w:t>
            </w:r>
          </w:p>
        </w:tc>
      </w:tr>
      <w:tr w:rsidR="006443E7" w:rsidRPr="006443E7" w:rsidTr="008436A6">
        <w:trPr>
          <w:trHeight w:val="315"/>
          <w:jc w:val="center"/>
        </w:trPr>
        <w:tc>
          <w:tcPr>
            <w:tcW w:w="1843" w:type="dxa"/>
            <w:vMerge/>
            <w:tcBorders>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p>
        </w:tc>
        <w:tc>
          <w:tcPr>
            <w:tcW w:w="1737" w:type="dxa"/>
            <w:vMerge/>
            <w:tcBorders>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p>
        </w:tc>
        <w:tc>
          <w:tcPr>
            <w:tcW w:w="3040" w:type="dxa"/>
            <w:gridSpan w:val="2"/>
            <w:tcBorders>
              <w:top w:val="single" w:sz="4" w:space="0" w:color="auto"/>
              <w:left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females estimated age by median (years)</w:t>
            </w:r>
          </w:p>
        </w:tc>
        <w:tc>
          <w:tcPr>
            <w:tcW w:w="2897" w:type="dxa"/>
            <w:gridSpan w:val="2"/>
            <w:tcBorders>
              <w:top w:val="single" w:sz="4" w:space="0" w:color="auto"/>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males estimated age by median (years)</w:t>
            </w:r>
          </w:p>
        </w:tc>
      </w:tr>
      <w:tr w:rsidR="006443E7" w:rsidRPr="006443E7" w:rsidTr="008436A6">
        <w:trPr>
          <w:trHeight w:val="315"/>
          <w:jc w:val="center"/>
        </w:trPr>
        <w:tc>
          <w:tcPr>
            <w:tcW w:w="1843" w:type="dxa"/>
            <w:vMerge/>
            <w:tcBorders>
              <w:bottom w:val="single" w:sz="4" w:space="0" w:color="auto"/>
            </w:tcBorders>
            <w:vAlign w:val="center"/>
            <w:hideMark/>
          </w:tcPr>
          <w:p w:rsidR="006443E7" w:rsidRPr="006443E7" w:rsidRDefault="006443E7" w:rsidP="006443E7">
            <w:pPr>
              <w:spacing w:before="0" w:line="240" w:lineRule="auto"/>
              <w:rPr>
                <w:rFonts w:eastAsia="Times New Roman"/>
                <w:b/>
                <w:color w:val="000000"/>
                <w:lang w:eastAsia="en-GB"/>
              </w:rPr>
            </w:pPr>
          </w:p>
        </w:tc>
        <w:tc>
          <w:tcPr>
            <w:tcW w:w="1737" w:type="dxa"/>
            <w:vMerge/>
            <w:tcBorders>
              <w:bottom w:val="single" w:sz="4" w:space="0" w:color="auto"/>
            </w:tcBorders>
            <w:vAlign w:val="center"/>
            <w:hideMark/>
          </w:tcPr>
          <w:p w:rsidR="006443E7" w:rsidRPr="006443E7" w:rsidRDefault="006443E7" w:rsidP="006443E7">
            <w:pPr>
              <w:spacing w:before="0" w:line="240" w:lineRule="auto"/>
              <w:rPr>
                <w:rFonts w:eastAsia="Times New Roman"/>
                <w:b/>
                <w:color w:val="000000"/>
                <w:lang w:eastAsia="en-GB"/>
              </w:rPr>
            </w:pPr>
          </w:p>
        </w:tc>
        <w:tc>
          <w:tcPr>
            <w:tcW w:w="1284" w:type="dxa"/>
            <w:tcBorders>
              <w:top w:val="single" w:sz="4" w:space="0" w:color="auto"/>
              <w:left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mid-fusion</w:t>
            </w:r>
          </w:p>
        </w:tc>
        <w:tc>
          <w:tcPr>
            <w:tcW w:w="1756" w:type="dxa"/>
            <w:tcBorders>
              <w:top w:val="single" w:sz="4" w:space="0" w:color="auto"/>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complete fusion</w:t>
            </w:r>
          </w:p>
        </w:tc>
        <w:tc>
          <w:tcPr>
            <w:tcW w:w="1223" w:type="dxa"/>
            <w:tcBorders>
              <w:top w:val="single" w:sz="4" w:space="0" w:color="auto"/>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mid-fusion</w:t>
            </w:r>
          </w:p>
        </w:tc>
        <w:tc>
          <w:tcPr>
            <w:tcW w:w="1674" w:type="dxa"/>
            <w:tcBorders>
              <w:top w:val="single" w:sz="4" w:space="0" w:color="auto"/>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b/>
                <w:color w:val="000000"/>
                <w:lang w:eastAsia="en-GB"/>
              </w:rPr>
            </w:pPr>
            <w:r w:rsidRPr="006443E7">
              <w:rPr>
                <w:rFonts w:eastAsia="Times New Roman"/>
                <w:b/>
                <w:color w:val="000000"/>
                <w:lang w:eastAsia="en-GB"/>
              </w:rPr>
              <w:t>complete fusion</w:t>
            </w:r>
          </w:p>
        </w:tc>
      </w:tr>
      <w:tr w:rsidR="006443E7" w:rsidRPr="006443E7" w:rsidTr="008436A6">
        <w:trPr>
          <w:trHeight w:val="330"/>
          <w:jc w:val="center"/>
        </w:trPr>
        <w:tc>
          <w:tcPr>
            <w:tcW w:w="1843" w:type="dxa"/>
            <w:tcBorders>
              <w:top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distal humerus</w:t>
            </w:r>
          </w:p>
        </w:tc>
        <w:tc>
          <w:tcPr>
            <w:tcW w:w="1737" w:type="dxa"/>
            <w:tcBorders>
              <w:top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&lt;6.74</w:t>
            </w:r>
          </w:p>
        </w:tc>
        <w:tc>
          <w:tcPr>
            <w:tcW w:w="1284" w:type="dxa"/>
            <w:tcBorders>
              <w:top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7.24</w:t>
            </w:r>
            <w:r w:rsidRPr="006443E7">
              <w:rPr>
                <w:rFonts w:eastAsia="Times New Roman"/>
                <w:color w:val="000000"/>
                <w:vertAlign w:val="superscript"/>
                <w:lang w:eastAsia="en-GB"/>
              </w:rPr>
              <w:t>1.</w:t>
            </w:r>
          </w:p>
        </w:tc>
        <w:tc>
          <w:tcPr>
            <w:tcW w:w="1756" w:type="dxa"/>
            <w:tcBorders>
              <w:top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9.03</w:t>
            </w:r>
          </w:p>
        </w:tc>
        <w:tc>
          <w:tcPr>
            <w:tcW w:w="1223" w:type="dxa"/>
            <w:tcBorders>
              <w:top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8.42</w:t>
            </w:r>
          </w:p>
        </w:tc>
        <w:tc>
          <w:tcPr>
            <w:tcW w:w="1674" w:type="dxa"/>
            <w:tcBorders>
              <w:top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8.72</w:t>
            </w:r>
          </w:p>
        </w:tc>
      </w:tr>
      <w:tr w:rsidR="006443E7" w:rsidRPr="006443E7" w:rsidTr="008436A6">
        <w:trPr>
          <w:trHeight w:val="315"/>
          <w:jc w:val="center"/>
        </w:trPr>
        <w:tc>
          <w:tcPr>
            <w:tcW w:w="184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acetabulum</w:t>
            </w:r>
          </w:p>
        </w:tc>
        <w:tc>
          <w:tcPr>
            <w:tcW w:w="1737"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&lt;6.74</w:t>
            </w:r>
          </w:p>
        </w:tc>
        <w:tc>
          <w:tcPr>
            <w:tcW w:w="128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8.12</w:t>
            </w:r>
          </w:p>
        </w:tc>
        <w:tc>
          <w:tcPr>
            <w:tcW w:w="1756"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8.83</w:t>
            </w:r>
          </w:p>
        </w:tc>
        <w:tc>
          <w:tcPr>
            <w:tcW w:w="122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7.92</w:t>
            </w:r>
          </w:p>
        </w:tc>
        <w:tc>
          <w:tcPr>
            <w:tcW w:w="167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8.83</w:t>
            </w:r>
          </w:p>
        </w:tc>
      </w:tr>
      <w:tr w:rsidR="006443E7" w:rsidRPr="006443E7" w:rsidTr="008436A6">
        <w:trPr>
          <w:trHeight w:val="330"/>
          <w:jc w:val="center"/>
        </w:trPr>
        <w:tc>
          <w:tcPr>
            <w:tcW w:w="184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proximal radius</w:t>
            </w:r>
          </w:p>
        </w:tc>
        <w:tc>
          <w:tcPr>
            <w:tcW w:w="1737"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7.3</w:t>
            </w:r>
          </w:p>
        </w:tc>
        <w:tc>
          <w:tcPr>
            <w:tcW w:w="128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r w:rsidRPr="006443E7">
              <w:rPr>
                <w:rFonts w:eastAsia="Times New Roman"/>
                <w:color w:val="000000"/>
                <w:vertAlign w:val="superscript"/>
                <w:lang w:eastAsia="en-GB"/>
              </w:rPr>
              <w:t>1.</w:t>
            </w:r>
          </w:p>
        </w:tc>
        <w:tc>
          <w:tcPr>
            <w:tcW w:w="1756"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22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8.62</w:t>
            </w:r>
          </w:p>
        </w:tc>
        <w:tc>
          <w:tcPr>
            <w:tcW w:w="167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r>
      <w:tr w:rsidR="006443E7" w:rsidRPr="006443E7" w:rsidTr="008436A6">
        <w:trPr>
          <w:trHeight w:val="315"/>
          <w:jc w:val="center"/>
        </w:trPr>
        <w:tc>
          <w:tcPr>
            <w:tcW w:w="184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coracoid</w:t>
            </w:r>
          </w:p>
        </w:tc>
        <w:tc>
          <w:tcPr>
            <w:tcW w:w="1737"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7.3&lt;</w:t>
            </w:r>
            <w:r w:rsidRPr="006443E7">
              <w:rPr>
                <w:rFonts w:eastAsia="Times New Roman"/>
                <w:i/>
                <w:iCs/>
                <w:color w:val="000000"/>
                <w:lang w:eastAsia="en-GB"/>
              </w:rPr>
              <w:t xml:space="preserve"> x</w:t>
            </w:r>
            <w:r w:rsidRPr="006443E7">
              <w:rPr>
                <w:rFonts w:eastAsia="Times New Roman"/>
                <w:color w:val="000000"/>
                <w:lang w:eastAsia="en-GB"/>
              </w:rPr>
              <w:t xml:space="preserve"> &lt;8.54</w:t>
            </w:r>
          </w:p>
        </w:tc>
        <w:tc>
          <w:tcPr>
            <w:tcW w:w="128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7.24</w:t>
            </w:r>
          </w:p>
        </w:tc>
        <w:tc>
          <w:tcPr>
            <w:tcW w:w="1756"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22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7.43</w:t>
            </w:r>
          </w:p>
        </w:tc>
        <w:tc>
          <w:tcPr>
            <w:tcW w:w="167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9.12</w:t>
            </w:r>
          </w:p>
        </w:tc>
      </w:tr>
      <w:tr w:rsidR="006443E7" w:rsidRPr="006443E7" w:rsidTr="008436A6">
        <w:trPr>
          <w:trHeight w:val="330"/>
          <w:jc w:val="center"/>
        </w:trPr>
        <w:tc>
          <w:tcPr>
            <w:tcW w:w="184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proximal femur</w:t>
            </w:r>
          </w:p>
        </w:tc>
        <w:tc>
          <w:tcPr>
            <w:tcW w:w="1737"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7.3&lt;</w:t>
            </w:r>
            <w:r w:rsidRPr="006443E7">
              <w:rPr>
                <w:rFonts w:eastAsia="Times New Roman"/>
                <w:i/>
                <w:iCs/>
                <w:color w:val="000000"/>
                <w:lang w:eastAsia="en-GB"/>
              </w:rPr>
              <w:t xml:space="preserve"> x</w:t>
            </w:r>
            <w:r w:rsidRPr="006443E7">
              <w:rPr>
                <w:rFonts w:eastAsia="Times New Roman"/>
                <w:color w:val="000000"/>
                <w:lang w:eastAsia="en-GB"/>
              </w:rPr>
              <w:t xml:space="preserve"> &lt;8.54</w:t>
            </w:r>
          </w:p>
        </w:tc>
        <w:tc>
          <w:tcPr>
            <w:tcW w:w="128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8.62</w:t>
            </w:r>
            <w:r w:rsidRPr="006443E7">
              <w:rPr>
                <w:rFonts w:eastAsia="Times New Roman"/>
                <w:color w:val="000000"/>
                <w:vertAlign w:val="superscript"/>
                <w:lang w:eastAsia="en-GB"/>
              </w:rPr>
              <w:t>1.</w:t>
            </w:r>
          </w:p>
        </w:tc>
        <w:tc>
          <w:tcPr>
            <w:tcW w:w="1756"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22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8.72</w:t>
            </w:r>
          </w:p>
        </w:tc>
        <w:tc>
          <w:tcPr>
            <w:tcW w:w="167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r w:rsidRPr="006443E7">
              <w:rPr>
                <w:rFonts w:eastAsia="Times New Roman"/>
                <w:color w:val="000000"/>
                <w:vertAlign w:val="superscript"/>
                <w:lang w:eastAsia="en-GB"/>
              </w:rPr>
              <w:t>1.</w:t>
            </w:r>
          </w:p>
        </w:tc>
      </w:tr>
      <w:tr w:rsidR="006443E7" w:rsidRPr="006443E7" w:rsidTr="008436A6">
        <w:trPr>
          <w:trHeight w:val="315"/>
          <w:jc w:val="center"/>
        </w:trPr>
        <w:tc>
          <w:tcPr>
            <w:tcW w:w="184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distal tibia</w:t>
            </w:r>
          </w:p>
        </w:tc>
        <w:tc>
          <w:tcPr>
            <w:tcW w:w="1737"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&lt;8.54</w:t>
            </w:r>
          </w:p>
        </w:tc>
        <w:tc>
          <w:tcPr>
            <w:tcW w:w="128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w:t>
            </w:r>
          </w:p>
        </w:tc>
        <w:tc>
          <w:tcPr>
            <w:tcW w:w="1756"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22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w:t>
            </w:r>
          </w:p>
        </w:tc>
        <w:tc>
          <w:tcPr>
            <w:tcW w:w="167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r>
      <w:tr w:rsidR="006443E7" w:rsidRPr="006443E7" w:rsidTr="008436A6">
        <w:trPr>
          <w:trHeight w:val="330"/>
          <w:jc w:val="center"/>
        </w:trPr>
        <w:tc>
          <w:tcPr>
            <w:tcW w:w="184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proximal tibia</w:t>
            </w:r>
          </w:p>
        </w:tc>
        <w:tc>
          <w:tcPr>
            <w:tcW w:w="1737"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partial 8.54</w:t>
            </w:r>
          </w:p>
        </w:tc>
        <w:tc>
          <w:tcPr>
            <w:tcW w:w="128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r w:rsidRPr="006443E7">
              <w:rPr>
                <w:rFonts w:eastAsia="Times New Roman"/>
                <w:color w:val="000000"/>
                <w:vertAlign w:val="superscript"/>
                <w:lang w:eastAsia="en-GB"/>
              </w:rPr>
              <w:t>2.</w:t>
            </w:r>
          </w:p>
        </w:tc>
        <w:tc>
          <w:tcPr>
            <w:tcW w:w="1756"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22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8.62</w:t>
            </w:r>
            <w:r w:rsidRPr="006443E7">
              <w:rPr>
                <w:rFonts w:eastAsia="Times New Roman"/>
                <w:color w:val="000000"/>
                <w:vertAlign w:val="superscript"/>
                <w:lang w:eastAsia="en-GB"/>
              </w:rPr>
              <w:t>1.</w:t>
            </w:r>
          </w:p>
        </w:tc>
        <w:tc>
          <w:tcPr>
            <w:tcW w:w="167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r>
      <w:tr w:rsidR="006443E7" w:rsidRPr="006443E7" w:rsidTr="008436A6">
        <w:trPr>
          <w:trHeight w:val="315"/>
          <w:jc w:val="center"/>
        </w:trPr>
        <w:tc>
          <w:tcPr>
            <w:tcW w:w="184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humeral head</w:t>
            </w:r>
          </w:p>
        </w:tc>
        <w:tc>
          <w:tcPr>
            <w:tcW w:w="1737"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8.54&lt;</w:t>
            </w:r>
            <w:r w:rsidRPr="006443E7">
              <w:rPr>
                <w:rFonts w:eastAsia="Times New Roman"/>
                <w:i/>
                <w:iCs/>
                <w:color w:val="000000"/>
                <w:lang w:eastAsia="en-GB"/>
              </w:rPr>
              <w:t xml:space="preserve"> x</w:t>
            </w:r>
            <w:r w:rsidRPr="006443E7">
              <w:rPr>
                <w:rFonts w:eastAsia="Times New Roman"/>
                <w:color w:val="000000"/>
                <w:lang w:eastAsia="en-GB"/>
              </w:rPr>
              <w:t xml:space="preserve"> &lt;11.68</w:t>
            </w:r>
          </w:p>
        </w:tc>
        <w:tc>
          <w:tcPr>
            <w:tcW w:w="128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w:t>
            </w:r>
          </w:p>
        </w:tc>
        <w:tc>
          <w:tcPr>
            <w:tcW w:w="1756"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22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67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8.62</w:t>
            </w:r>
          </w:p>
        </w:tc>
      </w:tr>
      <w:tr w:rsidR="006443E7" w:rsidRPr="006443E7" w:rsidTr="008436A6">
        <w:trPr>
          <w:trHeight w:val="315"/>
          <w:jc w:val="center"/>
        </w:trPr>
        <w:tc>
          <w:tcPr>
            <w:tcW w:w="184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acromial process</w:t>
            </w:r>
          </w:p>
        </w:tc>
        <w:tc>
          <w:tcPr>
            <w:tcW w:w="1737"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8.54&lt;</w:t>
            </w:r>
            <w:r w:rsidRPr="006443E7">
              <w:rPr>
                <w:rFonts w:eastAsia="Times New Roman"/>
                <w:i/>
                <w:iCs/>
                <w:color w:val="000000"/>
                <w:lang w:eastAsia="en-GB"/>
              </w:rPr>
              <w:t xml:space="preserve"> x</w:t>
            </w:r>
            <w:r w:rsidRPr="006443E7">
              <w:rPr>
                <w:rFonts w:eastAsia="Times New Roman"/>
                <w:color w:val="000000"/>
                <w:lang w:eastAsia="en-GB"/>
              </w:rPr>
              <w:t xml:space="preserve"> &lt;11.68</w:t>
            </w:r>
          </w:p>
        </w:tc>
        <w:tc>
          <w:tcPr>
            <w:tcW w:w="128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756"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9.24</w:t>
            </w:r>
          </w:p>
        </w:tc>
        <w:tc>
          <w:tcPr>
            <w:tcW w:w="1223"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w:t>
            </w:r>
          </w:p>
        </w:tc>
        <w:tc>
          <w:tcPr>
            <w:tcW w:w="1674" w:type="dxa"/>
            <w:tcBorders>
              <w:top w:val="nil"/>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r>
      <w:tr w:rsidR="006443E7" w:rsidRPr="006443E7" w:rsidTr="008436A6">
        <w:trPr>
          <w:trHeight w:val="330"/>
          <w:jc w:val="center"/>
        </w:trPr>
        <w:tc>
          <w:tcPr>
            <w:tcW w:w="1843" w:type="dxa"/>
            <w:tcBorders>
              <w:top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iliac crest</w:t>
            </w:r>
          </w:p>
        </w:tc>
        <w:tc>
          <w:tcPr>
            <w:tcW w:w="1737" w:type="dxa"/>
            <w:tcBorders>
              <w:top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partial 11.68</w:t>
            </w:r>
          </w:p>
        </w:tc>
        <w:tc>
          <w:tcPr>
            <w:tcW w:w="1284" w:type="dxa"/>
            <w:tcBorders>
              <w:top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p>
        </w:tc>
        <w:tc>
          <w:tcPr>
            <w:tcW w:w="1756" w:type="dxa"/>
            <w:tcBorders>
              <w:top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w:t>
            </w:r>
          </w:p>
        </w:tc>
        <w:tc>
          <w:tcPr>
            <w:tcW w:w="1223" w:type="dxa"/>
            <w:tcBorders>
              <w:top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t xml:space="preserve">≥ </w:t>
            </w:r>
            <w:r w:rsidRPr="006443E7">
              <w:rPr>
                <w:rFonts w:eastAsia="Times New Roman"/>
                <w:color w:val="000000"/>
                <w:lang w:eastAsia="en-GB"/>
              </w:rPr>
              <w:t>9.45</w:t>
            </w:r>
            <w:r w:rsidRPr="006443E7">
              <w:rPr>
                <w:rFonts w:eastAsia="Times New Roman"/>
                <w:color w:val="000000"/>
                <w:vertAlign w:val="superscript"/>
                <w:lang w:eastAsia="en-GB"/>
              </w:rPr>
              <w:t>1.</w:t>
            </w:r>
          </w:p>
        </w:tc>
        <w:tc>
          <w:tcPr>
            <w:tcW w:w="1674" w:type="dxa"/>
            <w:tcBorders>
              <w:top w:val="nil"/>
              <w:bottom w:val="single" w:sz="4" w:space="0" w:color="auto"/>
            </w:tcBorders>
            <w:shd w:val="clear" w:color="auto" w:fill="auto"/>
            <w:noWrap/>
            <w:vAlign w:val="center"/>
            <w:hideMark/>
          </w:tcPr>
          <w:p w:rsidR="006443E7" w:rsidRPr="006443E7" w:rsidRDefault="006443E7" w:rsidP="006443E7">
            <w:pPr>
              <w:spacing w:before="0" w:line="240" w:lineRule="auto"/>
              <w:jc w:val="center"/>
              <w:rPr>
                <w:rFonts w:eastAsia="Times New Roman"/>
                <w:color w:val="000000"/>
                <w:lang w:eastAsia="en-GB"/>
              </w:rPr>
            </w:pPr>
            <w:r w:rsidRPr="006443E7">
              <w:rPr>
                <w:rFonts w:eastAsia="Times New Roman"/>
                <w:color w:val="000000"/>
                <w:lang w:eastAsia="en-GB"/>
              </w:rPr>
              <w:t>-</w:t>
            </w:r>
          </w:p>
        </w:tc>
      </w:tr>
    </w:tbl>
    <w:p w:rsidR="00A35CA0" w:rsidRPr="00CA5FBB" w:rsidRDefault="00B92920" w:rsidP="00CA5FBB">
      <w:pPr>
        <w:pStyle w:val="ListParagraph"/>
        <w:numPr>
          <w:ilvl w:val="0"/>
          <w:numId w:val="46"/>
        </w:numPr>
        <w:spacing w:before="0" w:line="240" w:lineRule="auto"/>
        <w:ind w:left="426" w:hanging="426"/>
        <w:rPr>
          <w:b/>
          <w:noProof/>
          <w:color w:val="000000" w:themeColor="text1"/>
          <w:sz w:val="20"/>
          <w:szCs w:val="20"/>
        </w:rPr>
      </w:pPr>
      <w:r w:rsidRPr="00302A56">
        <w:rPr>
          <w:noProof/>
          <w:color w:val="000000" w:themeColor="text1"/>
          <w:sz w:val="20"/>
          <w:szCs w:val="20"/>
        </w:rPr>
        <w:t>Sample of only 1 individuals</w:t>
      </w:r>
    </w:p>
    <w:p w:rsidR="00A35CA0" w:rsidRDefault="00B92920" w:rsidP="00CA5FBB">
      <w:pPr>
        <w:rPr>
          <w:noProof/>
        </w:rPr>
      </w:pPr>
      <w:r>
        <w:rPr>
          <w:noProof/>
        </w:rPr>
        <w:t xml:space="preserve">A few remarks should be made regarding chimpanzee comparisons.  There exists a mixture of </w:t>
      </w:r>
      <w:r w:rsidR="00B4697A">
        <w:rPr>
          <w:noProof/>
        </w:rPr>
        <w:t>terms</w:t>
      </w:r>
      <w:r w:rsidR="00EB625F" w:rsidRPr="00EB625F">
        <w:rPr>
          <w:noProof/>
        </w:rPr>
        <w:t xml:space="preserve"> </w:t>
      </w:r>
      <w:r w:rsidR="00503B36">
        <w:rPr>
          <w:noProof/>
        </w:rPr>
        <w:t>f</w:t>
      </w:r>
      <w:r w:rsidR="00EB625F">
        <w:rPr>
          <w:noProof/>
        </w:rPr>
        <w:t>r</w:t>
      </w:r>
      <w:r w:rsidR="00503B36">
        <w:rPr>
          <w:noProof/>
        </w:rPr>
        <w:t>om</w:t>
      </w:r>
      <w:r w:rsidR="00EB625F">
        <w:rPr>
          <w:noProof/>
        </w:rPr>
        <w:t xml:space="preserve"> the data provided by Bolter and Zihlman (2012)</w:t>
      </w:r>
      <w:r w:rsidR="00B4697A">
        <w:rPr>
          <w:noProof/>
        </w:rPr>
        <w:t xml:space="preserve"> with</w:t>
      </w:r>
      <w:r w:rsidR="00EB625F">
        <w:rPr>
          <w:noProof/>
        </w:rPr>
        <w:t xml:space="preserve"> a</w:t>
      </w:r>
      <w:r>
        <w:rPr>
          <w:noProof/>
        </w:rPr>
        <w:t xml:space="preserve">‘fused by’ </w:t>
      </w:r>
      <w:r w:rsidR="00B4697A">
        <w:rPr>
          <w:noProof/>
        </w:rPr>
        <w:t>classification</w:t>
      </w:r>
      <w:r>
        <w:rPr>
          <w:noProof/>
        </w:rPr>
        <w:t xml:space="preserve"> </w:t>
      </w:r>
      <w:r w:rsidR="00EB625F">
        <w:rPr>
          <w:noProof/>
        </w:rPr>
        <w:t xml:space="preserve">for complete union and </w:t>
      </w:r>
      <w:r>
        <w:rPr>
          <w:noProof/>
        </w:rPr>
        <w:t>‘partial fusion’</w:t>
      </w:r>
      <w:r w:rsidR="00B4697A">
        <w:rPr>
          <w:noProof/>
        </w:rPr>
        <w:t xml:space="preserve"> </w:t>
      </w:r>
      <w:r w:rsidR="00EB625F">
        <w:rPr>
          <w:noProof/>
        </w:rPr>
        <w:t xml:space="preserve">representing </w:t>
      </w:r>
      <w:r w:rsidR="00B4697A">
        <w:rPr>
          <w:noProof/>
        </w:rPr>
        <w:t>mid-fusion</w:t>
      </w:r>
      <w:r>
        <w:rPr>
          <w:noProof/>
        </w:rPr>
        <w:t xml:space="preserve">.  ‘Fused </w:t>
      </w:r>
      <w:r w:rsidR="00EB625F">
        <w:rPr>
          <w:noProof/>
        </w:rPr>
        <w:t xml:space="preserve">by’ or ‘fused prior to’ </w:t>
      </w:r>
      <w:r>
        <w:rPr>
          <w:noProof/>
        </w:rPr>
        <w:t xml:space="preserve">(denoted as &lt;) indicates that an individual </w:t>
      </w:r>
      <w:r w:rsidR="00DA0DA0">
        <w:rPr>
          <w:noProof/>
        </w:rPr>
        <w:t>observed had</w:t>
      </w:r>
      <w:r>
        <w:rPr>
          <w:noProof/>
        </w:rPr>
        <w:t xml:space="preserve"> that epiphysis fused </w:t>
      </w:r>
      <w:r w:rsidR="00DA0DA0">
        <w:rPr>
          <w:noProof/>
        </w:rPr>
        <w:t>prior to observation</w:t>
      </w:r>
      <w:r>
        <w:rPr>
          <w:noProof/>
        </w:rPr>
        <w:t xml:space="preserve">.  The large difference between ages reported for wild chimpanzees and captive specimens is also present.  Comparison of captive past study results are more applicable to the data from the present study as Kuykendall’s (1996) sample for regression analysis was drawn only from captive individuals.  There is general concordance between past studies and the present study within deviations of </w:t>
      </w:r>
      <w:r w:rsidR="00DA2AAB">
        <w:rPr>
          <w:noProof/>
        </w:rPr>
        <w:t xml:space="preserve">typically </w:t>
      </w:r>
      <w:r>
        <w:rPr>
          <w:noProof/>
        </w:rPr>
        <w:t>not more than a year for mid-fusion/partial fusion comparisons.</w:t>
      </w:r>
    </w:p>
    <w:p w:rsidR="008B1FEC" w:rsidRDefault="008B1FEC">
      <w:pPr>
        <w:spacing w:before="0" w:after="200" w:line="276" w:lineRule="auto"/>
        <w:jc w:val="left"/>
        <w:rPr>
          <w:noProof/>
        </w:rPr>
      </w:pPr>
      <w:r>
        <w:rPr>
          <w:noProof/>
        </w:rPr>
        <w:br w:type="page"/>
      </w:r>
    </w:p>
    <w:p w:rsidR="0045112A" w:rsidRDefault="0045112A" w:rsidP="00D263E8">
      <w:pPr>
        <w:pStyle w:val="Heading2"/>
      </w:pPr>
      <w:bookmarkStart w:id="1031" w:name="_Toc372916531"/>
      <w:bookmarkStart w:id="1032" w:name="_Toc372916785"/>
      <w:bookmarkStart w:id="1033" w:name="_Toc372917006"/>
      <w:bookmarkStart w:id="1034" w:name="_Toc372917222"/>
      <w:bookmarkStart w:id="1035" w:name="_Toc372917436"/>
      <w:bookmarkStart w:id="1036" w:name="_Toc372917646"/>
      <w:bookmarkStart w:id="1037" w:name="_Toc372917855"/>
      <w:bookmarkStart w:id="1038" w:name="_Toc372918064"/>
      <w:bookmarkStart w:id="1039" w:name="_Toc372918273"/>
      <w:bookmarkStart w:id="1040" w:name="_Toc372918482"/>
      <w:bookmarkStart w:id="1041" w:name="_Toc372918685"/>
      <w:bookmarkStart w:id="1042" w:name="_Toc372918890"/>
      <w:bookmarkStart w:id="1043" w:name="_Toc372919095"/>
      <w:bookmarkStart w:id="1044" w:name="_Toc372919296"/>
      <w:bookmarkStart w:id="1045" w:name="_Toc372919590"/>
      <w:bookmarkStart w:id="1046" w:name="_Toc372919787"/>
      <w:bookmarkStart w:id="1047" w:name="_Toc372919984"/>
      <w:bookmarkStart w:id="1048" w:name="_Toc372920181"/>
      <w:bookmarkStart w:id="1049" w:name="_Toc372920379"/>
      <w:bookmarkStart w:id="1050" w:name="_Toc372920576"/>
      <w:bookmarkStart w:id="1051" w:name="_Toc372920772"/>
      <w:bookmarkStart w:id="1052" w:name="_Toc372920968"/>
      <w:bookmarkStart w:id="1053" w:name="_Toc372921164"/>
      <w:bookmarkStart w:id="1054" w:name="_Toc372921360"/>
      <w:bookmarkStart w:id="1055" w:name="_Toc372921562"/>
      <w:bookmarkStart w:id="1056" w:name="_Toc372921758"/>
      <w:bookmarkStart w:id="1057" w:name="_Toc372921954"/>
      <w:bookmarkStart w:id="1058" w:name="_Toc372928234"/>
      <w:bookmarkStart w:id="1059" w:name="_Toc372928538"/>
      <w:bookmarkStart w:id="1060" w:name="_Toc372928734"/>
      <w:bookmarkStart w:id="1061" w:name="_Toc372981737"/>
      <w:bookmarkStart w:id="1062" w:name="_Toc373071964"/>
      <w:bookmarkStart w:id="1063" w:name="_Toc373147281"/>
      <w:bookmarkStart w:id="1064" w:name="_Toc373477817"/>
      <w:bookmarkStart w:id="1065" w:name="_Toc373480815"/>
      <w:bookmarkStart w:id="1066" w:name="_Toc373477818"/>
      <w:bookmarkStart w:id="1067" w:name="_Toc373480816"/>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Pr="0045112A">
        <w:lastRenderedPageBreak/>
        <w:t xml:space="preserve">Summary of </w:t>
      </w:r>
      <w:r w:rsidR="00F14204">
        <w:t>standards of growth for chimpanzees and bonobos</w:t>
      </w:r>
      <w:bookmarkEnd w:id="1066"/>
      <w:bookmarkEnd w:id="1067"/>
    </w:p>
    <w:p w:rsidR="0045112A" w:rsidRDefault="00F14204" w:rsidP="00D263E8">
      <w:pPr>
        <w:pStyle w:val="Heading3"/>
      </w:pPr>
      <w:bookmarkStart w:id="1068" w:name="_Toc372916533"/>
      <w:bookmarkStart w:id="1069" w:name="_Toc372916787"/>
      <w:bookmarkStart w:id="1070" w:name="_Toc372917008"/>
      <w:bookmarkStart w:id="1071" w:name="_Toc372917224"/>
      <w:bookmarkStart w:id="1072" w:name="_Toc372917438"/>
      <w:bookmarkStart w:id="1073" w:name="_Toc372917648"/>
      <w:bookmarkStart w:id="1074" w:name="_Toc372917857"/>
      <w:bookmarkStart w:id="1075" w:name="_Toc372918066"/>
      <w:bookmarkStart w:id="1076" w:name="_Toc372918275"/>
      <w:bookmarkStart w:id="1077" w:name="_Toc372918484"/>
      <w:bookmarkStart w:id="1078" w:name="_Toc372918687"/>
      <w:bookmarkStart w:id="1079" w:name="_Toc372918892"/>
      <w:bookmarkStart w:id="1080" w:name="_Toc372919097"/>
      <w:bookmarkStart w:id="1081" w:name="_Toc372919298"/>
      <w:bookmarkStart w:id="1082" w:name="_Toc372919592"/>
      <w:bookmarkStart w:id="1083" w:name="_Toc372919789"/>
      <w:bookmarkStart w:id="1084" w:name="_Toc372919986"/>
      <w:bookmarkStart w:id="1085" w:name="_Toc372920183"/>
      <w:bookmarkStart w:id="1086" w:name="_Toc372920381"/>
      <w:bookmarkStart w:id="1087" w:name="_Toc372920578"/>
      <w:bookmarkStart w:id="1088" w:name="_Toc372920774"/>
      <w:bookmarkStart w:id="1089" w:name="_Toc372920970"/>
      <w:bookmarkStart w:id="1090" w:name="_Toc372921166"/>
      <w:bookmarkStart w:id="1091" w:name="_Toc372921362"/>
      <w:bookmarkStart w:id="1092" w:name="_Toc372921564"/>
      <w:bookmarkStart w:id="1093" w:name="_Toc372921760"/>
      <w:bookmarkStart w:id="1094" w:name="_Toc372921956"/>
      <w:bookmarkStart w:id="1095" w:name="_Toc372928236"/>
      <w:bookmarkStart w:id="1096" w:name="_Toc372928540"/>
      <w:bookmarkStart w:id="1097" w:name="_Toc372928736"/>
      <w:bookmarkStart w:id="1098" w:name="_Toc372981739"/>
      <w:bookmarkStart w:id="1099" w:name="_Toc373071966"/>
      <w:bookmarkStart w:id="1100" w:name="_Toc373147283"/>
      <w:bookmarkStart w:id="1101" w:name="_Toc373477819"/>
      <w:bookmarkStart w:id="1102" w:name="_Toc373480817"/>
      <w:bookmarkStart w:id="1103" w:name="_Toc373477820"/>
      <w:bookmarkStart w:id="1104" w:name="_Toc373480818"/>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t>Growth Rate</w:t>
      </w:r>
      <w:bookmarkEnd w:id="1103"/>
      <w:bookmarkEnd w:id="1104"/>
    </w:p>
    <w:p w:rsidR="00F14204" w:rsidRPr="00F14204" w:rsidRDefault="00F14204" w:rsidP="00F14204">
      <w:pPr>
        <w:rPr>
          <w:lang w:val="nl-NL"/>
        </w:rPr>
      </w:pPr>
      <w:r>
        <w:rPr>
          <w:lang w:val="nl-NL"/>
        </w:rPr>
        <w:t>Growth rate for long-bone length was plotted against dental score and linear regression analys</w:t>
      </w:r>
      <w:r w:rsidR="00BB710C">
        <w:rPr>
          <w:lang w:val="nl-NL"/>
        </w:rPr>
        <w:t>e</w:t>
      </w:r>
      <w:r>
        <w:rPr>
          <w:lang w:val="nl-NL"/>
        </w:rPr>
        <w:t>s w</w:t>
      </w:r>
      <w:r w:rsidR="00BB710C">
        <w:rPr>
          <w:lang w:val="nl-NL"/>
        </w:rPr>
        <w:t>ere</w:t>
      </w:r>
      <w:r>
        <w:rPr>
          <w:lang w:val="nl-NL"/>
        </w:rPr>
        <w:t xml:space="preserve"> peformed.  It was found that </w:t>
      </w:r>
      <w:r w:rsidR="004A1541">
        <w:rPr>
          <w:lang w:val="nl-NL"/>
        </w:rPr>
        <w:t>th</w:t>
      </w:r>
      <w:r w:rsidR="00F35F7D">
        <w:rPr>
          <w:lang w:val="nl-NL"/>
        </w:rPr>
        <w:t>e</w:t>
      </w:r>
      <w:r w:rsidR="004A1541">
        <w:rPr>
          <w:lang w:val="nl-NL"/>
        </w:rPr>
        <w:t xml:space="preserve"> relationship </w:t>
      </w:r>
      <w:r w:rsidR="00F9293A">
        <w:rPr>
          <w:lang w:val="nl-NL"/>
        </w:rPr>
        <w:t>between growth in long-bone length and dental score is significantly linear</w:t>
      </w:r>
      <w:r>
        <w:rPr>
          <w:lang w:val="nl-NL"/>
        </w:rPr>
        <w:t>.  Regression equations were presented for growth relative to dental score for each long-bone.</w:t>
      </w:r>
    </w:p>
    <w:p w:rsidR="00E74243" w:rsidRDefault="00F14204" w:rsidP="00D263E8">
      <w:pPr>
        <w:pStyle w:val="Heading3"/>
      </w:pPr>
      <w:bookmarkStart w:id="1105" w:name="_Toc373477821"/>
      <w:bookmarkStart w:id="1106" w:name="_Toc373480819"/>
      <w:r>
        <w:t>Sequence of fusion events</w:t>
      </w:r>
      <w:bookmarkEnd w:id="1105"/>
      <w:bookmarkEnd w:id="1106"/>
    </w:p>
    <w:p w:rsidR="004934D3" w:rsidRPr="00F14204" w:rsidRDefault="004934D3" w:rsidP="004934D3">
      <w:pPr>
        <w:rPr>
          <w:lang w:val="nl-NL"/>
        </w:rPr>
      </w:pPr>
      <w:r>
        <w:rPr>
          <w:lang w:val="nl-NL"/>
        </w:rPr>
        <w:t>Comparison of epiphyseal fusion events relative to dental score determined that some epiphyses fuse beyond complete dental maturity.  DS64 was a limiting factor and this method was not suitable for ordering fusion events.  Comparisons between sexes showed no significant differences, but the limitation of dental maturity prevented a rigorous analysis of this topic.</w:t>
      </w:r>
    </w:p>
    <w:p w:rsidR="00F14204" w:rsidRDefault="00F14204" w:rsidP="00F14204">
      <w:pPr>
        <w:rPr>
          <w:lang w:val="nl-NL"/>
        </w:rPr>
      </w:pPr>
      <w:r>
        <w:rPr>
          <w:lang w:val="nl-NL"/>
        </w:rPr>
        <w:t xml:space="preserve">Fusion events </w:t>
      </w:r>
      <w:r w:rsidR="006F7F4D">
        <w:rPr>
          <w:lang w:val="nl-NL"/>
        </w:rPr>
        <w:t xml:space="preserve">sequences were determined using </w:t>
      </w:r>
      <w:r w:rsidR="00F35F7D">
        <w:rPr>
          <w:lang w:val="nl-NL"/>
        </w:rPr>
        <w:t>two different methods</w:t>
      </w:r>
      <w:r w:rsidR="006F7F4D">
        <w:rPr>
          <w:lang w:val="nl-NL"/>
        </w:rPr>
        <w:t xml:space="preserve">.  The first was the </w:t>
      </w:r>
      <w:r w:rsidR="003C6F1B">
        <w:rPr>
          <w:lang w:val="nl-NL"/>
        </w:rPr>
        <w:t xml:space="preserve">application </w:t>
      </w:r>
      <w:r w:rsidR="00F35F7D">
        <w:rPr>
          <w:lang w:val="nl-NL"/>
        </w:rPr>
        <w:t>of c</w:t>
      </w:r>
      <w:r>
        <w:rPr>
          <w:lang w:val="nl-NL"/>
        </w:rPr>
        <w:t xml:space="preserve">ontingency tables </w:t>
      </w:r>
      <w:r w:rsidR="00F35F7D">
        <w:rPr>
          <w:lang w:val="nl-NL"/>
        </w:rPr>
        <w:t xml:space="preserve">for producing </w:t>
      </w:r>
      <w:r>
        <w:rPr>
          <w:lang w:val="nl-NL"/>
        </w:rPr>
        <w:t xml:space="preserve">a modular sequence </w:t>
      </w:r>
      <w:r w:rsidR="00F35F7D">
        <w:rPr>
          <w:lang w:val="nl-NL"/>
        </w:rPr>
        <w:t xml:space="preserve">of events and </w:t>
      </w:r>
      <w:r w:rsidR="006F7F4D">
        <w:rPr>
          <w:lang w:val="nl-NL"/>
        </w:rPr>
        <w:t xml:space="preserve">the second was the ordering of events using </w:t>
      </w:r>
      <w:r w:rsidR="00F35F7D">
        <w:rPr>
          <w:lang w:val="nl-NL"/>
        </w:rPr>
        <w:t>mean epiphyseal fusion score</w:t>
      </w:r>
      <w:r>
        <w:rPr>
          <w:lang w:val="nl-NL"/>
        </w:rPr>
        <w:t xml:space="preserve">.  A notable </w:t>
      </w:r>
      <w:r w:rsidR="002B77FE">
        <w:rPr>
          <w:lang w:val="nl-NL"/>
        </w:rPr>
        <w:t xml:space="preserve">amount of variation was found </w:t>
      </w:r>
      <w:r>
        <w:rPr>
          <w:lang w:val="nl-NL"/>
        </w:rPr>
        <w:t xml:space="preserve">and sequences varied </w:t>
      </w:r>
      <w:r w:rsidR="002B77FE">
        <w:rPr>
          <w:lang w:val="nl-NL"/>
        </w:rPr>
        <w:t xml:space="preserve">somewhat between the </w:t>
      </w:r>
      <w:r w:rsidR="003C6F1B">
        <w:rPr>
          <w:lang w:val="nl-NL"/>
        </w:rPr>
        <w:t>application</w:t>
      </w:r>
      <w:r w:rsidR="002B77FE">
        <w:rPr>
          <w:lang w:val="nl-NL"/>
        </w:rPr>
        <w:t xml:space="preserve"> of the two methods.  </w:t>
      </w:r>
      <w:r w:rsidR="00F43EEE">
        <w:rPr>
          <w:lang w:val="nl-NL"/>
        </w:rPr>
        <w:t xml:space="preserve">Sex differences were not apparent.  </w:t>
      </w:r>
      <w:r>
        <w:rPr>
          <w:lang w:val="nl-NL"/>
        </w:rPr>
        <w:t>Post-hoc Bonferroni tests were used to observe differences in mean epiphyseal fusion value and it was shown that there is a range of overlap</w:t>
      </w:r>
      <w:r w:rsidR="00F43EEE">
        <w:rPr>
          <w:lang w:val="nl-NL"/>
        </w:rPr>
        <w:t xml:space="preserve"> for all sequences</w:t>
      </w:r>
      <w:r>
        <w:rPr>
          <w:lang w:val="nl-NL"/>
        </w:rPr>
        <w:t xml:space="preserve"> in which </w:t>
      </w:r>
      <w:r w:rsidR="00F43EEE">
        <w:rPr>
          <w:lang w:val="nl-NL"/>
        </w:rPr>
        <w:t xml:space="preserve">no </w:t>
      </w:r>
      <w:r>
        <w:rPr>
          <w:lang w:val="nl-NL"/>
        </w:rPr>
        <w:t>statistical</w:t>
      </w:r>
      <w:r w:rsidR="00F43EEE">
        <w:rPr>
          <w:lang w:val="nl-NL"/>
        </w:rPr>
        <w:t>ly significant</w:t>
      </w:r>
      <w:r>
        <w:rPr>
          <w:lang w:val="nl-NL"/>
        </w:rPr>
        <w:t xml:space="preserve"> differences may be found.  Consequently, precise order remains ambiguous but general patterns appear to be consistent both between sexes and between methodologies.</w:t>
      </w:r>
    </w:p>
    <w:p w:rsidR="00F14204" w:rsidRDefault="00F14204" w:rsidP="00D263E8">
      <w:pPr>
        <w:pStyle w:val="Heading3"/>
      </w:pPr>
      <w:bookmarkStart w:id="1107" w:name="_Toc373477822"/>
      <w:bookmarkStart w:id="1108" w:name="_Toc373480820"/>
      <w:r>
        <w:t>Analysis of allometry</w:t>
      </w:r>
      <w:bookmarkEnd w:id="1107"/>
      <w:bookmarkEnd w:id="1108"/>
    </w:p>
    <w:p w:rsidR="001D43DD" w:rsidRDefault="00AF4ADA" w:rsidP="001D43DD">
      <w:pPr>
        <w:rPr>
          <w:lang w:val="nl-NL"/>
        </w:rPr>
      </w:pPr>
      <w:r>
        <w:rPr>
          <w:lang w:val="nl-NL"/>
        </w:rPr>
        <w:t>Shea’s (1981</w:t>
      </w:r>
      <w:r w:rsidR="00450A49">
        <w:rPr>
          <w:lang w:val="nl-NL"/>
        </w:rPr>
        <w:t>) results were confirmed for an</w:t>
      </w:r>
      <w:r>
        <w:rPr>
          <w:lang w:val="nl-NL"/>
        </w:rPr>
        <w:t xml:space="preserve"> expanded list of </w:t>
      </w:r>
      <w:r>
        <w:rPr>
          <w:i/>
          <w:lang w:val="nl-NL"/>
        </w:rPr>
        <w:t>Pan troglodytes</w:t>
      </w:r>
      <w:r w:rsidR="00374333">
        <w:rPr>
          <w:lang w:val="nl-NL"/>
        </w:rPr>
        <w:t xml:space="preserve"> sub-species.</w:t>
      </w:r>
      <w:bookmarkStart w:id="1109" w:name="_Toc372917861"/>
    </w:p>
    <w:p w:rsidR="00212897" w:rsidRDefault="00477C39" w:rsidP="00D263E8">
      <w:pPr>
        <w:pStyle w:val="Heading3"/>
      </w:pPr>
      <w:bookmarkStart w:id="1110" w:name="_Toc373477823"/>
      <w:bookmarkStart w:id="1111" w:name="_Toc373480821"/>
      <w:r w:rsidRPr="00477C39">
        <w:t xml:space="preserve">Estimation of age for fusion in chronological years for comparability to </w:t>
      </w:r>
      <w:r w:rsidR="00923781">
        <w:t>prior</w:t>
      </w:r>
      <w:r w:rsidRPr="00477C39">
        <w:t xml:space="preserve"> studies</w:t>
      </w:r>
      <w:bookmarkEnd w:id="1110"/>
      <w:bookmarkEnd w:id="1111"/>
    </w:p>
    <w:p w:rsidR="008B1FEC" w:rsidRDefault="00481900" w:rsidP="00212897">
      <w:pPr>
        <w:rPr>
          <w:noProof/>
        </w:rPr>
      </w:pPr>
      <w:bookmarkStart w:id="1112" w:name="_Toc372916538"/>
      <w:bookmarkStart w:id="1113" w:name="_Toc372916792"/>
      <w:bookmarkStart w:id="1114" w:name="_Toc372917013"/>
      <w:bookmarkStart w:id="1115" w:name="_Toc372917229"/>
      <w:bookmarkStart w:id="1116" w:name="_Toc372917443"/>
      <w:bookmarkStart w:id="1117" w:name="_Toc372917653"/>
      <w:bookmarkStart w:id="1118" w:name="_Toc372917862"/>
      <w:bookmarkStart w:id="1119" w:name="_Toc372918071"/>
      <w:bookmarkStart w:id="1120" w:name="_Toc372918280"/>
      <w:bookmarkStart w:id="1121" w:name="_Toc372916539"/>
      <w:bookmarkStart w:id="1122" w:name="_Toc372916793"/>
      <w:bookmarkStart w:id="1123" w:name="_Toc372917014"/>
      <w:bookmarkStart w:id="1124" w:name="_Toc372917230"/>
      <w:bookmarkStart w:id="1125" w:name="_Toc372917444"/>
      <w:bookmarkStart w:id="1126" w:name="_Toc372917654"/>
      <w:bookmarkStart w:id="1127" w:name="_Toc372917863"/>
      <w:bookmarkStart w:id="1128" w:name="_Toc372918072"/>
      <w:bookmarkStart w:id="1129" w:name="_Toc372918281"/>
      <w:bookmarkStart w:id="1130" w:name="_Toc372916540"/>
      <w:bookmarkStart w:id="1131" w:name="_Toc372916794"/>
      <w:bookmarkStart w:id="1132" w:name="_Toc372917015"/>
      <w:bookmarkStart w:id="1133" w:name="_Toc372917231"/>
      <w:bookmarkStart w:id="1134" w:name="_Toc372917445"/>
      <w:bookmarkStart w:id="1135" w:name="_Toc372917655"/>
      <w:bookmarkStart w:id="1136" w:name="_Toc372917864"/>
      <w:bookmarkStart w:id="1137" w:name="_Toc372918073"/>
      <w:bookmarkStart w:id="1138" w:name="_Toc372918282"/>
      <w:bookmarkStart w:id="1139" w:name="_Toc372916541"/>
      <w:bookmarkStart w:id="1140" w:name="_Toc372916795"/>
      <w:bookmarkStart w:id="1141" w:name="_Toc372917016"/>
      <w:bookmarkStart w:id="1142" w:name="_Toc372917232"/>
      <w:bookmarkStart w:id="1143" w:name="_Toc372917446"/>
      <w:bookmarkStart w:id="1144" w:name="_Toc372917656"/>
      <w:bookmarkStart w:id="1145" w:name="_Toc372917865"/>
      <w:bookmarkStart w:id="1146" w:name="_Toc372918074"/>
      <w:bookmarkStart w:id="1147" w:name="_Toc372918283"/>
      <w:bookmarkStart w:id="1148" w:name="_Toc372916542"/>
      <w:bookmarkStart w:id="1149" w:name="_Toc372916796"/>
      <w:bookmarkStart w:id="1150" w:name="_Toc372917017"/>
      <w:bookmarkStart w:id="1151" w:name="_Toc372917233"/>
      <w:bookmarkStart w:id="1152" w:name="_Toc372917447"/>
      <w:bookmarkStart w:id="1153" w:name="_Toc372917657"/>
      <w:bookmarkStart w:id="1154" w:name="_Toc372917866"/>
      <w:bookmarkStart w:id="1155" w:name="_Toc372918075"/>
      <w:bookmarkStart w:id="1156" w:name="_Toc372918284"/>
      <w:bookmarkEnd w:id="1109"/>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r>
        <w:rPr>
          <w:noProof/>
        </w:rPr>
        <w:t>Estimation</w:t>
      </w:r>
      <w:r w:rsidR="0088718C">
        <w:rPr>
          <w:noProof/>
        </w:rPr>
        <w:t>s</w:t>
      </w:r>
      <w:r>
        <w:rPr>
          <w:noProof/>
        </w:rPr>
        <w:t xml:space="preserve"> of </w:t>
      </w:r>
      <w:r w:rsidR="0088718C">
        <w:rPr>
          <w:noProof/>
        </w:rPr>
        <w:t xml:space="preserve">fusion event </w:t>
      </w:r>
      <w:r>
        <w:rPr>
          <w:noProof/>
        </w:rPr>
        <w:t>timing in chronological year</w:t>
      </w:r>
      <w:r w:rsidR="0088718C">
        <w:rPr>
          <w:noProof/>
        </w:rPr>
        <w:t>s was produced using Kuykendall’s (1996) regression equation for 8 teeth.  T</w:t>
      </w:r>
      <w:r w:rsidR="00E93308">
        <w:rPr>
          <w:noProof/>
        </w:rPr>
        <w:t>he data in this study we</w:t>
      </w:r>
      <w:r w:rsidR="00481893">
        <w:rPr>
          <w:noProof/>
        </w:rPr>
        <w:t xml:space="preserve">re consistent with results from </w:t>
      </w:r>
      <w:r w:rsidR="00E93308">
        <w:rPr>
          <w:noProof/>
        </w:rPr>
        <w:t>prior</w:t>
      </w:r>
      <w:r w:rsidR="00481893">
        <w:rPr>
          <w:noProof/>
        </w:rPr>
        <w:t xml:space="preserve"> studies.  An expanded list of estimated ages of </w:t>
      </w:r>
      <w:r w:rsidR="0088718C">
        <w:rPr>
          <w:noProof/>
        </w:rPr>
        <w:t xml:space="preserve">fusion </w:t>
      </w:r>
      <w:r w:rsidR="00481893">
        <w:rPr>
          <w:noProof/>
        </w:rPr>
        <w:t xml:space="preserve">for </w:t>
      </w:r>
      <w:r w:rsidR="00331286">
        <w:rPr>
          <w:noProof/>
        </w:rPr>
        <w:t>given epiphyses was produced.</w:t>
      </w:r>
    </w:p>
    <w:p w:rsidR="008B1FEC" w:rsidRDefault="008B1FEC">
      <w:pPr>
        <w:spacing w:before="0" w:after="200" w:line="276" w:lineRule="auto"/>
        <w:jc w:val="left"/>
        <w:rPr>
          <w:noProof/>
        </w:rPr>
      </w:pPr>
      <w:r>
        <w:rPr>
          <w:noProof/>
        </w:rPr>
        <w:br w:type="page"/>
      </w:r>
    </w:p>
    <w:p w:rsidR="00A35CA0" w:rsidRPr="00CA5FBB" w:rsidRDefault="008943E4" w:rsidP="00CA5FBB">
      <w:pPr>
        <w:pStyle w:val="Heading1"/>
        <w:rPr>
          <w:b w:val="0"/>
          <w:noProof/>
        </w:rPr>
      </w:pPr>
      <w:bookmarkStart w:id="1157" w:name="_Toc372916544"/>
      <w:bookmarkStart w:id="1158" w:name="_Toc372916798"/>
      <w:bookmarkStart w:id="1159" w:name="_Toc372917019"/>
      <w:bookmarkStart w:id="1160" w:name="_Toc372917235"/>
      <w:bookmarkStart w:id="1161" w:name="_Toc372917449"/>
      <w:bookmarkStart w:id="1162" w:name="_Toc372917659"/>
      <w:bookmarkStart w:id="1163" w:name="_Toc372917868"/>
      <w:bookmarkStart w:id="1164" w:name="_Toc372918077"/>
      <w:bookmarkStart w:id="1165" w:name="_Toc372918286"/>
      <w:bookmarkStart w:id="1166" w:name="_Toc372918489"/>
      <w:bookmarkStart w:id="1167" w:name="_Toc372918692"/>
      <w:bookmarkStart w:id="1168" w:name="_Toc372918897"/>
      <w:bookmarkStart w:id="1169" w:name="_Toc372919102"/>
      <w:bookmarkStart w:id="1170" w:name="_Toc372919303"/>
      <w:bookmarkStart w:id="1171" w:name="_Toc372919597"/>
      <w:bookmarkStart w:id="1172" w:name="_Toc372919794"/>
      <w:bookmarkStart w:id="1173" w:name="_Toc372919991"/>
      <w:bookmarkStart w:id="1174" w:name="_Toc372920188"/>
      <w:bookmarkStart w:id="1175" w:name="_Toc372920386"/>
      <w:bookmarkStart w:id="1176" w:name="_Toc372920583"/>
      <w:bookmarkStart w:id="1177" w:name="_Toc372920779"/>
      <w:bookmarkStart w:id="1178" w:name="_Toc372920975"/>
      <w:bookmarkStart w:id="1179" w:name="_Toc372921171"/>
      <w:bookmarkStart w:id="1180" w:name="_Toc372921367"/>
      <w:bookmarkStart w:id="1181" w:name="_Toc372921569"/>
      <w:bookmarkStart w:id="1182" w:name="_Toc372921765"/>
      <w:bookmarkStart w:id="1183" w:name="_Toc372921961"/>
      <w:bookmarkStart w:id="1184" w:name="_Toc372928241"/>
      <w:bookmarkStart w:id="1185" w:name="_Toc372928545"/>
      <w:bookmarkStart w:id="1186" w:name="_Toc372928741"/>
      <w:bookmarkStart w:id="1187" w:name="_Toc372981744"/>
      <w:bookmarkStart w:id="1188" w:name="_Toc373071971"/>
      <w:bookmarkStart w:id="1189" w:name="_Toc373147288"/>
      <w:bookmarkStart w:id="1190" w:name="_Toc373477824"/>
      <w:bookmarkStart w:id="1191" w:name="_Toc373480822"/>
      <w:bookmarkStart w:id="1192" w:name="_Toc372916545"/>
      <w:bookmarkStart w:id="1193" w:name="_Toc372916799"/>
      <w:bookmarkStart w:id="1194" w:name="_Toc372917020"/>
      <w:bookmarkStart w:id="1195" w:name="_Toc372917236"/>
      <w:bookmarkStart w:id="1196" w:name="_Toc372917450"/>
      <w:bookmarkStart w:id="1197" w:name="_Toc372917660"/>
      <w:bookmarkStart w:id="1198" w:name="_Toc372917869"/>
      <w:bookmarkStart w:id="1199" w:name="_Toc372918078"/>
      <w:bookmarkStart w:id="1200" w:name="_Toc372918287"/>
      <w:bookmarkStart w:id="1201" w:name="_Toc372918490"/>
      <w:bookmarkStart w:id="1202" w:name="_Toc372918693"/>
      <w:bookmarkStart w:id="1203" w:name="_Toc372918898"/>
      <w:bookmarkStart w:id="1204" w:name="_Toc372919103"/>
      <w:bookmarkStart w:id="1205" w:name="_Toc372919304"/>
      <w:bookmarkStart w:id="1206" w:name="_Toc372919598"/>
      <w:bookmarkStart w:id="1207" w:name="_Toc372919795"/>
      <w:bookmarkStart w:id="1208" w:name="_Toc372919992"/>
      <w:bookmarkStart w:id="1209" w:name="_Toc372920189"/>
      <w:bookmarkStart w:id="1210" w:name="_Toc372920387"/>
      <w:bookmarkStart w:id="1211" w:name="_Toc372920584"/>
      <w:bookmarkStart w:id="1212" w:name="_Toc372920780"/>
      <w:bookmarkStart w:id="1213" w:name="_Toc372920976"/>
      <w:bookmarkStart w:id="1214" w:name="_Toc372921172"/>
      <w:bookmarkStart w:id="1215" w:name="_Toc372921368"/>
      <w:bookmarkStart w:id="1216" w:name="_Toc372921570"/>
      <w:bookmarkStart w:id="1217" w:name="_Toc372921766"/>
      <w:bookmarkStart w:id="1218" w:name="_Toc372921962"/>
      <w:bookmarkStart w:id="1219" w:name="_Toc372928242"/>
      <w:bookmarkStart w:id="1220" w:name="_Toc372928546"/>
      <w:bookmarkStart w:id="1221" w:name="_Toc372928742"/>
      <w:bookmarkStart w:id="1222" w:name="_Toc372981745"/>
      <w:bookmarkStart w:id="1223" w:name="_Toc373071972"/>
      <w:bookmarkStart w:id="1224" w:name="_Toc373147289"/>
      <w:bookmarkStart w:id="1225" w:name="_Toc373477825"/>
      <w:bookmarkStart w:id="1226" w:name="_Toc373480823"/>
      <w:bookmarkStart w:id="1227" w:name="_Toc372916546"/>
      <w:bookmarkStart w:id="1228" w:name="_Toc372916800"/>
      <w:bookmarkStart w:id="1229" w:name="_Toc372917021"/>
      <w:bookmarkStart w:id="1230" w:name="_Toc372917237"/>
      <w:bookmarkStart w:id="1231" w:name="_Toc372917451"/>
      <w:bookmarkStart w:id="1232" w:name="_Toc372917661"/>
      <w:bookmarkStart w:id="1233" w:name="_Toc372917870"/>
      <w:bookmarkStart w:id="1234" w:name="_Toc372918079"/>
      <w:bookmarkStart w:id="1235" w:name="_Toc372918288"/>
      <w:bookmarkStart w:id="1236" w:name="_Toc372918491"/>
      <w:bookmarkStart w:id="1237" w:name="_Toc372918694"/>
      <w:bookmarkStart w:id="1238" w:name="_Toc372918899"/>
      <w:bookmarkStart w:id="1239" w:name="_Toc372919104"/>
      <w:bookmarkStart w:id="1240" w:name="_Toc372919305"/>
      <w:bookmarkStart w:id="1241" w:name="_Toc372919599"/>
      <w:bookmarkStart w:id="1242" w:name="_Toc372919796"/>
      <w:bookmarkStart w:id="1243" w:name="_Toc372919993"/>
      <w:bookmarkStart w:id="1244" w:name="_Toc372920190"/>
      <w:bookmarkStart w:id="1245" w:name="_Toc372920388"/>
      <w:bookmarkStart w:id="1246" w:name="_Toc372920585"/>
      <w:bookmarkStart w:id="1247" w:name="_Toc372920781"/>
      <w:bookmarkStart w:id="1248" w:name="_Toc372920977"/>
      <w:bookmarkStart w:id="1249" w:name="_Toc372921173"/>
      <w:bookmarkStart w:id="1250" w:name="_Toc372921369"/>
      <w:bookmarkStart w:id="1251" w:name="_Toc372921571"/>
      <w:bookmarkStart w:id="1252" w:name="_Toc372921767"/>
      <w:bookmarkStart w:id="1253" w:name="_Toc372921963"/>
      <w:bookmarkStart w:id="1254" w:name="_Toc372928243"/>
      <w:bookmarkStart w:id="1255" w:name="_Toc372928547"/>
      <w:bookmarkStart w:id="1256" w:name="_Toc372928743"/>
      <w:bookmarkStart w:id="1257" w:name="_Toc372981746"/>
      <w:bookmarkStart w:id="1258" w:name="_Toc373071973"/>
      <w:bookmarkStart w:id="1259" w:name="_Toc373147290"/>
      <w:bookmarkStart w:id="1260" w:name="_Toc373477826"/>
      <w:bookmarkStart w:id="1261" w:name="_Toc373480824"/>
      <w:bookmarkStart w:id="1262" w:name="_Toc372916547"/>
      <w:bookmarkStart w:id="1263" w:name="_Toc372916801"/>
      <w:bookmarkStart w:id="1264" w:name="_Toc372917022"/>
      <w:bookmarkStart w:id="1265" w:name="_Toc372917238"/>
      <w:bookmarkStart w:id="1266" w:name="_Toc372917452"/>
      <w:bookmarkStart w:id="1267" w:name="_Toc372917662"/>
      <w:bookmarkStart w:id="1268" w:name="_Toc372917871"/>
      <w:bookmarkStart w:id="1269" w:name="_Toc372918080"/>
      <w:bookmarkStart w:id="1270" w:name="_Toc372918289"/>
      <w:bookmarkStart w:id="1271" w:name="_Toc372918492"/>
      <w:bookmarkStart w:id="1272" w:name="_Toc372918695"/>
      <w:bookmarkStart w:id="1273" w:name="_Toc372918900"/>
      <w:bookmarkStart w:id="1274" w:name="_Toc372919105"/>
      <w:bookmarkStart w:id="1275" w:name="_Toc372919306"/>
      <w:bookmarkStart w:id="1276" w:name="_Toc372919600"/>
      <w:bookmarkStart w:id="1277" w:name="_Toc372919797"/>
      <w:bookmarkStart w:id="1278" w:name="_Toc372919994"/>
      <w:bookmarkStart w:id="1279" w:name="_Toc372920191"/>
      <w:bookmarkStart w:id="1280" w:name="_Toc372920389"/>
      <w:bookmarkStart w:id="1281" w:name="_Toc372920586"/>
      <w:bookmarkStart w:id="1282" w:name="_Toc372920782"/>
      <w:bookmarkStart w:id="1283" w:name="_Toc372920978"/>
      <w:bookmarkStart w:id="1284" w:name="_Toc372921174"/>
      <w:bookmarkStart w:id="1285" w:name="_Toc372921370"/>
      <w:bookmarkStart w:id="1286" w:name="_Toc372921572"/>
      <w:bookmarkStart w:id="1287" w:name="_Toc372921768"/>
      <w:bookmarkStart w:id="1288" w:name="_Toc372921964"/>
      <w:bookmarkStart w:id="1289" w:name="_Toc372928244"/>
      <w:bookmarkStart w:id="1290" w:name="_Toc372928548"/>
      <w:bookmarkStart w:id="1291" w:name="_Toc372928744"/>
      <w:bookmarkStart w:id="1292" w:name="_Toc372981747"/>
      <w:bookmarkStart w:id="1293" w:name="_Toc373071974"/>
      <w:bookmarkStart w:id="1294" w:name="_Toc373147291"/>
      <w:bookmarkStart w:id="1295" w:name="_Toc373477827"/>
      <w:bookmarkStart w:id="1296" w:name="_Toc373480825"/>
      <w:bookmarkStart w:id="1297" w:name="_Toc372916548"/>
      <w:bookmarkStart w:id="1298" w:name="_Toc372916802"/>
      <w:bookmarkStart w:id="1299" w:name="_Toc372917023"/>
      <w:bookmarkStart w:id="1300" w:name="_Toc372917239"/>
      <w:bookmarkStart w:id="1301" w:name="_Toc372917453"/>
      <w:bookmarkStart w:id="1302" w:name="_Toc372917663"/>
      <w:bookmarkStart w:id="1303" w:name="_Toc372917872"/>
      <w:bookmarkStart w:id="1304" w:name="_Toc372918081"/>
      <w:bookmarkStart w:id="1305" w:name="_Toc372918290"/>
      <w:bookmarkStart w:id="1306" w:name="_Toc372918493"/>
      <w:bookmarkStart w:id="1307" w:name="_Toc372918696"/>
      <w:bookmarkStart w:id="1308" w:name="_Toc372918901"/>
      <w:bookmarkStart w:id="1309" w:name="_Toc372919106"/>
      <w:bookmarkStart w:id="1310" w:name="_Toc372919307"/>
      <w:bookmarkStart w:id="1311" w:name="_Toc372919601"/>
      <w:bookmarkStart w:id="1312" w:name="_Toc372919798"/>
      <w:bookmarkStart w:id="1313" w:name="_Toc372919995"/>
      <w:bookmarkStart w:id="1314" w:name="_Toc372920192"/>
      <w:bookmarkStart w:id="1315" w:name="_Toc372920390"/>
      <w:bookmarkStart w:id="1316" w:name="_Toc372920587"/>
      <w:bookmarkStart w:id="1317" w:name="_Toc372920783"/>
      <w:bookmarkStart w:id="1318" w:name="_Toc372920979"/>
      <w:bookmarkStart w:id="1319" w:name="_Toc372921175"/>
      <w:bookmarkStart w:id="1320" w:name="_Toc372921371"/>
      <w:bookmarkStart w:id="1321" w:name="_Toc372921573"/>
      <w:bookmarkStart w:id="1322" w:name="_Toc372921769"/>
      <w:bookmarkStart w:id="1323" w:name="_Toc372921965"/>
      <w:bookmarkStart w:id="1324" w:name="_Toc372928245"/>
      <w:bookmarkStart w:id="1325" w:name="_Toc372928549"/>
      <w:bookmarkStart w:id="1326" w:name="_Toc372928745"/>
      <w:bookmarkStart w:id="1327" w:name="_Toc372981748"/>
      <w:bookmarkStart w:id="1328" w:name="_Toc373071975"/>
      <w:bookmarkStart w:id="1329" w:name="_Toc373147292"/>
      <w:bookmarkStart w:id="1330" w:name="_Toc373477828"/>
      <w:bookmarkStart w:id="1331" w:name="_Toc373480826"/>
      <w:bookmarkStart w:id="1332" w:name="_Toc372916549"/>
      <w:bookmarkStart w:id="1333" w:name="_Toc372916803"/>
      <w:bookmarkStart w:id="1334" w:name="_Toc372917024"/>
      <w:bookmarkStart w:id="1335" w:name="_Toc372917240"/>
      <w:bookmarkStart w:id="1336" w:name="_Toc372917454"/>
      <w:bookmarkStart w:id="1337" w:name="_Toc372917664"/>
      <w:bookmarkStart w:id="1338" w:name="_Toc372917873"/>
      <w:bookmarkStart w:id="1339" w:name="_Toc372918082"/>
      <w:bookmarkStart w:id="1340" w:name="_Toc372918291"/>
      <w:bookmarkStart w:id="1341" w:name="_Toc372918494"/>
      <w:bookmarkStart w:id="1342" w:name="_Toc372918697"/>
      <w:bookmarkStart w:id="1343" w:name="_Toc372918902"/>
      <w:bookmarkStart w:id="1344" w:name="_Toc372919107"/>
      <w:bookmarkStart w:id="1345" w:name="_Toc372919308"/>
      <w:bookmarkStart w:id="1346" w:name="_Toc372919602"/>
      <w:bookmarkStart w:id="1347" w:name="_Toc372919799"/>
      <w:bookmarkStart w:id="1348" w:name="_Toc372919996"/>
      <w:bookmarkStart w:id="1349" w:name="_Toc372920193"/>
      <w:bookmarkStart w:id="1350" w:name="_Toc372920391"/>
      <w:bookmarkStart w:id="1351" w:name="_Toc372920588"/>
      <w:bookmarkStart w:id="1352" w:name="_Toc372920784"/>
      <w:bookmarkStart w:id="1353" w:name="_Toc372920980"/>
      <w:bookmarkStart w:id="1354" w:name="_Toc372921176"/>
      <w:bookmarkStart w:id="1355" w:name="_Toc372921372"/>
      <w:bookmarkStart w:id="1356" w:name="_Toc372921574"/>
      <w:bookmarkStart w:id="1357" w:name="_Toc372921770"/>
      <w:bookmarkStart w:id="1358" w:name="_Toc372921966"/>
      <w:bookmarkStart w:id="1359" w:name="_Toc372928246"/>
      <w:bookmarkStart w:id="1360" w:name="_Toc372928550"/>
      <w:bookmarkStart w:id="1361" w:name="_Toc372928746"/>
      <w:bookmarkStart w:id="1362" w:name="_Toc372981749"/>
      <w:bookmarkStart w:id="1363" w:name="_Toc373071976"/>
      <w:bookmarkStart w:id="1364" w:name="_Toc373147293"/>
      <w:bookmarkStart w:id="1365" w:name="_Toc373477829"/>
      <w:bookmarkStart w:id="1366" w:name="_Toc373480827"/>
      <w:bookmarkStart w:id="1367" w:name="_Toc372916550"/>
      <w:bookmarkStart w:id="1368" w:name="_Toc372916804"/>
      <w:bookmarkStart w:id="1369" w:name="_Toc372917025"/>
      <w:bookmarkStart w:id="1370" w:name="_Toc372917241"/>
      <w:bookmarkStart w:id="1371" w:name="_Toc372917455"/>
      <w:bookmarkStart w:id="1372" w:name="_Toc372917665"/>
      <w:bookmarkStart w:id="1373" w:name="_Toc372917874"/>
      <w:bookmarkStart w:id="1374" w:name="_Toc372918083"/>
      <w:bookmarkStart w:id="1375" w:name="_Toc372918292"/>
      <w:bookmarkStart w:id="1376" w:name="_Toc372918495"/>
      <w:bookmarkStart w:id="1377" w:name="_Toc372918698"/>
      <w:bookmarkStart w:id="1378" w:name="_Toc372918903"/>
      <w:bookmarkStart w:id="1379" w:name="_Toc372919108"/>
      <w:bookmarkStart w:id="1380" w:name="_Toc372919309"/>
      <w:bookmarkStart w:id="1381" w:name="_Toc372919603"/>
      <w:bookmarkStart w:id="1382" w:name="_Toc372919800"/>
      <w:bookmarkStart w:id="1383" w:name="_Toc372919997"/>
      <w:bookmarkStart w:id="1384" w:name="_Toc372920194"/>
      <w:bookmarkStart w:id="1385" w:name="_Toc372920392"/>
      <w:bookmarkStart w:id="1386" w:name="_Toc372920589"/>
      <w:bookmarkStart w:id="1387" w:name="_Toc372920785"/>
      <w:bookmarkStart w:id="1388" w:name="_Toc372920981"/>
      <w:bookmarkStart w:id="1389" w:name="_Toc372921177"/>
      <w:bookmarkStart w:id="1390" w:name="_Toc372921373"/>
      <w:bookmarkStart w:id="1391" w:name="_Toc372921575"/>
      <w:bookmarkStart w:id="1392" w:name="_Toc372921771"/>
      <w:bookmarkStart w:id="1393" w:name="_Toc372921967"/>
      <w:bookmarkStart w:id="1394" w:name="_Toc372928247"/>
      <w:bookmarkStart w:id="1395" w:name="_Toc372928551"/>
      <w:bookmarkStart w:id="1396" w:name="_Toc372928747"/>
      <w:bookmarkStart w:id="1397" w:name="_Toc372981750"/>
      <w:bookmarkStart w:id="1398" w:name="_Toc373071977"/>
      <w:bookmarkStart w:id="1399" w:name="_Toc373147294"/>
      <w:bookmarkStart w:id="1400" w:name="_Toc373477830"/>
      <w:bookmarkStart w:id="1401" w:name="_Toc373480828"/>
      <w:bookmarkStart w:id="1402" w:name="_Toc372916551"/>
      <w:bookmarkStart w:id="1403" w:name="_Toc372916805"/>
      <w:bookmarkStart w:id="1404" w:name="_Toc372917026"/>
      <w:bookmarkStart w:id="1405" w:name="_Toc372917242"/>
      <w:bookmarkStart w:id="1406" w:name="_Toc372917456"/>
      <w:bookmarkStart w:id="1407" w:name="_Toc372917666"/>
      <w:bookmarkStart w:id="1408" w:name="_Toc372917875"/>
      <w:bookmarkStart w:id="1409" w:name="_Toc372918084"/>
      <w:bookmarkStart w:id="1410" w:name="_Toc372918293"/>
      <w:bookmarkStart w:id="1411" w:name="_Toc372918496"/>
      <w:bookmarkStart w:id="1412" w:name="_Toc372918699"/>
      <w:bookmarkStart w:id="1413" w:name="_Toc372918904"/>
      <w:bookmarkStart w:id="1414" w:name="_Toc372919109"/>
      <w:bookmarkStart w:id="1415" w:name="_Toc372919310"/>
      <w:bookmarkStart w:id="1416" w:name="_Toc372919604"/>
      <w:bookmarkStart w:id="1417" w:name="_Toc372919801"/>
      <w:bookmarkStart w:id="1418" w:name="_Toc372919998"/>
      <w:bookmarkStart w:id="1419" w:name="_Toc372920195"/>
      <w:bookmarkStart w:id="1420" w:name="_Toc372920393"/>
      <w:bookmarkStart w:id="1421" w:name="_Toc372920590"/>
      <w:bookmarkStart w:id="1422" w:name="_Toc372920786"/>
      <w:bookmarkStart w:id="1423" w:name="_Toc372920982"/>
      <w:bookmarkStart w:id="1424" w:name="_Toc372921178"/>
      <w:bookmarkStart w:id="1425" w:name="_Toc372921374"/>
      <w:bookmarkStart w:id="1426" w:name="_Toc372921576"/>
      <w:bookmarkStart w:id="1427" w:name="_Toc372921772"/>
      <w:bookmarkStart w:id="1428" w:name="_Toc372921968"/>
      <w:bookmarkStart w:id="1429" w:name="_Toc372928248"/>
      <w:bookmarkStart w:id="1430" w:name="_Toc372928552"/>
      <w:bookmarkStart w:id="1431" w:name="_Toc372928748"/>
      <w:bookmarkStart w:id="1432" w:name="_Toc372981751"/>
      <w:bookmarkStart w:id="1433" w:name="_Toc373071978"/>
      <w:bookmarkStart w:id="1434" w:name="_Toc373147295"/>
      <w:bookmarkStart w:id="1435" w:name="_Toc373477831"/>
      <w:bookmarkStart w:id="1436" w:name="_Toc373480829"/>
      <w:bookmarkStart w:id="1437" w:name="_Toc372916552"/>
      <w:bookmarkStart w:id="1438" w:name="_Toc372916806"/>
      <w:bookmarkStart w:id="1439" w:name="_Toc372917027"/>
      <w:bookmarkStart w:id="1440" w:name="_Toc372917243"/>
      <w:bookmarkStart w:id="1441" w:name="_Toc372917457"/>
      <w:bookmarkStart w:id="1442" w:name="_Toc372917667"/>
      <w:bookmarkStart w:id="1443" w:name="_Toc372917876"/>
      <w:bookmarkStart w:id="1444" w:name="_Toc372918085"/>
      <w:bookmarkStart w:id="1445" w:name="_Toc372918294"/>
      <w:bookmarkStart w:id="1446" w:name="_Toc372918497"/>
      <w:bookmarkStart w:id="1447" w:name="_Toc372918700"/>
      <w:bookmarkStart w:id="1448" w:name="_Toc372918905"/>
      <w:bookmarkStart w:id="1449" w:name="_Toc372919110"/>
      <w:bookmarkStart w:id="1450" w:name="_Toc372919311"/>
      <w:bookmarkStart w:id="1451" w:name="_Toc372919605"/>
      <w:bookmarkStart w:id="1452" w:name="_Toc372919802"/>
      <w:bookmarkStart w:id="1453" w:name="_Toc372919999"/>
      <w:bookmarkStart w:id="1454" w:name="_Toc372920196"/>
      <w:bookmarkStart w:id="1455" w:name="_Toc372920394"/>
      <w:bookmarkStart w:id="1456" w:name="_Toc372920591"/>
      <w:bookmarkStart w:id="1457" w:name="_Toc372920787"/>
      <w:bookmarkStart w:id="1458" w:name="_Toc372920983"/>
      <w:bookmarkStart w:id="1459" w:name="_Toc372921179"/>
      <w:bookmarkStart w:id="1460" w:name="_Toc372921375"/>
      <w:bookmarkStart w:id="1461" w:name="_Toc372921577"/>
      <w:bookmarkStart w:id="1462" w:name="_Toc372921773"/>
      <w:bookmarkStart w:id="1463" w:name="_Toc372921969"/>
      <w:bookmarkStart w:id="1464" w:name="_Toc372928249"/>
      <w:bookmarkStart w:id="1465" w:name="_Toc372928553"/>
      <w:bookmarkStart w:id="1466" w:name="_Toc372928749"/>
      <w:bookmarkStart w:id="1467" w:name="_Toc372981752"/>
      <w:bookmarkStart w:id="1468" w:name="_Toc373071979"/>
      <w:bookmarkStart w:id="1469" w:name="_Toc373147296"/>
      <w:bookmarkStart w:id="1470" w:name="_Toc373477832"/>
      <w:bookmarkStart w:id="1471" w:name="_Toc373480830"/>
      <w:bookmarkStart w:id="1472" w:name="_Toc372916553"/>
      <w:bookmarkStart w:id="1473" w:name="_Toc372916807"/>
      <w:bookmarkStart w:id="1474" w:name="_Toc372917028"/>
      <w:bookmarkStart w:id="1475" w:name="_Toc372917244"/>
      <w:bookmarkStart w:id="1476" w:name="_Toc372917458"/>
      <w:bookmarkStart w:id="1477" w:name="_Toc372917668"/>
      <w:bookmarkStart w:id="1478" w:name="_Toc372917877"/>
      <w:bookmarkStart w:id="1479" w:name="_Toc372918086"/>
      <w:bookmarkStart w:id="1480" w:name="_Toc372918295"/>
      <w:bookmarkStart w:id="1481" w:name="_Toc372918498"/>
      <w:bookmarkStart w:id="1482" w:name="_Toc372918701"/>
      <w:bookmarkStart w:id="1483" w:name="_Toc372918906"/>
      <w:bookmarkStart w:id="1484" w:name="_Toc372919111"/>
      <w:bookmarkStart w:id="1485" w:name="_Toc372919312"/>
      <w:bookmarkStart w:id="1486" w:name="_Toc372919606"/>
      <w:bookmarkStart w:id="1487" w:name="_Toc372919803"/>
      <w:bookmarkStart w:id="1488" w:name="_Toc372920000"/>
      <w:bookmarkStart w:id="1489" w:name="_Toc372920197"/>
      <w:bookmarkStart w:id="1490" w:name="_Toc372920395"/>
      <w:bookmarkStart w:id="1491" w:name="_Toc372920592"/>
      <w:bookmarkStart w:id="1492" w:name="_Toc372920788"/>
      <w:bookmarkStart w:id="1493" w:name="_Toc372920984"/>
      <w:bookmarkStart w:id="1494" w:name="_Toc372921180"/>
      <w:bookmarkStart w:id="1495" w:name="_Toc372921376"/>
      <w:bookmarkStart w:id="1496" w:name="_Toc372921578"/>
      <w:bookmarkStart w:id="1497" w:name="_Toc372921774"/>
      <w:bookmarkStart w:id="1498" w:name="_Toc372921970"/>
      <w:bookmarkStart w:id="1499" w:name="_Toc372928250"/>
      <w:bookmarkStart w:id="1500" w:name="_Toc372928554"/>
      <w:bookmarkStart w:id="1501" w:name="_Toc372928750"/>
      <w:bookmarkStart w:id="1502" w:name="_Toc372981753"/>
      <w:bookmarkStart w:id="1503" w:name="_Toc373071980"/>
      <w:bookmarkStart w:id="1504" w:name="_Toc373147297"/>
      <w:bookmarkStart w:id="1505" w:name="_Toc373477833"/>
      <w:bookmarkStart w:id="1506" w:name="_Toc373480831"/>
      <w:bookmarkStart w:id="1507" w:name="_Toc372916554"/>
      <w:bookmarkStart w:id="1508" w:name="_Toc372916808"/>
      <w:bookmarkStart w:id="1509" w:name="_Toc372917029"/>
      <w:bookmarkStart w:id="1510" w:name="_Toc372917245"/>
      <w:bookmarkStart w:id="1511" w:name="_Toc372917459"/>
      <w:bookmarkStart w:id="1512" w:name="_Toc372917669"/>
      <w:bookmarkStart w:id="1513" w:name="_Toc372917878"/>
      <w:bookmarkStart w:id="1514" w:name="_Toc372918087"/>
      <w:bookmarkStart w:id="1515" w:name="_Toc372918296"/>
      <w:bookmarkStart w:id="1516" w:name="_Toc372918499"/>
      <w:bookmarkStart w:id="1517" w:name="_Toc372918702"/>
      <w:bookmarkStart w:id="1518" w:name="_Toc372918907"/>
      <w:bookmarkStart w:id="1519" w:name="_Toc372919112"/>
      <w:bookmarkStart w:id="1520" w:name="_Toc372919313"/>
      <w:bookmarkStart w:id="1521" w:name="_Toc372919607"/>
      <w:bookmarkStart w:id="1522" w:name="_Toc372919804"/>
      <w:bookmarkStart w:id="1523" w:name="_Toc372920001"/>
      <w:bookmarkStart w:id="1524" w:name="_Toc372920198"/>
      <w:bookmarkStart w:id="1525" w:name="_Toc372920396"/>
      <w:bookmarkStart w:id="1526" w:name="_Toc372920593"/>
      <w:bookmarkStart w:id="1527" w:name="_Toc372920789"/>
      <w:bookmarkStart w:id="1528" w:name="_Toc372920985"/>
      <w:bookmarkStart w:id="1529" w:name="_Toc372921181"/>
      <w:bookmarkStart w:id="1530" w:name="_Toc372921377"/>
      <w:bookmarkStart w:id="1531" w:name="_Toc372921579"/>
      <w:bookmarkStart w:id="1532" w:name="_Toc372921775"/>
      <w:bookmarkStart w:id="1533" w:name="_Toc372921971"/>
      <w:bookmarkStart w:id="1534" w:name="_Toc372928251"/>
      <w:bookmarkStart w:id="1535" w:name="_Toc372928555"/>
      <w:bookmarkStart w:id="1536" w:name="_Toc372928751"/>
      <w:bookmarkStart w:id="1537" w:name="_Toc372981754"/>
      <w:bookmarkStart w:id="1538" w:name="_Toc373071981"/>
      <w:bookmarkStart w:id="1539" w:name="_Toc373147298"/>
      <w:bookmarkStart w:id="1540" w:name="_Toc373477834"/>
      <w:bookmarkStart w:id="1541" w:name="_Toc373480832"/>
      <w:bookmarkStart w:id="1542" w:name="_Toc372916555"/>
      <w:bookmarkStart w:id="1543" w:name="_Toc372916809"/>
      <w:bookmarkStart w:id="1544" w:name="_Toc372917030"/>
      <w:bookmarkStart w:id="1545" w:name="_Toc372917246"/>
      <w:bookmarkStart w:id="1546" w:name="_Toc372917460"/>
      <w:bookmarkStart w:id="1547" w:name="_Toc372917670"/>
      <w:bookmarkStart w:id="1548" w:name="_Toc372917879"/>
      <w:bookmarkStart w:id="1549" w:name="_Toc372918088"/>
      <w:bookmarkStart w:id="1550" w:name="_Toc372918297"/>
      <w:bookmarkStart w:id="1551" w:name="_Toc372918500"/>
      <w:bookmarkStart w:id="1552" w:name="_Toc372918703"/>
      <w:bookmarkStart w:id="1553" w:name="_Toc372918908"/>
      <w:bookmarkStart w:id="1554" w:name="_Toc372919113"/>
      <w:bookmarkStart w:id="1555" w:name="_Toc372919314"/>
      <w:bookmarkStart w:id="1556" w:name="_Toc372919608"/>
      <w:bookmarkStart w:id="1557" w:name="_Toc372919805"/>
      <w:bookmarkStart w:id="1558" w:name="_Toc372920002"/>
      <w:bookmarkStart w:id="1559" w:name="_Toc372920199"/>
      <w:bookmarkStart w:id="1560" w:name="_Toc372920397"/>
      <w:bookmarkStart w:id="1561" w:name="_Toc372920594"/>
      <w:bookmarkStart w:id="1562" w:name="_Toc372920790"/>
      <w:bookmarkStart w:id="1563" w:name="_Toc372920986"/>
      <w:bookmarkStart w:id="1564" w:name="_Toc372921182"/>
      <w:bookmarkStart w:id="1565" w:name="_Toc372921378"/>
      <w:bookmarkStart w:id="1566" w:name="_Toc372921580"/>
      <w:bookmarkStart w:id="1567" w:name="_Toc372921776"/>
      <w:bookmarkStart w:id="1568" w:name="_Toc372921972"/>
      <w:bookmarkStart w:id="1569" w:name="_Toc372928252"/>
      <w:bookmarkStart w:id="1570" w:name="_Toc372928556"/>
      <w:bookmarkStart w:id="1571" w:name="_Toc372928752"/>
      <w:bookmarkStart w:id="1572" w:name="_Toc372981755"/>
      <w:bookmarkStart w:id="1573" w:name="_Toc373071982"/>
      <w:bookmarkStart w:id="1574" w:name="_Toc373147299"/>
      <w:bookmarkStart w:id="1575" w:name="_Toc373477835"/>
      <w:bookmarkStart w:id="1576" w:name="_Toc373480833"/>
      <w:bookmarkStart w:id="1577" w:name="_Toc372916556"/>
      <w:bookmarkStart w:id="1578" w:name="_Toc372916810"/>
      <w:bookmarkStart w:id="1579" w:name="_Toc372917031"/>
      <w:bookmarkStart w:id="1580" w:name="_Toc372917247"/>
      <w:bookmarkStart w:id="1581" w:name="_Toc372917461"/>
      <w:bookmarkStart w:id="1582" w:name="_Toc372917671"/>
      <w:bookmarkStart w:id="1583" w:name="_Toc372917880"/>
      <w:bookmarkStart w:id="1584" w:name="_Toc372918089"/>
      <w:bookmarkStart w:id="1585" w:name="_Toc372918298"/>
      <w:bookmarkStart w:id="1586" w:name="_Toc372918501"/>
      <w:bookmarkStart w:id="1587" w:name="_Toc372918704"/>
      <w:bookmarkStart w:id="1588" w:name="_Toc372918909"/>
      <w:bookmarkStart w:id="1589" w:name="_Toc372919114"/>
      <w:bookmarkStart w:id="1590" w:name="_Toc372919315"/>
      <w:bookmarkStart w:id="1591" w:name="_Toc372919609"/>
      <w:bookmarkStart w:id="1592" w:name="_Toc372919806"/>
      <w:bookmarkStart w:id="1593" w:name="_Toc372920003"/>
      <w:bookmarkStart w:id="1594" w:name="_Toc372920200"/>
      <w:bookmarkStart w:id="1595" w:name="_Toc372920398"/>
      <w:bookmarkStart w:id="1596" w:name="_Toc372920595"/>
      <w:bookmarkStart w:id="1597" w:name="_Toc372920791"/>
      <w:bookmarkStart w:id="1598" w:name="_Toc372920987"/>
      <w:bookmarkStart w:id="1599" w:name="_Toc372921183"/>
      <w:bookmarkStart w:id="1600" w:name="_Toc372921379"/>
      <w:bookmarkStart w:id="1601" w:name="_Toc372921581"/>
      <w:bookmarkStart w:id="1602" w:name="_Toc372921777"/>
      <w:bookmarkStart w:id="1603" w:name="_Toc372921973"/>
      <w:bookmarkStart w:id="1604" w:name="_Toc372928253"/>
      <w:bookmarkStart w:id="1605" w:name="_Toc372928557"/>
      <w:bookmarkStart w:id="1606" w:name="_Toc372928753"/>
      <w:bookmarkStart w:id="1607" w:name="_Toc372981756"/>
      <w:bookmarkStart w:id="1608" w:name="_Toc373071983"/>
      <w:bookmarkStart w:id="1609" w:name="_Toc373147300"/>
      <w:bookmarkStart w:id="1610" w:name="_Toc373477836"/>
      <w:bookmarkStart w:id="1611" w:name="_Toc373480834"/>
      <w:bookmarkStart w:id="1612" w:name="_Toc372916557"/>
      <w:bookmarkStart w:id="1613" w:name="_Toc372916811"/>
      <w:bookmarkStart w:id="1614" w:name="_Toc372917032"/>
      <w:bookmarkStart w:id="1615" w:name="_Toc372917248"/>
      <w:bookmarkStart w:id="1616" w:name="_Toc372917462"/>
      <w:bookmarkStart w:id="1617" w:name="_Toc372917672"/>
      <w:bookmarkStart w:id="1618" w:name="_Toc372917881"/>
      <w:bookmarkStart w:id="1619" w:name="_Toc372918090"/>
      <w:bookmarkStart w:id="1620" w:name="_Toc372918299"/>
      <w:bookmarkStart w:id="1621" w:name="_Toc372918502"/>
      <w:bookmarkStart w:id="1622" w:name="_Toc372918705"/>
      <w:bookmarkStart w:id="1623" w:name="_Toc372918910"/>
      <w:bookmarkStart w:id="1624" w:name="_Toc372919115"/>
      <w:bookmarkStart w:id="1625" w:name="_Toc372919316"/>
      <w:bookmarkStart w:id="1626" w:name="_Toc372919610"/>
      <w:bookmarkStart w:id="1627" w:name="_Toc372919807"/>
      <w:bookmarkStart w:id="1628" w:name="_Toc372920004"/>
      <w:bookmarkStart w:id="1629" w:name="_Toc372920201"/>
      <w:bookmarkStart w:id="1630" w:name="_Toc372920399"/>
      <w:bookmarkStart w:id="1631" w:name="_Toc372920596"/>
      <w:bookmarkStart w:id="1632" w:name="_Toc372920792"/>
      <w:bookmarkStart w:id="1633" w:name="_Toc372920988"/>
      <w:bookmarkStart w:id="1634" w:name="_Toc372921184"/>
      <w:bookmarkStart w:id="1635" w:name="_Toc372921380"/>
      <w:bookmarkStart w:id="1636" w:name="_Toc372921582"/>
      <w:bookmarkStart w:id="1637" w:name="_Toc372921778"/>
      <w:bookmarkStart w:id="1638" w:name="_Toc372921974"/>
      <w:bookmarkStart w:id="1639" w:name="_Toc372928254"/>
      <w:bookmarkStart w:id="1640" w:name="_Toc372928558"/>
      <w:bookmarkStart w:id="1641" w:name="_Toc372928754"/>
      <w:bookmarkStart w:id="1642" w:name="_Toc372981757"/>
      <w:bookmarkStart w:id="1643" w:name="_Toc373071984"/>
      <w:bookmarkStart w:id="1644" w:name="_Toc373147301"/>
      <w:bookmarkStart w:id="1645" w:name="_Toc373477837"/>
      <w:bookmarkStart w:id="1646" w:name="_Toc373480835"/>
      <w:bookmarkStart w:id="1647" w:name="_Toc372916558"/>
      <w:bookmarkStart w:id="1648" w:name="_Toc372916812"/>
      <w:bookmarkStart w:id="1649" w:name="_Toc372917033"/>
      <w:bookmarkStart w:id="1650" w:name="_Toc372917249"/>
      <w:bookmarkStart w:id="1651" w:name="_Toc372917463"/>
      <w:bookmarkStart w:id="1652" w:name="_Toc372917673"/>
      <w:bookmarkStart w:id="1653" w:name="_Toc372917882"/>
      <w:bookmarkStart w:id="1654" w:name="_Toc372918091"/>
      <w:bookmarkStart w:id="1655" w:name="_Toc372918300"/>
      <w:bookmarkStart w:id="1656" w:name="_Toc372918503"/>
      <w:bookmarkStart w:id="1657" w:name="_Toc372918706"/>
      <w:bookmarkStart w:id="1658" w:name="_Toc372918911"/>
      <w:bookmarkStart w:id="1659" w:name="_Toc372919116"/>
      <w:bookmarkStart w:id="1660" w:name="_Toc372919317"/>
      <w:bookmarkStart w:id="1661" w:name="_Toc372919611"/>
      <w:bookmarkStart w:id="1662" w:name="_Toc372919808"/>
      <w:bookmarkStart w:id="1663" w:name="_Toc372920005"/>
      <w:bookmarkStart w:id="1664" w:name="_Toc372920202"/>
      <w:bookmarkStart w:id="1665" w:name="_Toc372920400"/>
      <w:bookmarkStart w:id="1666" w:name="_Toc372920597"/>
      <w:bookmarkStart w:id="1667" w:name="_Toc372920793"/>
      <w:bookmarkStart w:id="1668" w:name="_Toc372920989"/>
      <w:bookmarkStart w:id="1669" w:name="_Toc372921185"/>
      <w:bookmarkStart w:id="1670" w:name="_Toc372921381"/>
      <w:bookmarkStart w:id="1671" w:name="_Toc372921583"/>
      <w:bookmarkStart w:id="1672" w:name="_Toc372921779"/>
      <w:bookmarkStart w:id="1673" w:name="_Toc372921975"/>
      <w:bookmarkStart w:id="1674" w:name="_Toc372928255"/>
      <w:bookmarkStart w:id="1675" w:name="_Toc372928559"/>
      <w:bookmarkStart w:id="1676" w:name="_Toc372928755"/>
      <w:bookmarkStart w:id="1677" w:name="_Toc372981758"/>
      <w:bookmarkStart w:id="1678" w:name="_Toc373071985"/>
      <w:bookmarkStart w:id="1679" w:name="_Toc373147302"/>
      <w:bookmarkStart w:id="1680" w:name="_Toc373477838"/>
      <w:bookmarkStart w:id="1681" w:name="_Toc373480836"/>
      <w:bookmarkStart w:id="1682" w:name="_Toc372916559"/>
      <w:bookmarkStart w:id="1683" w:name="_Toc372916813"/>
      <w:bookmarkStart w:id="1684" w:name="_Toc372917034"/>
      <w:bookmarkStart w:id="1685" w:name="_Toc372917250"/>
      <w:bookmarkStart w:id="1686" w:name="_Toc372917464"/>
      <w:bookmarkStart w:id="1687" w:name="_Toc372917674"/>
      <w:bookmarkStart w:id="1688" w:name="_Toc372917883"/>
      <w:bookmarkStart w:id="1689" w:name="_Toc372918092"/>
      <w:bookmarkStart w:id="1690" w:name="_Toc372918301"/>
      <w:bookmarkStart w:id="1691" w:name="_Toc372918504"/>
      <w:bookmarkStart w:id="1692" w:name="_Toc372918707"/>
      <w:bookmarkStart w:id="1693" w:name="_Toc372918912"/>
      <w:bookmarkStart w:id="1694" w:name="_Toc372919117"/>
      <w:bookmarkStart w:id="1695" w:name="_Toc372919318"/>
      <w:bookmarkStart w:id="1696" w:name="_Toc372919612"/>
      <w:bookmarkStart w:id="1697" w:name="_Toc372919809"/>
      <w:bookmarkStart w:id="1698" w:name="_Toc372920006"/>
      <w:bookmarkStart w:id="1699" w:name="_Toc372920203"/>
      <w:bookmarkStart w:id="1700" w:name="_Toc372920401"/>
      <w:bookmarkStart w:id="1701" w:name="_Toc372920598"/>
      <w:bookmarkStart w:id="1702" w:name="_Toc372920794"/>
      <w:bookmarkStart w:id="1703" w:name="_Toc372920990"/>
      <w:bookmarkStart w:id="1704" w:name="_Toc372921186"/>
      <w:bookmarkStart w:id="1705" w:name="_Toc372921382"/>
      <w:bookmarkStart w:id="1706" w:name="_Toc372921584"/>
      <w:bookmarkStart w:id="1707" w:name="_Toc372921780"/>
      <w:bookmarkStart w:id="1708" w:name="_Toc372921976"/>
      <w:bookmarkStart w:id="1709" w:name="_Toc372928256"/>
      <w:bookmarkStart w:id="1710" w:name="_Toc372928560"/>
      <w:bookmarkStart w:id="1711" w:name="_Toc372928756"/>
      <w:bookmarkStart w:id="1712" w:name="_Toc372981759"/>
      <w:bookmarkStart w:id="1713" w:name="_Toc373071986"/>
      <w:bookmarkStart w:id="1714" w:name="_Toc373147303"/>
      <w:bookmarkStart w:id="1715" w:name="_Toc373477839"/>
      <w:bookmarkStart w:id="1716" w:name="_Toc373480837"/>
      <w:bookmarkStart w:id="1717" w:name="_Toc372916560"/>
      <w:bookmarkStart w:id="1718" w:name="_Toc372916814"/>
      <w:bookmarkStart w:id="1719" w:name="_Toc372917035"/>
      <w:bookmarkStart w:id="1720" w:name="_Toc372917251"/>
      <w:bookmarkStart w:id="1721" w:name="_Toc372917465"/>
      <w:bookmarkStart w:id="1722" w:name="_Toc372917675"/>
      <w:bookmarkStart w:id="1723" w:name="_Toc372917884"/>
      <w:bookmarkStart w:id="1724" w:name="_Toc372918093"/>
      <w:bookmarkStart w:id="1725" w:name="_Toc372918302"/>
      <w:bookmarkStart w:id="1726" w:name="_Toc372918505"/>
      <w:bookmarkStart w:id="1727" w:name="_Toc372918708"/>
      <w:bookmarkStart w:id="1728" w:name="_Toc372918913"/>
      <w:bookmarkStart w:id="1729" w:name="_Toc372919118"/>
      <w:bookmarkStart w:id="1730" w:name="_Toc372919319"/>
      <w:bookmarkStart w:id="1731" w:name="_Toc372919613"/>
      <w:bookmarkStart w:id="1732" w:name="_Toc372919810"/>
      <w:bookmarkStart w:id="1733" w:name="_Toc372920007"/>
      <w:bookmarkStart w:id="1734" w:name="_Toc372920204"/>
      <w:bookmarkStart w:id="1735" w:name="_Toc372920402"/>
      <w:bookmarkStart w:id="1736" w:name="_Toc372920599"/>
      <w:bookmarkStart w:id="1737" w:name="_Toc372920795"/>
      <w:bookmarkStart w:id="1738" w:name="_Toc372920991"/>
      <w:bookmarkStart w:id="1739" w:name="_Toc372921187"/>
      <w:bookmarkStart w:id="1740" w:name="_Toc372921383"/>
      <w:bookmarkStart w:id="1741" w:name="_Toc372921585"/>
      <w:bookmarkStart w:id="1742" w:name="_Toc372921781"/>
      <w:bookmarkStart w:id="1743" w:name="_Toc372921977"/>
      <w:bookmarkStart w:id="1744" w:name="_Toc372928257"/>
      <w:bookmarkStart w:id="1745" w:name="_Toc372928561"/>
      <w:bookmarkStart w:id="1746" w:name="_Toc372928757"/>
      <w:bookmarkStart w:id="1747" w:name="_Toc372981760"/>
      <w:bookmarkStart w:id="1748" w:name="_Toc373071987"/>
      <w:bookmarkStart w:id="1749" w:name="_Toc373147304"/>
      <w:bookmarkStart w:id="1750" w:name="_Toc373477840"/>
      <w:bookmarkStart w:id="1751" w:name="_Toc373480838"/>
      <w:bookmarkStart w:id="1752" w:name="_Toc372916561"/>
      <w:bookmarkStart w:id="1753" w:name="_Toc372916815"/>
      <w:bookmarkStart w:id="1754" w:name="_Toc372917036"/>
      <w:bookmarkStart w:id="1755" w:name="_Toc372917252"/>
      <w:bookmarkStart w:id="1756" w:name="_Toc372917466"/>
      <w:bookmarkStart w:id="1757" w:name="_Toc372917676"/>
      <w:bookmarkStart w:id="1758" w:name="_Toc372917885"/>
      <w:bookmarkStart w:id="1759" w:name="_Toc372918094"/>
      <w:bookmarkStart w:id="1760" w:name="_Toc372918303"/>
      <w:bookmarkStart w:id="1761" w:name="_Toc372918506"/>
      <w:bookmarkStart w:id="1762" w:name="_Toc372918709"/>
      <w:bookmarkStart w:id="1763" w:name="_Toc372918914"/>
      <w:bookmarkStart w:id="1764" w:name="_Toc372919119"/>
      <w:bookmarkStart w:id="1765" w:name="_Toc372919320"/>
      <w:bookmarkStart w:id="1766" w:name="_Toc372919614"/>
      <w:bookmarkStart w:id="1767" w:name="_Toc372919811"/>
      <w:bookmarkStart w:id="1768" w:name="_Toc372920008"/>
      <w:bookmarkStart w:id="1769" w:name="_Toc372920205"/>
      <w:bookmarkStart w:id="1770" w:name="_Toc372920403"/>
      <w:bookmarkStart w:id="1771" w:name="_Toc372920600"/>
      <w:bookmarkStart w:id="1772" w:name="_Toc372920796"/>
      <w:bookmarkStart w:id="1773" w:name="_Toc372920992"/>
      <w:bookmarkStart w:id="1774" w:name="_Toc372921188"/>
      <w:bookmarkStart w:id="1775" w:name="_Toc372921384"/>
      <w:bookmarkStart w:id="1776" w:name="_Toc372921586"/>
      <w:bookmarkStart w:id="1777" w:name="_Toc372921782"/>
      <w:bookmarkStart w:id="1778" w:name="_Toc372921978"/>
      <w:bookmarkStart w:id="1779" w:name="_Toc372928258"/>
      <w:bookmarkStart w:id="1780" w:name="_Toc372928562"/>
      <w:bookmarkStart w:id="1781" w:name="_Toc372928758"/>
      <w:bookmarkStart w:id="1782" w:name="_Toc372981761"/>
      <w:bookmarkStart w:id="1783" w:name="_Toc373071988"/>
      <w:bookmarkStart w:id="1784" w:name="_Toc373147305"/>
      <w:bookmarkStart w:id="1785" w:name="_Toc373477841"/>
      <w:bookmarkStart w:id="1786" w:name="_Toc373480839"/>
      <w:bookmarkStart w:id="1787" w:name="_Toc372916562"/>
      <w:bookmarkStart w:id="1788" w:name="_Toc372916816"/>
      <w:bookmarkStart w:id="1789" w:name="_Toc372917037"/>
      <w:bookmarkStart w:id="1790" w:name="_Toc372917253"/>
      <w:bookmarkStart w:id="1791" w:name="_Toc372917467"/>
      <w:bookmarkStart w:id="1792" w:name="_Toc372917677"/>
      <w:bookmarkStart w:id="1793" w:name="_Toc372917886"/>
      <w:bookmarkStart w:id="1794" w:name="_Toc372918095"/>
      <w:bookmarkStart w:id="1795" w:name="_Toc372918304"/>
      <w:bookmarkStart w:id="1796" w:name="_Toc372918507"/>
      <w:bookmarkStart w:id="1797" w:name="_Toc372918710"/>
      <w:bookmarkStart w:id="1798" w:name="_Toc372918915"/>
      <w:bookmarkStart w:id="1799" w:name="_Toc372919120"/>
      <w:bookmarkStart w:id="1800" w:name="_Toc372919321"/>
      <w:bookmarkStart w:id="1801" w:name="_Toc372919615"/>
      <w:bookmarkStart w:id="1802" w:name="_Toc372919812"/>
      <w:bookmarkStart w:id="1803" w:name="_Toc372920009"/>
      <w:bookmarkStart w:id="1804" w:name="_Toc372920206"/>
      <w:bookmarkStart w:id="1805" w:name="_Toc372920404"/>
      <w:bookmarkStart w:id="1806" w:name="_Toc372920601"/>
      <w:bookmarkStart w:id="1807" w:name="_Toc372920797"/>
      <w:bookmarkStart w:id="1808" w:name="_Toc372920993"/>
      <w:bookmarkStart w:id="1809" w:name="_Toc372921189"/>
      <w:bookmarkStart w:id="1810" w:name="_Toc372921385"/>
      <w:bookmarkStart w:id="1811" w:name="_Toc372921587"/>
      <w:bookmarkStart w:id="1812" w:name="_Toc372921783"/>
      <w:bookmarkStart w:id="1813" w:name="_Toc372921979"/>
      <w:bookmarkStart w:id="1814" w:name="_Toc372928259"/>
      <w:bookmarkStart w:id="1815" w:name="_Toc372928563"/>
      <w:bookmarkStart w:id="1816" w:name="_Toc372928759"/>
      <w:bookmarkStart w:id="1817" w:name="_Toc372981762"/>
      <w:bookmarkStart w:id="1818" w:name="_Toc373071989"/>
      <w:bookmarkStart w:id="1819" w:name="_Toc373147306"/>
      <w:bookmarkStart w:id="1820" w:name="_Toc373477842"/>
      <w:bookmarkStart w:id="1821" w:name="_Toc373480840"/>
      <w:bookmarkStart w:id="1822" w:name="_Toc372916563"/>
      <w:bookmarkStart w:id="1823" w:name="_Toc372916817"/>
      <w:bookmarkStart w:id="1824" w:name="_Toc372917038"/>
      <w:bookmarkStart w:id="1825" w:name="_Toc372917254"/>
      <w:bookmarkStart w:id="1826" w:name="_Toc372917468"/>
      <w:bookmarkStart w:id="1827" w:name="_Toc372917678"/>
      <w:bookmarkStart w:id="1828" w:name="_Toc372917887"/>
      <w:bookmarkStart w:id="1829" w:name="_Toc372918096"/>
      <w:bookmarkStart w:id="1830" w:name="_Toc372918305"/>
      <w:bookmarkStart w:id="1831" w:name="_Toc372918508"/>
      <w:bookmarkStart w:id="1832" w:name="_Toc372918711"/>
      <w:bookmarkStart w:id="1833" w:name="_Toc372918916"/>
      <w:bookmarkStart w:id="1834" w:name="_Toc372919121"/>
      <w:bookmarkStart w:id="1835" w:name="_Toc372919322"/>
      <w:bookmarkStart w:id="1836" w:name="_Toc372919616"/>
      <w:bookmarkStart w:id="1837" w:name="_Toc372919813"/>
      <w:bookmarkStart w:id="1838" w:name="_Toc372920010"/>
      <w:bookmarkStart w:id="1839" w:name="_Toc372920207"/>
      <w:bookmarkStart w:id="1840" w:name="_Toc372920405"/>
      <w:bookmarkStart w:id="1841" w:name="_Toc372920602"/>
      <w:bookmarkStart w:id="1842" w:name="_Toc372920798"/>
      <w:bookmarkStart w:id="1843" w:name="_Toc372920994"/>
      <w:bookmarkStart w:id="1844" w:name="_Toc372921190"/>
      <w:bookmarkStart w:id="1845" w:name="_Toc372921386"/>
      <w:bookmarkStart w:id="1846" w:name="_Toc372921588"/>
      <w:bookmarkStart w:id="1847" w:name="_Toc372921784"/>
      <w:bookmarkStart w:id="1848" w:name="_Toc372921980"/>
      <w:bookmarkStart w:id="1849" w:name="_Toc372928260"/>
      <w:bookmarkStart w:id="1850" w:name="_Toc372928564"/>
      <w:bookmarkStart w:id="1851" w:name="_Toc372928760"/>
      <w:bookmarkStart w:id="1852" w:name="_Toc372981763"/>
      <w:bookmarkStart w:id="1853" w:name="_Toc373071990"/>
      <w:bookmarkStart w:id="1854" w:name="_Toc373147307"/>
      <w:bookmarkStart w:id="1855" w:name="_Toc373477843"/>
      <w:bookmarkStart w:id="1856" w:name="_Toc373480841"/>
      <w:bookmarkStart w:id="1857" w:name="_Toc372916564"/>
      <w:bookmarkStart w:id="1858" w:name="_Toc372916818"/>
      <w:bookmarkStart w:id="1859" w:name="_Toc372917039"/>
      <w:bookmarkStart w:id="1860" w:name="_Toc372917255"/>
      <w:bookmarkStart w:id="1861" w:name="_Toc372917469"/>
      <w:bookmarkStart w:id="1862" w:name="_Toc372917679"/>
      <w:bookmarkStart w:id="1863" w:name="_Toc372917888"/>
      <w:bookmarkStart w:id="1864" w:name="_Toc372918097"/>
      <w:bookmarkStart w:id="1865" w:name="_Toc372918306"/>
      <w:bookmarkStart w:id="1866" w:name="_Toc372918509"/>
      <w:bookmarkStart w:id="1867" w:name="_Toc372918712"/>
      <w:bookmarkStart w:id="1868" w:name="_Toc372918917"/>
      <w:bookmarkStart w:id="1869" w:name="_Toc372919122"/>
      <w:bookmarkStart w:id="1870" w:name="_Toc372919323"/>
      <w:bookmarkStart w:id="1871" w:name="_Toc372919617"/>
      <w:bookmarkStart w:id="1872" w:name="_Toc372919814"/>
      <w:bookmarkStart w:id="1873" w:name="_Toc372920011"/>
      <w:bookmarkStart w:id="1874" w:name="_Toc372920208"/>
      <w:bookmarkStart w:id="1875" w:name="_Toc372920406"/>
      <w:bookmarkStart w:id="1876" w:name="_Toc372920603"/>
      <w:bookmarkStart w:id="1877" w:name="_Toc372920799"/>
      <w:bookmarkStart w:id="1878" w:name="_Toc372920995"/>
      <w:bookmarkStart w:id="1879" w:name="_Toc372921191"/>
      <w:bookmarkStart w:id="1880" w:name="_Toc372921387"/>
      <w:bookmarkStart w:id="1881" w:name="_Toc372921589"/>
      <w:bookmarkStart w:id="1882" w:name="_Toc372921785"/>
      <w:bookmarkStart w:id="1883" w:name="_Toc372921981"/>
      <w:bookmarkStart w:id="1884" w:name="_Toc372928261"/>
      <w:bookmarkStart w:id="1885" w:name="_Toc372928565"/>
      <w:bookmarkStart w:id="1886" w:name="_Toc372928761"/>
      <w:bookmarkStart w:id="1887" w:name="_Toc372981764"/>
      <w:bookmarkStart w:id="1888" w:name="_Toc373071991"/>
      <w:bookmarkStart w:id="1889" w:name="_Toc373147308"/>
      <w:bookmarkStart w:id="1890" w:name="_Toc373477844"/>
      <w:bookmarkStart w:id="1891" w:name="_Toc373480842"/>
      <w:bookmarkStart w:id="1892" w:name="_Toc372916565"/>
      <w:bookmarkStart w:id="1893" w:name="_Toc372916819"/>
      <w:bookmarkStart w:id="1894" w:name="_Toc372917040"/>
      <w:bookmarkStart w:id="1895" w:name="_Toc372917256"/>
      <w:bookmarkStart w:id="1896" w:name="_Toc372917470"/>
      <w:bookmarkStart w:id="1897" w:name="_Toc372917680"/>
      <w:bookmarkStart w:id="1898" w:name="_Toc372917889"/>
      <w:bookmarkStart w:id="1899" w:name="_Toc372918098"/>
      <w:bookmarkStart w:id="1900" w:name="_Toc372918307"/>
      <w:bookmarkStart w:id="1901" w:name="_Toc372918510"/>
      <w:bookmarkStart w:id="1902" w:name="_Toc372918713"/>
      <w:bookmarkStart w:id="1903" w:name="_Toc372918918"/>
      <w:bookmarkStart w:id="1904" w:name="_Toc372919123"/>
      <w:bookmarkStart w:id="1905" w:name="_Toc372919324"/>
      <w:bookmarkStart w:id="1906" w:name="_Toc372919618"/>
      <w:bookmarkStart w:id="1907" w:name="_Toc372919815"/>
      <w:bookmarkStart w:id="1908" w:name="_Toc372920012"/>
      <w:bookmarkStart w:id="1909" w:name="_Toc372920209"/>
      <w:bookmarkStart w:id="1910" w:name="_Toc372920407"/>
      <w:bookmarkStart w:id="1911" w:name="_Toc372920604"/>
      <w:bookmarkStart w:id="1912" w:name="_Toc372920800"/>
      <w:bookmarkStart w:id="1913" w:name="_Toc372920996"/>
      <w:bookmarkStart w:id="1914" w:name="_Toc372921192"/>
      <w:bookmarkStart w:id="1915" w:name="_Toc372921388"/>
      <w:bookmarkStart w:id="1916" w:name="_Toc372921590"/>
      <w:bookmarkStart w:id="1917" w:name="_Toc372921786"/>
      <w:bookmarkStart w:id="1918" w:name="_Toc372921982"/>
      <w:bookmarkStart w:id="1919" w:name="_Toc372928262"/>
      <w:bookmarkStart w:id="1920" w:name="_Toc372928566"/>
      <w:bookmarkStart w:id="1921" w:name="_Toc372928762"/>
      <w:bookmarkStart w:id="1922" w:name="_Toc372981765"/>
      <w:bookmarkStart w:id="1923" w:name="_Toc373071992"/>
      <w:bookmarkStart w:id="1924" w:name="_Toc373147309"/>
      <w:bookmarkStart w:id="1925" w:name="_Toc373477845"/>
      <w:bookmarkStart w:id="1926" w:name="_Toc373480843"/>
      <w:bookmarkStart w:id="1927" w:name="_Toc372916566"/>
      <w:bookmarkStart w:id="1928" w:name="_Toc372916820"/>
      <w:bookmarkStart w:id="1929" w:name="_Toc372917041"/>
      <w:bookmarkStart w:id="1930" w:name="_Toc372917257"/>
      <w:bookmarkStart w:id="1931" w:name="_Toc372917471"/>
      <w:bookmarkStart w:id="1932" w:name="_Toc372917681"/>
      <w:bookmarkStart w:id="1933" w:name="_Toc372917890"/>
      <w:bookmarkStart w:id="1934" w:name="_Toc372918099"/>
      <w:bookmarkStart w:id="1935" w:name="_Toc372918308"/>
      <w:bookmarkStart w:id="1936" w:name="_Toc372918511"/>
      <w:bookmarkStart w:id="1937" w:name="_Toc372918714"/>
      <w:bookmarkStart w:id="1938" w:name="_Toc372918919"/>
      <w:bookmarkStart w:id="1939" w:name="_Toc372919124"/>
      <w:bookmarkStart w:id="1940" w:name="_Toc372919325"/>
      <w:bookmarkStart w:id="1941" w:name="_Toc372919619"/>
      <w:bookmarkStart w:id="1942" w:name="_Toc372919816"/>
      <w:bookmarkStart w:id="1943" w:name="_Toc372920013"/>
      <w:bookmarkStart w:id="1944" w:name="_Toc372920210"/>
      <w:bookmarkStart w:id="1945" w:name="_Toc372920408"/>
      <w:bookmarkStart w:id="1946" w:name="_Toc372920605"/>
      <w:bookmarkStart w:id="1947" w:name="_Toc372920801"/>
      <w:bookmarkStart w:id="1948" w:name="_Toc372920997"/>
      <w:bookmarkStart w:id="1949" w:name="_Toc372921193"/>
      <w:bookmarkStart w:id="1950" w:name="_Toc372921389"/>
      <w:bookmarkStart w:id="1951" w:name="_Toc372921591"/>
      <w:bookmarkStart w:id="1952" w:name="_Toc372921787"/>
      <w:bookmarkStart w:id="1953" w:name="_Toc372921983"/>
      <w:bookmarkStart w:id="1954" w:name="_Toc372928263"/>
      <w:bookmarkStart w:id="1955" w:name="_Toc372928567"/>
      <w:bookmarkStart w:id="1956" w:name="_Toc372928763"/>
      <w:bookmarkStart w:id="1957" w:name="_Toc372981766"/>
      <w:bookmarkStart w:id="1958" w:name="_Toc373071993"/>
      <w:bookmarkStart w:id="1959" w:name="_Toc373147310"/>
      <w:bookmarkStart w:id="1960" w:name="_Toc373477846"/>
      <w:bookmarkStart w:id="1961" w:name="_Toc373480844"/>
      <w:bookmarkStart w:id="1962" w:name="_Toc372916567"/>
      <w:bookmarkStart w:id="1963" w:name="_Toc372916821"/>
      <w:bookmarkStart w:id="1964" w:name="_Toc372917042"/>
      <w:bookmarkStart w:id="1965" w:name="_Toc372917258"/>
      <w:bookmarkStart w:id="1966" w:name="_Toc372917472"/>
      <w:bookmarkStart w:id="1967" w:name="_Toc372917682"/>
      <w:bookmarkStart w:id="1968" w:name="_Toc372917891"/>
      <w:bookmarkStart w:id="1969" w:name="_Toc372918100"/>
      <w:bookmarkStart w:id="1970" w:name="_Toc372918309"/>
      <w:bookmarkStart w:id="1971" w:name="_Toc372918512"/>
      <w:bookmarkStart w:id="1972" w:name="_Toc372918715"/>
      <w:bookmarkStart w:id="1973" w:name="_Toc372918920"/>
      <w:bookmarkStart w:id="1974" w:name="_Toc372919125"/>
      <w:bookmarkStart w:id="1975" w:name="_Toc372919326"/>
      <w:bookmarkStart w:id="1976" w:name="_Toc372919620"/>
      <w:bookmarkStart w:id="1977" w:name="_Toc372919817"/>
      <w:bookmarkStart w:id="1978" w:name="_Toc372920014"/>
      <w:bookmarkStart w:id="1979" w:name="_Toc372920211"/>
      <w:bookmarkStart w:id="1980" w:name="_Toc372920409"/>
      <w:bookmarkStart w:id="1981" w:name="_Toc372920606"/>
      <w:bookmarkStart w:id="1982" w:name="_Toc372920802"/>
      <w:bookmarkStart w:id="1983" w:name="_Toc372920998"/>
      <w:bookmarkStart w:id="1984" w:name="_Toc372921194"/>
      <w:bookmarkStart w:id="1985" w:name="_Toc372921390"/>
      <w:bookmarkStart w:id="1986" w:name="_Toc372921592"/>
      <w:bookmarkStart w:id="1987" w:name="_Toc372921788"/>
      <w:bookmarkStart w:id="1988" w:name="_Toc372921984"/>
      <w:bookmarkStart w:id="1989" w:name="_Toc372928264"/>
      <w:bookmarkStart w:id="1990" w:name="_Toc372928568"/>
      <w:bookmarkStart w:id="1991" w:name="_Toc372928764"/>
      <w:bookmarkStart w:id="1992" w:name="_Toc372981767"/>
      <w:bookmarkStart w:id="1993" w:name="_Toc373071994"/>
      <w:bookmarkStart w:id="1994" w:name="_Toc373147311"/>
      <w:bookmarkStart w:id="1995" w:name="_Toc373477847"/>
      <w:bookmarkStart w:id="1996" w:name="_Toc373480845"/>
      <w:bookmarkStart w:id="1997" w:name="_Toc372916568"/>
      <w:bookmarkStart w:id="1998" w:name="_Toc372916822"/>
      <w:bookmarkStart w:id="1999" w:name="_Toc372917043"/>
      <w:bookmarkStart w:id="2000" w:name="_Toc372917259"/>
      <w:bookmarkStart w:id="2001" w:name="_Toc372917473"/>
      <w:bookmarkStart w:id="2002" w:name="_Toc372917683"/>
      <w:bookmarkStart w:id="2003" w:name="_Toc372917892"/>
      <w:bookmarkStart w:id="2004" w:name="_Toc372918101"/>
      <w:bookmarkStart w:id="2005" w:name="_Toc372918310"/>
      <w:bookmarkStart w:id="2006" w:name="_Toc372918513"/>
      <w:bookmarkStart w:id="2007" w:name="_Toc372918716"/>
      <w:bookmarkStart w:id="2008" w:name="_Toc372918921"/>
      <w:bookmarkStart w:id="2009" w:name="_Toc372919126"/>
      <w:bookmarkStart w:id="2010" w:name="_Toc372919327"/>
      <w:bookmarkStart w:id="2011" w:name="_Toc372919621"/>
      <w:bookmarkStart w:id="2012" w:name="_Toc372919818"/>
      <w:bookmarkStart w:id="2013" w:name="_Toc372920015"/>
      <w:bookmarkStart w:id="2014" w:name="_Toc372920212"/>
      <w:bookmarkStart w:id="2015" w:name="_Toc372920410"/>
      <w:bookmarkStart w:id="2016" w:name="_Toc372920607"/>
      <w:bookmarkStart w:id="2017" w:name="_Toc372920803"/>
      <w:bookmarkStart w:id="2018" w:name="_Toc372920999"/>
      <w:bookmarkStart w:id="2019" w:name="_Toc372921195"/>
      <w:bookmarkStart w:id="2020" w:name="_Toc372921391"/>
      <w:bookmarkStart w:id="2021" w:name="_Toc372921593"/>
      <w:bookmarkStart w:id="2022" w:name="_Toc372921789"/>
      <w:bookmarkStart w:id="2023" w:name="_Toc372921985"/>
      <w:bookmarkStart w:id="2024" w:name="_Toc372928265"/>
      <w:bookmarkStart w:id="2025" w:name="_Toc372928569"/>
      <w:bookmarkStart w:id="2026" w:name="_Toc372928765"/>
      <w:bookmarkStart w:id="2027" w:name="_Toc372981768"/>
      <w:bookmarkStart w:id="2028" w:name="_Toc373071995"/>
      <w:bookmarkStart w:id="2029" w:name="_Toc373147312"/>
      <w:bookmarkStart w:id="2030" w:name="_Toc373477848"/>
      <w:bookmarkStart w:id="2031" w:name="_Toc373480846"/>
      <w:bookmarkStart w:id="2032" w:name="_Toc372916569"/>
      <w:bookmarkStart w:id="2033" w:name="_Toc372916823"/>
      <w:bookmarkStart w:id="2034" w:name="_Toc372917044"/>
      <w:bookmarkStart w:id="2035" w:name="_Toc372917260"/>
      <w:bookmarkStart w:id="2036" w:name="_Toc372917474"/>
      <w:bookmarkStart w:id="2037" w:name="_Toc372917684"/>
      <w:bookmarkStart w:id="2038" w:name="_Toc372917893"/>
      <w:bookmarkStart w:id="2039" w:name="_Toc372918102"/>
      <w:bookmarkStart w:id="2040" w:name="_Toc372918311"/>
      <w:bookmarkStart w:id="2041" w:name="_Toc372918514"/>
      <w:bookmarkStart w:id="2042" w:name="_Toc372918717"/>
      <w:bookmarkStart w:id="2043" w:name="_Toc372918922"/>
      <w:bookmarkStart w:id="2044" w:name="_Toc372919127"/>
      <w:bookmarkStart w:id="2045" w:name="_Toc372919328"/>
      <w:bookmarkStart w:id="2046" w:name="_Toc372919622"/>
      <w:bookmarkStart w:id="2047" w:name="_Toc372919819"/>
      <w:bookmarkStart w:id="2048" w:name="_Toc372920016"/>
      <w:bookmarkStart w:id="2049" w:name="_Toc372920213"/>
      <w:bookmarkStart w:id="2050" w:name="_Toc372920411"/>
      <w:bookmarkStart w:id="2051" w:name="_Toc372920608"/>
      <w:bookmarkStart w:id="2052" w:name="_Toc372920804"/>
      <w:bookmarkStart w:id="2053" w:name="_Toc372921000"/>
      <w:bookmarkStart w:id="2054" w:name="_Toc372921196"/>
      <w:bookmarkStart w:id="2055" w:name="_Toc372921392"/>
      <w:bookmarkStart w:id="2056" w:name="_Toc372921594"/>
      <w:bookmarkStart w:id="2057" w:name="_Toc372921790"/>
      <w:bookmarkStart w:id="2058" w:name="_Toc372921986"/>
      <w:bookmarkStart w:id="2059" w:name="_Toc372928266"/>
      <w:bookmarkStart w:id="2060" w:name="_Toc372928570"/>
      <w:bookmarkStart w:id="2061" w:name="_Toc372928766"/>
      <w:bookmarkStart w:id="2062" w:name="_Toc372981769"/>
      <w:bookmarkStart w:id="2063" w:name="_Toc373071996"/>
      <w:bookmarkStart w:id="2064" w:name="_Toc373147313"/>
      <w:bookmarkStart w:id="2065" w:name="_Toc373477849"/>
      <w:bookmarkStart w:id="2066" w:name="_Toc373480847"/>
      <w:bookmarkStart w:id="2067" w:name="_Toc372916570"/>
      <w:bookmarkStart w:id="2068" w:name="_Toc372916824"/>
      <w:bookmarkStart w:id="2069" w:name="_Toc372917045"/>
      <w:bookmarkStart w:id="2070" w:name="_Toc372917261"/>
      <w:bookmarkStart w:id="2071" w:name="_Toc372917475"/>
      <w:bookmarkStart w:id="2072" w:name="_Toc372917685"/>
      <w:bookmarkStart w:id="2073" w:name="_Toc372917894"/>
      <w:bookmarkStart w:id="2074" w:name="_Toc372918103"/>
      <w:bookmarkStart w:id="2075" w:name="_Toc372918312"/>
      <w:bookmarkStart w:id="2076" w:name="_Toc372918515"/>
      <w:bookmarkStart w:id="2077" w:name="_Toc372918718"/>
      <w:bookmarkStart w:id="2078" w:name="_Toc372918923"/>
      <w:bookmarkStart w:id="2079" w:name="_Toc372919128"/>
      <w:bookmarkStart w:id="2080" w:name="_Toc372919329"/>
      <w:bookmarkStart w:id="2081" w:name="_Toc372919623"/>
      <w:bookmarkStart w:id="2082" w:name="_Toc372919820"/>
      <w:bookmarkStart w:id="2083" w:name="_Toc372920017"/>
      <w:bookmarkStart w:id="2084" w:name="_Toc372920214"/>
      <w:bookmarkStart w:id="2085" w:name="_Toc372920412"/>
      <w:bookmarkStart w:id="2086" w:name="_Toc372920609"/>
      <w:bookmarkStart w:id="2087" w:name="_Toc372920805"/>
      <w:bookmarkStart w:id="2088" w:name="_Toc372921001"/>
      <w:bookmarkStart w:id="2089" w:name="_Toc372921197"/>
      <w:bookmarkStart w:id="2090" w:name="_Toc372921393"/>
      <w:bookmarkStart w:id="2091" w:name="_Toc372921595"/>
      <w:bookmarkStart w:id="2092" w:name="_Toc372921791"/>
      <w:bookmarkStart w:id="2093" w:name="_Toc372921987"/>
      <w:bookmarkStart w:id="2094" w:name="_Toc372928267"/>
      <w:bookmarkStart w:id="2095" w:name="_Toc372928571"/>
      <w:bookmarkStart w:id="2096" w:name="_Toc372928767"/>
      <w:bookmarkStart w:id="2097" w:name="_Toc372981770"/>
      <w:bookmarkStart w:id="2098" w:name="_Toc373071997"/>
      <w:bookmarkStart w:id="2099" w:name="_Toc373147314"/>
      <w:bookmarkStart w:id="2100" w:name="_Toc373477850"/>
      <w:bookmarkStart w:id="2101" w:name="_Toc373480848"/>
      <w:bookmarkStart w:id="2102" w:name="_Toc372916571"/>
      <w:bookmarkStart w:id="2103" w:name="_Toc372916825"/>
      <w:bookmarkStart w:id="2104" w:name="_Toc372917046"/>
      <w:bookmarkStart w:id="2105" w:name="_Toc372917262"/>
      <w:bookmarkStart w:id="2106" w:name="_Toc372917476"/>
      <w:bookmarkStart w:id="2107" w:name="_Toc372917686"/>
      <w:bookmarkStart w:id="2108" w:name="_Toc372917895"/>
      <w:bookmarkStart w:id="2109" w:name="_Toc372918104"/>
      <w:bookmarkStart w:id="2110" w:name="_Toc372918313"/>
      <w:bookmarkStart w:id="2111" w:name="_Toc372918516"/>
      <w:bookmarkStart w:id="2112" w:name="_Toc372918719"/>
      <w:bookmarkStart w:id="2113" w:name="_Toc372918924"/>
      <w:bookmarkStart w:id="2114" w:name="_Toc372919129"/>
      <w:bookmarkStart w:id="2115" w:name="_Toc372919330"/>
      <w:bookmarkStart w:id="2116" w:name="_Toc372919624"/>
      <w:bookmarkStart w:id="2117" w:name="_Toc372919821"/>
      <w:bookmarkStart w:id="2118" w:name="_Toc372920018"/>
      <w:bookmarkStart w:id="2119" w:name="_Toc372920215"/>
      <w:bookmarkStart w:id="2120" w:name="_Toc372920413"/>
      <w:bookmarkStart w:id="2121" w:name="_Toc372920610"/>
      <w:bookmarkStart w:id="2122" w:name="_Toc372920806"/>
      <w:bookmarkStart w:id="2123" w:name="_Toc372921002"/>
      <w:bookmarkStart w:id="2124" w:name="_Toc372921198"/>
      <w:bookmarkStart w:id="2125" w:name="_Toc372921394"/>
      <w:bookmarkStart w:id="2126" w:name="_Toc372921596"/>
      <w:bookmarkStart w:id="2127" w:name="_Toc372921792"/>
      <w:bookmarkStart w:id="2128" w:name="_Toc372921988"/>
      <w:bookmarkStart w:id="2129" w:name="_Toc372928268"/>
      <w:bookmarkStart w:id="2130" w:name="_Toc372928572"/>
      <w:bookmarkStart w:id="2131" w:name="_Toc372928768"/>
      <w:bookmarkStart w:id="2132" w:name="_Toc372981771"/>
      <w:bookmarkStart w:id="2133" w:name="_Toc373071998"/>
      <w:bookmarkStart w:id="2134" w:name="_Toc373147315"/>
      <w:bookmarkStart w:id="2135" w:name="_Toc373477851"/>
      <w:bookmarkStart w:id="2136" w:name="_Toc373480849"/>
      <w:bookmarkStart w:id="2137" w:name="_Toc372916572"/>
      <w:bookmarkStart w:id="2138" w:name="_Toc372916826"/>
      <w:bookmarkStart w:id="2139" w:name="_Toc372917047"/>
      <w:bookmarkStart w:id="2140" w:name="_Toc372917263"/>
      <w:bookmarkStart w:id="2141" w:name="_Toc372917477"/>
      <w:bookmarkStart w:id="2142" w:name="_Toc372917687"/>
      <w:bookmarkStart w:id="2143" w:name="_Toc372917896"/>
      <w:bookmarkStart w:id="2144" w:name="_Toc372918105"/>
      <w:bookmarkStart w:id="2145" w:name="_Toc372918314"/>
      <w:bookmarkStart w:id="2146" w:name="_Toc372918517"/>
      <w:bookmarkStart w:id="2147" w:name="_Toc372918720"/>
      <w:bookmarkStart w:id="2148" w:name="_Toc372918925"/>
      <w:bookmarkStart w:id="2149" w:name="_Toc372919130"/>
      <w:bookmarkStart w:id="2150" w:name="_Toc372919331"/>
      <w:bookmarkStart w:id="2151" w:name="_Toc372919625"/>
      <w:bookmarkStart w:id="2152" w:name="_Toc372919822"/>
      <w:bookmarkStart w:id="2153" w:name="_Toc372920019"/>
      <w:bookmarkStart w:id="2154" w:name="_Toc372920216"/>
      <w:bookmarkStart w:id="2155" w:name="_Toc372920414"/>
      <w:bookmarkStart w:id="2156" w:name="_Toc372920611"/>
      <w:bookmarkStart w:id="2157" w:name="_Toc372920807"/>
      <w:bookmarkStart w:id="2158" w:name="_Toc372921003"/>
      <w:bookmarkStart w:id="2159" w:name="_Toc372921199"/>
      <w:bookmarkStart w:id="2160" w:name="_Toc372921395"/>
      <w:bookmarkStart w:id="2161" w:name="_Toc372921597"/>
      <w:bookmarkStart w:id="2162" w:name="_Toc372921793"/>
      <w:bookmarkStart w:id="2163" w:name="_Toc372921989"/>
      <w:bookmarkStart w:id="2164" w:name="_Toc372928269"/>
      <w:bookmarkStart w:id="2165" w:name="_Toc372928573"/>
      <w:bookmarkStart w:id="2166" w:name="_Toc372928769"/>
      <w:bookmarkStart w:id="2167" w:name="_Toc372981772"/>
      <w:bookmarkStart w:id="2168" w:name="_Toc373071999"/>
      <w:bookmarkStart w:id="2169" w:name="_Toc373147316"/>
      <w:bookmarkStart w:id="2170" w:name="_Toc373477852"/>
      <w:bookmarkStart w:id="2171" w:name="_Toc373480850"/>
      <w:bookmarkStart w:id="2172" w:name="_Toc372916573"/>
      <w:bookmarkStart w:id="2173" w:name="_Toc372916827"/>
      <w:bookmarkStart w:id="2174" w:name="_Toc372917048"/>
      <w:bookmarkStart w:id="2175" w:name="_Toc372917264"/>
      <w:bookmarkStart w:id="2176" w:name="_Toc372917478"/>
      <w:bookmarkStart w:id="2177" w:name="_Toc372917688"/>
      <w:bookmarkStart w:id="2178" w:name="_Toc372917897"/>
      <w:bookmarkStart w:id="2179" w:name="_Toc372918106"/>
      <w:bookmarkStart w:id="2180" w:name="_Toc372918315"/>
      <w:bookmarkStart w:id="2181" w:name="_Toc372918518"/>
      <w:bookmarkStart w:id="2182" w:name="_Toc372918721"/>
      <w:bookmarkStart w:id="2183" w:name="_Toc372918926"/>
      <w:bookmarkStart w:id="2184" w:name="_Toc372919131"/>
      <w:bookmarkStart w:id="2185" w:name="_Toc372919332"/>
      <w:bookmarkStart w:id="2186" w:name="_Toc372919626"/>
      <w:bookmarkStart w:id="2187" w:name="_Toc372919823"/>
      <w:bookmarkStart w:id="2188" w:name="_Toc372920020"/>
      <w:bookmarkStart w:id="2189" w:name="_Toc372920217"/>
      <w:bookmarkStart w:id="2190" w:name="_Toc372920415"/>
      <w:bookmarkStart w:id="2191" w:name="_Toc372920612"/>
      <w:bookmarkStart w:id="2192" w:name="_Toc372920808"/>
      <w:bookmarkStart w:id="2193" w:name="_Toc372921004"/>
      <w:bookmarkStart w:id="2194" w:name="_Toc372921200"/>
      <w:bookmarkStart w:id="2195" w:name="_Toc372921396"/>
      <w:bookmarkStart w:id="2196" w:name="_Toc372921598"/>
      <w:bookmarkStart w:id="2197" w:name="_Toc372921794"/>
      <w:bookmarkStart w:id="2198" w:name="_Toc372921990"/>
      <w:bookmarkStart w:id="2199" w:name="_Toc372928270"/>
      <w:bookmarkStart w:id="2200" w:name="_Toc372928574"/>
      <w:bookmarkStart w:id="2201" w:name="_Toc372928770"/>
      <w:bookmarkStart w:id="2202" w:name="_Toc372981773"/>
      <w:bookmarkStart w:id="2203" w:name="_Toc373072000"/>
      <w:bookmarkStart w:id="2204" w:name="_Toc373147317"/>
      <w:bookmarkStart w:id="2205" w:name="_Toc373477853"/>
      <w:bookmarkStart w:id="2206" w:name="_Toc373480851"/>
      <w:bookmarkStart w:id="2207" w:name="_Toc372916574"/>
      <w:bookmarkStart w:id="2208" w:name="_Toc372916828"/>
      <w:bookmarkStart w:id="2209" w:name="_Toc372917049"/>
      <w:bookmarkStart w:id="2210" w:name="_Toc372917265"/>
      <w:bookmarkStart w:id="2211" w:name="_Toc372917479"/>
      <w:bookmarkStart w:id="2212" w:name="_Toc372917689"/>
      <w:bookmarkStart w:id="2213" w:name="_Toc372917898"/>
      <w:bookmarkStart w:id="2214" w:name="_Toc372918107"/>
      <w:bookmarkStart w:id="2215" w:name="_Toc372918316"/>
      <w:bookmarkStart w:id="2216" w:name="_Toc372918519"/>
      <w:bookmarkStart w:id="2217" w:name="_Toc372918722"/>
      <w:bookmarkStart w:id="2218" w:name="_Toc372918927"/>
      <w:bookmarkStart w:id="2219" w:name="_Toc372919132"/>
      <w:bookmarkStart w:id="2220" w:name="_Toc372919333"/>
      <w:bookmarkStart w:id="2221" w:name="_Toc372919627"/>
      <w:bookmarkStart w:id="2222" w:name="_Toc372919824"/>
      <w:bookmarkStart w:id="2223" w:name="_Toc372920021"/>
      <w:bookmarkStart w:id="2224" w:name="_Toc372920218"/>
      <w:bookmarkStart w:id="2225" w:name="_Toc372920416"/>
      <w:bookmarkStart w:id="2226" w:name="_Toc372920613"/>
      <w:bookmarkStart w:id="2227" w:name="_Toc372920809"/>
      <w:bookmarkStart w:id="2228" w:name="_Toc372921005"/>
      <w:bookmarkStart w:id="2229" w:name="_Toc372921201"/>
      <w:bookmarkStart w:id="2230" w:name="_Toc372921397"/>
      <w:bookmarkStart w:id="2231" w:name="_Toc372921599"/>
      <w:bookmarkStart w:id="2232" w:name="_Toc372921795"/>
      <w:bookmarkStart w:id="2233" w:name="_Toc372921991"/>
      <w:bookmarkStart w:id="2234" w:name="_Toc372928271"/>
      <w:bookmarkStart w:id="2235" w:name="_Toc372928575"/>
      <w:bookmarkStart w:id="2236" w:name="_Toc372928771"/>
      <w:bookmarkStart w:id="2237" w:name="_Toc372981774"/>
      <w:bookmarkStart w:id="2238" w:name="_Toc373072001"/>
      <w:bookmarkStart w:id="2239" w:name="_Toc373147318"/>
      <w:bookmarkStart w:id="2240" w:name="_Toc373477854"/>
      <w:bookmarkStart w:id="2241" w:name="_Toc373480852"/>
      <w:bookmarkStart w:id="2242" w:name="_Toc372916575"/>
      <w:bookmarkStart w:id="2243" w:name="_Toc372916829"/>
      <w:bookmarkStart w:id="2244" w:name="_Toc372917050"/>
      <w:bookmarkStart w:id="2245" w:name="_Toc372917266"/>
      <w:bookmarkStart w:id="2246" w:name="_Toc372917480"/>
      <w:bookmarkStart w:id="2247" w:name="_Toc372917690"/>
      <w:bookmarkStart w:id="2248" w:name="_Toc372917899"/>
      <w:bookmarkStart w:id="2249" w:name="_Toc372918108"/>
      <w:bookmarkStart w:id="2250" w:name="_Toc372918317"/>
      <w:bookmarkStart w:id="2251" w:name="_Toc372918520"/>
      <w:bookmarkStart w:id="2252" w:name="_Toc372918723"/>
      <w:bookmarkStart w:id="2253" w:name="_Toc372918928"/>
      <w:bookmarkStart w:id="2254" w:name="_Toc372919133"/>
      <w:bookmarkStart w:id="2255" w:name="_Toc372919334"/>
      <w:bookmarkStart w:id="2256" w:name="_Toc372919628"/>
      <w:bookmarkStart w:id="2257" w:name="_Toc372919825"/>
      <w:bookmarkStart w:id="2258" w:name="_Toc372920022"/>
      <w:bookmarkStart w:id="2259" w:name="_Toc372920219"/>
      <w:bookmarkStart w:id="2260" w:name="_Toc372920417"/>
      <w:bookmarkStart w:id="2261" w:name="_Toc372920614"/>
      <w:bookmarkStart w:id="2262" w:name="_Toc372920810"/>
      <w:bookmarkStart w:id="2263" w:name="_Toc372921006"/>
      <w:bookmarkStart w:id="2264" w:name="_Toc372921202"/>
      <w:bookmarkStart w:id="2265" w:name="_Toc372921398"/>
      <w:bookmarkStart w:id="2266" w:name="_Toc372921600"/>
      <w:bookmarkStart w:id="2267" w:name="_Toc372921796"/>
      <w:bookmarkStart w:id="2268" w:name="_Toc372921992"/>
      <w:bookmarkStart w:id="2269" w:name="_Toc372928272"/>
      <w:bookmarkStart w:id="2270" w:name="_Toc372928576"/>
      <w:bookmarkStart w:id="2271" w:name="_Toc372928772"/>
      <w:bookmarkStart w:id="2272" w:name="_Toc372981775"/>
      <w:bookmarkStart w:id="2273" w:name="_Toc373072002"/>
      <w:bookmarkStart w:id="2274" w:name="_Toc373147319"/>
      <w:bookmarkStart w:id="2275" w:name="_Toc373477855"/>
      <w:bookmarkStart w:id="2276" w:name="_Toc373480853"/>
      <w:bookmarkStart w:id="2277" w:name="_Toc372916576"/>
      <w:bookmarkStart w:id="2278" w:name="_Toc372916830"/>
      <w:bookmarkStart w:id="2279" w:name="_Toc372917051"/>
      <w:bookmarkStart w:id="2280" w:name="_Toc372917267"/>
      <w:bookmarkStart w:id="2281" w:name="_Toc372917481"/>
      <w:bookmarkStart w:id="2282" w:name="_Toc372917691"/>
      <w:bookmarkStart w:id="2283" w:name="_Toc372917900"/>
      <w:bookmarkStart w:id="2284" w:name="_Toc372918109"/>
      <w:bookmarkStart w:id="2285" w:name="_Toc372918318"/>
      <w:bookmarkStart w:id="2286" w:name="_Toc372918521"/>
      <w:bookmarkStart w:id="2287" w:name="_Toc372918724"/>
      <w:bookmarkStart w:id="2288" w:name="_Toc372918929"/>
      <w:bookmarkStart w:id="2289" w:name="_Toc372919134"/>
      <w:bookmarkStart w:id="2290" w:name="_Toc372919335"/>
      <w:bookmarkStart w:id="2291" w:name="_Toc372919629"/>
      <w:bookmarkStart w:id="2292" w:name="_Toc372919826"/>
      <w:bookmarkStart w:id="2293" w:name="_Toc372920023"/>
      <w:bookmarkStart w:id="2294" w:name="_Toc372920220"/>
      <w:bookmarkStart w:id="2295" w:name="_Toc372920418"/>
      <w:bookmarkStart w:id="2296" w:name="_Toc372920615"/>
      <w:bookmarkStart w:id="2297" w:name="_Toc372920811"/>
      <w:bookmarkStart w:id="2298" w:name="_Toc372921007"/>
      <w:bookmarkStart w:id="2299" w:name="_Toc372921203"/>
      <w:bookmarkStart w:id="2300" w:name="_Toc372921399"/>
      <w:bookmarkStart w:id="2301" w:name="_Toc372921601"/>
      <w:bookmarkStart w:id="2302" w:name="_Toc372921797"/>
      <w:bookmarkStart w:id="2303" w:name="_Toc372921993"/>
      <w:bookmarkStart w:id="2304" w:name="_Toc372928273"/>
      <w:bookmarkStart w:id="2305" w:name="_Toc372928577"/>
      <w:bookmarkStart w:id="2306" w:name="_Toc372928773"/>
      <w:bookmarkStart w:id="2307" w:name="_Toc372981776"/>
      <w:bookmarkStart w:id="2308" w:name="_Toc373072003"/>
      <w:bookmarkStart w:id="2309" w:name="_Toc373147320"/>
      <w:bookmarkStart w:id="2310" w:name="_Toc373477856"/>
      <w:bookmarkStart w:id="2311" w:name="_Toc373480854"/>
      <w:bookmarkStart w:id="2312" w:name="_Toc372916577"/>
      <w:bookmarkStart w:id="2313" w:name="_Toc372916831"/>
      <w:bookmarkStart w:id="2314" w:name="_Toc372917052"/>
      <w:bookmarkStart w:id="2315" w:name="_Toc372917268"/>
      <w:bookmarkStart w:id="2316" w:name="_Toc372917482"/>
      <w:bookmarkStart w:id="2317" w:name="_Toc372917692"/>
      <w:bookmarkStart w:id="2318" w:name="_Toc372917901"/>
      <w:bookmarkStart w:id="2319" w:name="_Toc372918110"/>
      <w:bookmarkStart w:id="2320" w:name="_Toc372918319"/>
      <w:bookmarkStart w:id="2321" w:name="_Toc372918522"/>
      <w:bookmarkStart w:id="2322" w:name="_Toc372918725"/>
      <w:bookmarkStart w:id="2323" w:name="_Toc372918930"/>
      <w:bookmarkStart w:id="2324" w:name="_Toc372919135"/>
      <w:bookmarkStart w:id="2325" w:name="_Toc372919336"/>
      <w:bookmarkStart w:id="2326" w:name="_Toc372919630"/>
      <w:bookmarkStart w:id="2327" w:name="_Toc372919827"/>
      <w:bookmarkStart w:id="2328" w:name="_Toc372920024"/>
      <w:bookmarkStart w:id="2329" w:name="_Toc372920221"/>
      <w:bookmarkStart w:id="2330" w:name="_Toc372920419"/>
      <w:bookmarkStart w:id="2331" w:name="_Toc372920616"/>
      <w:bookmarkStart w:id="2332" w:name="_Toc372920812"/>
      <w:bookmarkStart w:id="2333" w:name="_Toc372921008"/>
      <w:bookmarkStart w:id="2334" w:name="_Toc372921204"/>
      <w:bookmarkStart w:id="2335" w:name="_Toc372921400"/>
      <w:bookmarkStart w:id="2336" w:name="_Toc372921602"/>
      <w:bookmarkStart w:id="2337" w:name="_Toc372921798"/>
      <w:bookmarkStart w:id="2338" w:name="_Toc372921994"/>
      <w:bookmarkStart w:id="2339" w:name="_Toc372928274"/>
      <w:bookmarkStart w:id="2340" w:name="_Toc372928578"/>
      <w:bookmarkStart w:id="2341" w:name="_Toc372928774"/>
      <w:bookmarkStart w:id="2342" w:name="_Toc372981777"/>
      <w:bookmarkStart w:id="2343" w:name="_Toc373072004"/>
      <w:bookmarkStart w:id="2344" w:name="_Toc373147321"/>
      <w:bookmarkStart w:id="2345" w:name="_Toc373477857"/>
      <w:bookmarkStart w:id="2346" w:name="_Toc373480855"/>
      <w:bookmarkStart w:id="2347" w:name="_Toc372916578"/>
      <w:bookmarkStart w:id="2348" w:name="_Toc372916832"/>
      <w:bookmarkStart w:id="2349" w:name="_Toc372917053"/>
      <w:bookmarkStart w:id="2350" w:name="_Toc372917269"/>
      <w:bookmarkStart w:id="2351" w:name="_Toc372917483"/>
      <w:bookmarkStart w:id="2352" w:name="_Toc372917693"/>
      <w:bookmarkStart w:id="2353" w:name="_Toc372917902"/>
      <w:bookmarkStart w:id="2354" w:name="_Toc372918111"/>
      <w:bookmarkStart w:id="2355" w:name="_Toc372918320"/>
      <w:bookmarkStart w:id="2356" w:name="_Toc372918523"/>
      <w:bookmarkStart w:id="2357" w:name="_Toc372918726"/>
      <w:bookmarkStart w:id="2358" w:name="_Toc372918931"/>
      <w:bookmarkStart w:id="2359" w:name="_Toc372919136"/>
      <w:bookmarkStart w:id="2360" w:name="_Toc372919337"/>
      <w:bookmarkStart w:id="2361" w:name="_Toc372919631"/>
      <w:bookmarkStart w:id="2362" w:name="_Toc372919828"/>
      <w:bookmarkStart w:id="2363" w:name="_Toc372920025"/>
      <w:bookmarkStart w:id="2364" w:name="_Toc372920222"/>
      <w:bookmarkStart w:id="2365" w:name="_Toc372920420"/>
      <w:bookmarkStart w:id="2366" w:name="_Toc372920617"/>
      <w:bookmarkStart w:id="2367" w:name="_Toc372920813"/>
      <w:bookmarkStart w:id="2368" w:name="_Toc372921009"/>
      <w:bookmarkStart w:id="2369" w:name="_Toc372921205"/>
      <w:bookmarkStart w:id="2370" w:name="_Toc372921401"/>
      <w:bookmarkStart w:id="2371" w:name="_Toc372921603"/>
      <w:bookmarkStart w:id="2372" w:name="_Toc372921799"/>
      <w:bookmarkStart w:id="2373" w:name="_Toc372921995"/>
      <w:bookmarkStart w:id="2374" w:name="_Toc372928275"/>
      <w:bookmarkStart w:id="2375" w:name="_Toc372928579"/>
      <w:bookmarkStart w:id="2376" w:name="_Toc372928775"/>
      <w:bookmarkStart w:id="2377" w:name="_Toc372981778"/>
      <w:bookmarkStart w:id="2378" w:name="_Toc373072005"/>
      <w:bookmarkStart w:id="2379" w:name="_Toc373147322"/>
      <w:bookmarkStart w:id="2380" w:name="_Toc373477858"/>
      <w:bookmarkStart w:id="2381" w:name="_Toc373480856"/>
      <w:bookmarkStart w:id="2382" w:name="_Toc373477859"/>
      <w:bookmarkStart w:id="2383" w:name="_Toc373480857"/>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r w:rsidRPr="00CA5FBB">
        <w:rPr>
          <w:noProof/>
        </w:rPr>
        <w:lastRenderedPageBreak/>
        <w:t xml:space="preserve">Results – </w:t>
      </w:r>
      <w:r w:rsidR="003C29F6">
        <w:t xml:space="preserve">Comparisons of growth standards </w:t>
      </w:r>
      <w:r w:rsidR="00DE535A">
        <w:t xml:space="preserve">between </w:t>
      </w:r>
      <w:r w:rsidR="003C29F6">
        <w:rPr>
          <w:i/>
        </w:rPr>
        <w:t>Pan</w:t>
      </w:r>
      <w:r w:rsidR="003C29F6">
        <w:t xml:space="preserve"> and </w:t>
      </w:r>
      <w:r w:rsidR="003C29F6">
        <w:rPr>
          <w:i/>
        </w:rPr>
        <w:t>Homo</w:t>
      </w:r>
      <w:bookmarkEnd w:id="2382"/>
      <w:bookmarkEnd w:id="2383"/>
    </w:p>
    <w:p w:rsidR="00A35CA0" w:rsidRPr="00CA5FBB" w:rsidRDefault="008874F2" w:rsidP="00CA5FBB">
      <w:pPr>
        <w:pStyle w:val="Heading2"/>
        <w:rPr>
          <w:b w:val="0"/>
          <w:i w:val="0"/>
        </w:rPr>
      </w:pPr>
      <w:bookmarkStart w:id="2384" w:name="_Toc373477860"/>
      <w:bookmarkStart w:id="2385" w:name="_Toc373480858"/>
      <w:r>
        <w:t>Comparison of human and chimpanzee e</w:t>
      </w:r>
      <w:r w:rsidR="005520D4" w:rsidRPr="003E0D7A">
        <w:t>piphyseal fusion sequence</w:t>
      </w:r>
      <w:r>
        <w:t>s</w:t>
      </w:r>
      <w:bookmarkEnd w:id="2384"/>
      <w:bookmarkEnd w:id="2385"/>
    </w:p>
    <w:p w:rsidR="00A35CA0" w:rsidRDefault="003E5E7B" w:rsidP="00CA5FBB">
      <w:pPr>
        <w:pStyle w:val="Heading3"/>
      </w:pPr>
      <w:bookmarkStart w:id="2386" w:name="_Toc373477861"/>
      <w:bookmarkStart w:id="2387" w:name="_Toc373480859"/>
      <w:r>
        <w:t>C</w:t>
      </w:r>
      <w:r w:rsidR="00D17467">
        <w:t xml:space="preserve">omparison </w:t>
      </w:r>
      <w:r>
        <w:t xml:space="preserve">of modular sequence patterns </w:t>
      </w:r>
      <w:r w:rsidR="00D17467">
        <w:t>to Schaefer and Black (2007)</w:t>
      </w:r>
      <w:bookmarkEnd w:id="2386"/>
      <w:bookmarkEnd w:id="2387"/>
    </w:p>
    <w:p w:rsidR="00A35CA0" w:rsidRDefault="00D17467" w:rsidP="00CA5FBB">
      <w:pPr>
        <w:rPr>
          <w:b/>
          <w:noProof/>
        </w:rPr>
      </w:pPr>
      <w:r>
        <w:rPr>
          <w:noProof/>
        </w:rPr>
        <w:t xml:space="preserve">Schaefer and Black (2007) provided a modular sequence pattern </w:t>
      </w:r>
      <w:r w:rsidR="00BF1BE1">
        <w:rPr>
          <w:noProof/>
        </w:rPr>
        <w:t>using</w:t>
      </w:r>
      <w:r>
        <w:rPr>
          <w:noProof/>
        </w:rPr>
        <w:t xml:space="preserve"> </w:t>
      </w:r>
      <w:r w:rsidR="006460BF">
        <w:rPr>
          <w:noProof/>
        </w:rPr>
        <w:t xml:space="preserve"> the stages of </w:t>
      </w:r>
      <w:r>
        <w:rPr>
          <w:noProof/>
        </w:rPr>
        <w:t>‘beginning fusion’ and ‘complete fusion’ in human males for 21 epiphyses.  They used contingency tables to establish an order of fusion events.  The</w:t>
      </w:r>
      <w:r w:rsidR="00BF1BE1">
        <w:rPr>
          <w:noProof/>
        </w:rPr>
        <w:t xml:space="preserve"> </w:t>
      </w:r>
      <w:r>
        <w:rPr>
          <w:noProof/>
        </w:rPr>
        <w:t xml:space="preserve">flow chart </w:t>
      </w:r>
      <w:r w:rsidR="00BF1BE1">
        <w:rPr>
          <w:noProof/>
        </w:rPr>
        <w:t xml:space="preserve">they produced </w:t>
      </w:r>
      <w:r>
        <w:rPr>
          <w:noProof/>
        </w:rPr>
        <w:t>provided a sequence for epiphyses with the fractional minority</w:t>
      </w:r>
      <w:r w:rsidR="00106054">
        <w:rPr>
          <w:noProof/>
        </w:rPr>
        <w:t xml:space="preserve"> cases (those which changed sequence order)</w:t>
      </w:r>
      <w:r>
        <w:rPr>
          <w:noProof/>
        </w:rPr>
        <w:t xml:space="preserve"> listed for each</w:t>
      </w:r>
      <w:r w:rsidR="00EA6504">
        <w:rPr>
          <w:noProof/>
        </w:rPr>
        <w:t xml:space="preserve"> stage.</w:t>
      </w:r>
      <w:r>
        <w:rPr>
          <w:noProof/>
        </w:rPr>
        <w:t xml:space="preserve">  Chimpanzee data presented in Chapter 4 showed </w:t>
      </w:r>
      <w:r w:rsidR="00281A87">
        <w:rPr>
          <w:noProof/>
        </w:rPr>
        <w:t>a considerable amount</w:t>
      </w:r>
      <w:r>
        <w:rPr>
          <w:noProof/>
        </w:rPr>
        <w:t xml:space="preserve"> of overlap and it appears that this was also true for </w:t>
      </w:r>
      <w:r w:rsidR="00281A87">
        <w:rPr>
          <w:noProof/>
        </w:rPr>
        <w:t xml:space="preserve">the data in </w:t>
      </w:r>
      <w:r>
        <w:rPr>
          <w:noProof/>
        </w:rPr>
        <w:t>Schaefer and Black’s (2007)</w:t>
      </w:r>
      <w:r w:rsidR="00506235">
        <w:rPr>
          <w:noProof/>
        </w:rPr>
        <w:t xml:space="preserve"> study</w:t>
      </w:r>
      <w:r>
        <w:rPr>
          <w:noProof/>
        </w:rPr>
        <w:t>.</w:t>
      </w:r>
    </w:p>
    <w:p w:rsidR="00A45D23" w:rsidRDefault="00C776FD">
      <w:pPr>
        <w:rPr>
          <w:noProof/>
        </w:rPr>
      </w:pPr>
      <w:r>
        <w:rPr>
          <w:noProof/>
        </w:rPr>
        <w:t>A</w:t>
      </w:r>
      <w:r w:rsidR="00D17467">
        <w:rPr>
          <w:noProof/>
        </w:rPr>
        <w:t xml:space="preserve"> comparison of mid-fusion data as presented in Chapter 4 </w:t>
      </w:r>
      <w:r w:rsidR="00106054">
        <w:rPr>
          <w:noProof/>
        </w:rPr>
        <w:t>with</w:t>
      </w:r>
      <w:r w:rsidR="00D17467">
        <w:rPr>
          <w:noProof/>
        </w:rPr>
        <w:t xml:space="preserve"> </w:t>
      </w:r>
      <w:r w:rsidR="00EA645B">
        <w:rPr>
          <w:noProof/>
        </w:rPr>
        <w:t>the results</w:t>
      </w:r>
      <w:r w:rsidR="00D17467">
        <w:rPr>
          <w:noProof/>
        </w:rPr>
        <w:t xml:space="preserve"> provided by Schaefer and Black (2007) </w:t>
      </w:r>
      <w:r w:rsidR="0062509C">
        <w:rPr>
          <w:noProof/>
        </w:rPr>
        <w:t>is problematic</w:t>
      </w:r>
      <w:r w:rsidR="00D17467">
        <w:rPr>
          <w:noProof/>
        </w:rPr>
        <w:t>.  The scoring method used in the Schaefer and Black</w:t>
      </w:r>
      <w:r w:rsidR="009978E9">
        <w:rPr>
          <w:noProof/>
        </w:rPr>
        <w:t>’s</w:t>
      </w:r>
      <w:r w:rsidR="00D17467">
        <w:rPr>
          <w:noProof/>
        </w:rPr>
        <w:t xml:space="preserve"> (2007) study used three stages: unfused, partial fusion, and complete fusion</w:t>
      </w:r>
      <w:r w:rsidR="00D17467" w:rsidRPr="0036377F">
        <w:rPr>
          <w:noProof/>
        </w:rPr>
        <w:t>.</w:t>
      </w:r>
      <w:r w:rsidR="00D17467">
        <w:rPr>
          <w:noProof/>
        </w:rPr>
        <w:t xml:space="preserve">  These appear superficially to be the same as the categories used in this study but they are not.  Beginning fusion for Schaefer and Black (2007) included i</w:t>
      </w:r>
      <w:r w:rsidR="007B2D5B">
        <w:rPr>
          <w:noProof/>
        </w:rPr>
        <w:t>ndividuals with epiphyses up to</w:t>
      </w:r>
      <w:r w:rsidR="00D17467">
        <w:rPr>
          <w:noProof/>
        </w:rPr>
        <w:t xml:space="preserve"> but not </w:t>
      </w:r>
      <w:r w:rsidR="00304DA9">
        <w:rPr>
          <w:noProof/>
        </w:rPr>
        <w:t>including a fused epiphysi</w:t>
      </w:r>
      <w:r w:rsidR="00D17467">
        <w:rPr>
          <w:noProof/>
        </w:rPr>
        <w:t xml:space="preserve">s with a residual scar line.  </w:t>
      </w:r>
      <w:r w:rsidR="0094409E">
        <w:rPr>
          <w:noProof/>
        </w:rPr>
        <w:t>In the context of</w:t>
      </w:r>
      <w:r w:rsidR="00D17467">
        <w:rPr>
          <w:noProof/>
        </w:rPr>
        <w:t xml:space="preserve"> the system in which the data </w:t>
      </w:r>
      <w:r w:rsidR="0094409E">
        <w:rPr>
          <w:noProof/>
        </w:rPr>
        <w:t>for</w:t>
      </w:r>
      <w:r w:rsidR="00D17467">
        <w:rPr>
          <w:noProof/>
        </w:rPr>
        <w:t xml:space="preserve"> this study was recorded</w:t>
      </w:r>
      <w:r w:rsidR="0094409E">
        <w:rPr>
          <w:noProof/>
        </w:rPr>
        <w:t>, this</w:t>
      </w:r>
      <w:r w:rsidR="00D17467">
        <w:rPr>
          <w:noProof/>
        </w:rPr>
        <w:t xml:space="preserve"> meant that they used mid-fusion stages 2 and 3 for their mid-fusion category while placing 4 and 5 into complete fusion.  In </w:t>
      </w:r>
      <w:r w:rsidR="00151A3D">
        <w:rPr>
          <w:noProof/>
        </w:rPr>
        <w:t>the present</w:t>
      </w:r>
      <w:r w:rsidR="00D17467">
        <w:rPr>
          <w:noProof/>
        </w:rPr>
        <w:t xml:space="preserve"> study fusion states 2, 3, and 4 were placed into mid-fusion (labelled as 2) and 5 into complete fusion (labelled as 3).  This meant that mid-fusion stages from the </w:t>
      </w:r>
      <w:r w:rsidR="00151A3D">
        <w:rPr>
          <w:noProof/>
        </w:rPr>
        <w:t xml:space="preserve">present </w:t>
      </w:r>
      <w:r w:rsidR="00D17467">
        <w:rPr>
          <w:noProof/>
        </w:rPr>
        <w:t>study would be potentially skewed due to the inclusion of epiphysis with a fusion scar line.  Given that the duration of time that an epiphysis retains this scar line cannot be assumed to be constant between epiphyses, these data are not directly comparable.  It is possible to re-calculate the order using Schaefer and Black’s (2007) system as th</w:t>
      </w:r>
      <w:r w:rsidR="007B2D5B">
        <w:rPr>
          <w:noProof/>
        </w:rPr>
        <w:t>is</w:t>
      </w:r>
      <w:r w:rsidR="00D17467">
        <w:rPr>
          <w:noProof/>
        </w:rPr>
        <w:t xml:space="preserve"> type of data </w:t>
      </w:r>
      <w:r w:rsidR="00192E0E">
        <w:rPr>
          <w:noProof/>
        </w:rPr>
        <w:t>are</w:t>
      </w:r>
      <w:r w:rsidR="007B2D5B">
        <w:rPr>
          <w:noProof/>
        </w:rPr>
        <w:t xml:space="preserve"> </w:t>
      </w:r>
      <w:r w:rsidR="00D17467">
        <w:rPr>
          <w:noProof/>
        </w:rPr>
        <w:t xml:space="preserve">available in the original data set.  As noted in Chapter 4, sample size for male </w:t>
      </w:r>
      <w:r w:rsidR="00D17467">
        <w:rPr>
          <w:i/>
          <w:noProof/>
        </w:rPr>
        <w:t>Pan troglodytes</w:t>
      </w:r>
      <w:r w:rsidR="00D17467">
        <w:rPr>
          <w:noProof/>
        </w:rPr>
        <w:t xml:space="preserve"> mid-fusion even</w:t>
      </w:r>
      <w:r w:rsidR="00D17467" w:rsidRPr="00A67B66">
        <w:rPr>
          <w:noProof/>
          <w:color w:val="000000" w:themeColor="text1"/>
        </w:rPr>
        <w:t xml:space="preserve">ts was </w:t>
      </w:r>
      <w:r w:rsidR="00192E0E">
        <w:rPr>
          <w:noProof/>
          <w:color w:val="000000" w:themeColor="text1"/>
        </w:rPr>
        <w:t xml:space="preserve">a </w:t>
      </w:r>
      <w:r w:rsidR="00D17467" w:rsidRPr="00A67B66">
        <w:rPr>
          <w:noProof/>
          <w:color w:val="000000" w:themeColor="text1"/>
        </w:rPr>
        <w:t>limiting</w:t>
      </w:r>
      <w:r w:rsidR="00192E0E">
        <w:rPr>
          <w:noProof/>
          <w:color w:val="000000" w:themeColor="text1"/>
        </w:rPr>
        <w:t xml:space="preserve"> factor</w:t>
      </w:r>
      <w:r w:rsidR="00D17467" w:rsidRPr="00A67B66">
        <w:rPr>
          <w:noProof/>
          <w:color w:val="000000" w:themeColor="text1"/>
        </w:rPr>
        <w:t>.  Removing individuals with residual scar line</w:t>
      </w:r>
      <w:r w:rsidR="00B952F2">
        <w:rPr>
          <w:noProof/>
          <w:color w:val="000000" w:themeColor="text1"/>
        </w:rPr>
        <w:t>s</w:t>
      </w:r>
      <w:r w:rsidR="00825A00">
        <w:rPr>
          <w:noProof/>
          <w:color w:val="000000" w:themeColor="text1"/>
        </w:rPr>
        <w:t xml:space="preserve"> reduced</w:t>
      </w:r>
      <w:r w:rsidR="00D17467" w:rsidRPr="00A67B66">
        <w:rPr>
          <w:noProof/>
          <w:color w:val="000000" w:themeColor="text1"/>
        </w:rPr>
        <w:t xml:space="preserve"> </w:t>
      </w:r>
      <w:r w:rsidR="00192E0E">
        <w:rPr>
          <w:noProof/>
          <w:color w:val="000000" w:themeColor="text1"/>
        </w:rPr>
        <w:t xml:space="preserve">sample </w:t>
      </w:r>
      <w:r w:rsidR="00D17467" w:rsidRPr="00A67B66">
        <w:rPr>
          <w:noProof/>
          <w:color w:val="000000" w:themeColor="text1"/>
        </w:rPr>
        <w:t>numbers even further.  Table 5.</w:t>
      </w:r>
      <w:r w:rsidR="006F337B">
        <w:rPr>
          <w:noProof/>
          <w:color w:val="000000" w:themeColor="text1"/>
        </w:rPr>
        <w:t>1</w:t>
      </w:r>
      <w:r w:rsidR="00D17467" w:rsidRPr="00A67B66">
        <w:rPr>
          <w:noProof/>
          <w:color w:val="000000" w:themeColor="text1"/>
        </w:rPr>
        <w:t xml:space="preserve"> </w:t>
      </w:r>
      <w:r w:rsidR="00BA2180">
        <w:rPr>
          <w:noProof/>
          <w:color w:val="000000" w:themeColor="text1"/>
        </w:rPr>
        <w:t xml:space="preserve">provides </w:t>
      </w:r>
      <w:r w:rsidR="00D17467">
        <w:rPr>
          <w:noProof/>
        </w:rPr>
        <w:t xml:space="preserve">sample size for mid-fusion events of </w:t>
      </w:r>
      <w:r w:rsidR="00D17467">
        <w:rPr>
          <w:i/>
          <w:noProof/>
        </w:rPr>
        <w:t>Pan troglodytes</w:t>
      </w:r>
      <w:r w:rsidR="00D17467">
        <w:rPr>
          <w:noProof/>
        </w:rPr>
        <w:t xml:space="preserve"> males using Schaefer and Black</w:t>
      </w:r>
      <w:r w:rsidR="00CE7CD6">
        <w:rPr>
          <w:noProof/>
        </w:rPr>
        <w:t>’s</w:t>
      </w:r>
      <w:r w:rsidR="00D17467">
        <w:rPr>
          <w:noProof/>
        </w:rPr>
        <w:t xml:space="preserve"> (2007) criteria.  Figure 5</w:t>
      </w:r>
      <w:r w:rsidR="00A67B66">
        <w:rPr>
          <w:noProof/>
        </w:rPr>
        <w:t>.1</w:t>
      </w:r>
      <w:r w:rsidR="00D17467" w:rsidRPr="007709D0">
        <w:rPr>
          <w:noProof/>
          <w:color w:val="000000" w:themeColor="text1"/>
        </w:rPr>
        <w:t xml:space="preserve"> </w:t>
      </w:r>
      <w:r w:rsidR="007709D0">
        <w:rPr>
          <w:noProof/>
          <w:color w:val="000000" w:themeColor="text1"/>
        </w:rPr>
        <w:t>demonstrate</w:t>
      </w:r>
      <w:r w:rsidR="00D17467" w:rsidRPr="00A555CF">
        <w:rPr>
          <w:noProof/>
          <w:color w:val="000000" w:themeColor="text1"/>
        </w:rPr>
        <w:t xml:space="preserve">s </w:t>
      </w:r>
      <w:r w:rsidR="00D17467">
        <w:rPr>
          <w:noProof/>
        </w:rPr>
        <w:t>how these events are</w:t>
      </w:r>
      <w:r w:rsidR="00825A00">
        <w:rPr>
          <w:noProof/>
        </w:rPr>
        <w:t xml:space="preserve"> distributed for each epiphysis using a grid pattern.  Epiphyses are</w:t>
      </w:r>
      <w:r w:rsidR="00D17467">
        <w:rPr>
          <w:noProof/>
        </w:rPr>
        <w:t xml:space="preserve"> represente</w:t>
      </w:r>
      <w:r w:rsidR="00825A00">
        <w:rPr>
          <w:noProof/>
        </w:rPr>
        <w:t xml:space="preserve">d by letters which are defined </w:t>
      </w:r>
      <w:r w:rsidR="00D17467">
        <w:rPr>
          <w:noProof/>
        </w:rPr>
        <w:t xml:space="preserve">in </w:t>
      </w:r>
      <w:r w:rsidR="00825A00">
        <w:rPr>
          <w:noProof/>
        </w:rPr>
        <w:t>T</w:t>
      </w:r>
      <w:r w:rsidR="00D17467">
        <w:rPr>
          <w:noProof/>
        </w:rPr>
        <w:t>able 5</w:t>
      </w:r>
      <w:r w:rsidR="00A555CF">
        <w:rPr>
          <w:noProof/>
        </w:rPr>
        <w:t>.2</w:t>
      </w:r>
      <w:r w:rsidR="00D17467">
        <w:rPr>
          <w:noProof/>
        </w:rPr>
        <w:t>.</w:t>
      </w:r>
    </w:p>
    <w:p w:rsidR="00A45D23" w:rsidRDefault="00A45D23">
      <w:pPr>
        <w:spacing w:before="0" w:after="200" w:line="276" w:lineRule="auto"/>
        <w:jc w:val="left"/>
        <w:rPr>
          <w:noProof/>
        </w:rPr>
      </w:pPr>
      <w:r>
        <w:rPr>
          <w:noProof/>
        </w:rPr>
        <w:br w:type="page"/>
      </w:r>
    </w:p>
    <w:p w:rsidR="00D17467" w:rsidRDefault="005655C5" w:rsidP="00D17467">
      <w:pPr>
        <w:spacing w:line="240" w:lineRule="auto"/>
        <w:rPr>
          <w:noProof/>
        </w:rPr>
      </w:pPr>
      <w:bookmarkStart w:id="2388" w:name="_Toc373180177"/>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1</w:t>
      </w:r>
      <w:r w:rsidR="008943E4">
        <w:rPr>
          <w:b/>
        </w:rPr>
        <w:fldChar w:fldCharType="end"/>
      </w:r>
      <w:r>
        <w:rPr>
          <w:b/>
        </w:rPr>
        <w:t xml:space="preserve"> </w:t>
      </w:r>
      <w:r w:rsidR="00D17467" w:rsidRPr="00A67B66">
        <w:rPr>
          <w:noProof/>
          <w:color w:val="000000" w:themeColor="text1"/>
        </w:rPr>
        <w:t xml:space="preserve">Sample </w:t>
      </w:r>
      <w:r w:rsidR="00D17467" w:rsidRPr="00DB5BD2">
        <w:rPr>
          <w:noProof/>
        </w:rPr>
        <w:t xml:space="preserve">size for mid-fusion events </w:t>
      </w:r>
      <w:r w:rsidR="008F71FD">
        <w:rPr>
          <w:noProof/>
        </w:rPr>
        <w:t>in</w:t>
      </w:r>
      <w:r w:rsidR="00D17467" w:rsidRPr="00DB5BD2">
        <w:rPr>
          <w:noProof/>
        </w:rPr>
        <w:t xml:space="preserve"> </w:t>
      </w:r>
      <w:r w:rsidR="00D17467" w:rsidRPr="00DB5BD2">
        <w:rPr>
          <w:i/>
          <w:noProof/>
        </w:rPr>
        <w:t>Pan troglodytes</w:t>
      </w:r>
      <w:r w:rsidR="00D17467" w:rsidRPr="00DB5BD2">
        <w:rPr>
          <w:noProof/>
        </w:rPr>
        <w:t xml:space="preserve"> males using Scha</w:t>
      </w:r>
      <w:r w:rsidR="00D17467">
        <w:rPr>
          <w:noProof/>
        </w:rPr>
        <w:t>efer and Black</w:t>
      </w:r>
      <w:r w:rsidR="00007CB4">
        <w:rPr>
          <w:noProof/>
        </w:rPr>
        <w:t>’s</w:t>
      </w:r>
      <w:r w:rsidR="00D17467">
        <w:rPr>
          <w:noProof/>
        </w:rPr>
        <w:t xml:space="preserve"> (2007) criteria.</w:t>
      </w:r>
      <w:bookmarkEnd w:id="2388"/>
      <w:proofErr w:type="gramEnd"/>
    </w:p>
    <w:tbl>
      <w:tblPr>
        <w:tblW w:w="4693" w:type="dxa"/>
        <w:jc w:val="center"/>
        <w:tblInd w:w="93" w:type="dxa"/>
        <w:tblBorders>
          <w:top w:val="single" w:sz="4" w:space="0" w:color="auto"/>
          <w:bottom w:val="single" w:sz="4" w:space="0" w:color="auto"/>
        </w:tblBorders>
        <w:tblLook w:val="04A0" w:firstRow="1" w:lastRow="0" w:firstColumn="1" w:lastColumn="0" w:noHBand="0" w:noVBand="1"/>
      </w:tblPr>
      <w:tblGrid>
        <w:gridCol w:w="2283"/>
        <w:gridCol w:w="2410"/>
      </w:tblGrid>
      <w:tr w:rsidR="00D17467" w:rsidRPr="005E38B7" w:rsidTr="005462F7">
        <w:trPr>
          <w:trHeight w:val="300"/>
          <w:jc w:val="center"/>
        </w:trPr>
        <w:tc>
          <w:tcPr>
            <w:tcW w:w="2283" w:type="dxa"/>
            <w:tcBorders>
              <w:top w:val="single" w:sz="4" w:space="0" w:color="auto"/>
              <w:bottom w:val="single" w:sz="4" w:space="0" w:color="auto"/>
            </w:tcBorders>
            <w:shd w:val="clear" w:color="auto" w:fill="auto"/>
            <w:noWrap/>
            <w:vAlign w:val="center"/>
            <w:hideMark/>
          </w:tcPr>
          <w:p w:rsidR="00A35CA0" w:rsidRDefault="005462F7"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D17467" w:rsidRPr="005E38B7">
              <w:rPr>
                <w:rFonts w:eastAsia="Times New Roman"/>
                <w:b/>
                <w:bCs/>
                <w:color w:val="000000"/>
                <w:lang w:val="en-GB" w:eastAsia="en-GB"/>
              </w:rPr>
              <w:t>piphysis</w:t>
            </w:r>
          </w:p>
        </w:tc>
        <w:tc>
          <w:tcPr>
            <w:tcW w:w="2410" w:type="dxa"/>
            <w:tcBorders>
              <w:top w:val="single" w:sz="4" w:space="0" w:color="auto"/>
              <w:bottom w:val="single" w:sz="4" w:space="0" w:color="auto"/>
            </w:tcBorders>
            <w:shd w:val="clear" w:color="auto" w:fill="auto"/>
            <w:noWrap/>
            <w:vAlign w:val="center"/>
            <w:hideMark/>
          </w:tcPr>
          <w:p w:rsidR="00A35CA0" w:rsidRDefault="005462F7"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s</w:t>
            </w:r>
            <w:r w:rsidR="00D17467" w:rsidRPr="005E38B7">
              <w:rPr>
                <w:rFonts w:eastAsia="Times New Roman"/>
                <w:b/>
                <w:bCs/>
                <w:color w:val="000000"/>
                <w:lang w:val="en-GB" w:eastAsia="en-GB"/>
              </w:rPr>
              <w:t>ample size</w:t>
            </w:r>
          </w:p>
        </w:tc>
      </w:tr>
      <w:tr w:rsidR="00D17467" w:rsidRPr="005E38B7" w:rsidTr="005462F7">
        <w:trPr>
          <w:trHeight w:val="300"/>
          <w:jc w:val="center"/>
        </w:trPr>
        <w:tc>
          <w:tcPr>
            <w:tcW w:w="2283"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b/>
                <w:bCs/>
                <w:color w:val="000000"/>
                <w:sz w:val="28"/>
                <w:szCs w:val="28"/>
                <w:lang w:val="en-GB" w:eastAsia="en-GB"/>
              </w:rPr>
            </w:pPr>
            <w:r>
              <w:rPr>
                <w:rFonts w:eastAsia="Times New Roman"/>
                <w:color w:val="000000"/>
                <w:lang w:val="en-GB" w:eastAsia="en-GB"/>
              </w:rPr>
              <w:t>distal humerus</w:t>
            </w:r>
          </w:p>
        </w:tc>
        <w:tc>
          <w:tcPr>
            <w:tcW w:w="2410" w:type="dxa"/>
            <w:tcBorders>
              <w:top w:val="single" w:sz="4" w:space="0" w:color="auto"/>
            </w:tcBorders>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2</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triradiate</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6</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medial</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5</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coracoid</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4</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prox</w:t>
            </w:r>
            <w:r w:rsidR="00601A01">
              <w:rPr>
                <w:rFonts w:eastAsia="Times New Roman"/>
                <w:color w:val="000000"/>
                <w:lang w:val="en-GB" w:eastAsia="en-GB"/>
              </w:rPr>
              <w:t>imal</w:t>
            </w:r>
            <w:r w:rsidRPr="005E38B7">
              <w:rPr>
                <w:rFonts w:eastAsia="Times New Roman"/>
                <w:color w:val="000000"/>
                <w:lang w:val="en-GB" w:eastAsia="en-GB"/>
              </w:rPr>
              <w:t xml:space="preserve"> ulna</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4</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proximal radius</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1</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lesser trochanter</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3</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prox</w:t>
            </w:r>
            <w:r w:rsidR="00535F54">
              <w:rPr>
                <w:rFonts w:eastAsia="Times New Roman"/>
                <w:color w:val="000000"/>
                <w:lang w:val="en-GB" w:eastAsia="en-GB"/>
              </w:rPr>
              <w:t>imal</w:t>
            </w:r>
            <w:r w:rsidRPr="005E38B7">
              <w:rPr>
                <w:rFonts w:eastAsia="Times New Roman"/>
                <w:color w:val="000000"/>
                <w:lang w:val="en-GB" w:eastAsia="en-GB"/>
              </w:rPr>
              <w:t xml:space="preserve"> femur</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3</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distal fibula</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4</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distal tibia</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3</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greater trochanter</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1</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proximal tibia</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5</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acromium</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2</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distal femur</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4</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proximal fibula</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3</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distal radius</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8</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distal ulna</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4</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ischial epiphysis</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5</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proximal humerus</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3</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iliac crest</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2</w:t>
            </w:r>
          </w:p>
        </w:tc>
      </w:tr>
      <w:tr w:rsidR="00D17467" w:rsidRPr="005E38B7" w:rsidTr="005462F7">
        <w:trPr>
          <w:trHeight w:val="300"/>
          <w:jc w:val="center"/>
        </w:trPr>
        <w:tc>
          <w:tcPr>
            <w:tcW w:w="2283"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medial clavicle</w:t>
            </w:r>
          </w:p>
        </w:tc>
        <w:tc>
          <w:tcPr>
            <w:tcW w:w="2410"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5E38B7">
              <w:rPr>
                <w:rFonts w:eastAsia="Times New Roman"/>
                <w:color w:val="000000"/>
                <w:lang w:val="en-GB" w:eastAsia="en-GB"/>
              </w:rPr>
              <w:t>2</w:t>
            </w:r>
          </w:p>
        </w:tc>
      </w:tr>
    </w:tbl>
    <w:p w:rsidR="00D17467" w:rsidRPr="000A07AA" w:rsidRDefault="00D17467" w:rsidP="00D17467">
      <w:pPr>
        <w:spacing w:line="240" w:lineRule="auto"/>
        <w:rPr>
          <w:b/>
          <w:noProof/>
        </w:rPr>
      </w:pPr>
      <w:r>
        <w:rPr>
          <w:b/>
          <w:noProof/>
          <w:lang w:val="en-GB" w:eastAsia="en-GB"/>
        </w:rPr>
        <w:lastRenderedPageBreak/>
        <w:drawing>
          <wp:inline distT="0" distB="0" distL="0" distR="0" wp14:anchorId="36C09458" wp14:editId="1507CF4F">
            <wp:extent cx="5962650" cy="75897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62650" cy="7589729"/>
                    </a:xfrm>
                    <a:prstGeom prst="rect">
                      <a:avLst/>
                    </a:prstGeom>
                    <a:noFill/>
                    <a:ln>
                      <a:noFill/>
                    </a:ln>
                  </pic:spPr>
                </pic:pic>
              </a:graphicData>
            </a:graphic>
          </wp:inline>
        </w:drawing>
      </w:r>
    </w:p>
    <w:p w:rsidR="00A35CA0" w:rsidRDefault="00D17467" w:rsidP="00CA5FBB">
      <w:pPr>
        <w:pStyle w:val="ListParagraph"/>
        <w:numPr>
          <w:ilvl w:val="0"/>
          <w:numId w:val="30"/>
        </w:numPr>
        <w:spacing w:before="0" w:line="240" w:lineRule="auto"/>
        <w:ind w:left="992" w:hanging="425"/>
        <w:rPr>
          <w:noProof/>
          <w:sz w:val="20"/>
          <w:szCs w:val="20"/>
        </w:rPr>
      </w:pPr>
      <w:r w:rsidRPr="00DB5BD2">
        <w:rPr>
          <w:noProof/>
          <w:sz w:val="20"/>
          <w:szCs w:val="20"/>
        </w:rPr>
        <w:t xml:space="preserve">These </w:t>
      </w:r>
      <w:r>
        <w:rPr>
          <w:noProof/>
          <w:sz w:val="20"/>
          <w:szCs w:val="20"/>
        </w:rPr>
        <w:t xml:space="preserve">letters </w:t>
      </w:r>
      <w:r w:rsidRPr="00DB5BD2">
        <w:rPr>
          <w:noProof/>
          <w:sz w:val="20"/>
          <w:szCs w:val="20"/>
        </w:rPr>
        <w:t>are defined in the table below</w:t>
      </w:r>
    </w:p>
    <w:p w:rsidR="00A35CA0" w:rsidRDefault="00E83CFB" w:rsidP="00CA5FBB">
      <w:pPr>
        <w:spacing w:before="120"/>
        <w:rPr>
          <w:b/>
          <w:noProof/>
        </w:rPr>
      </w:pPr>
      <w:bookmarkStart w:id="2389" w:name="_Toc373147484"/>
      <w:proofErr w:type="gramStart"/>
      <w:r w:rsidRPr="00E83CFB">
        <w:rPr>
          <w:b/>
        </w:rPr>
        <w:t xml:space="preserve">Figure </w:t>
      </w:r>
      <w:r w:rsidR="008943E4" w:rsidRPr="003E0D7A">
        <w:rPr>
          <w:b/>
        </w:rPr>
        <w:fldChar w:fldCharType="begin"/>
      </w:r>
      <w:r w:rsidRPr="00E83CFB">
        <w:rPr>
          <w:b/>
        </w:rPr>
        <w:instrText xml:space="preserve"> STYLEREF 1 \s </w:instrText>
      </w:r>
      <w:r w:rsidR="008943E4" w:rsidRPr="003E0D7A">
        <w:rPr>
          <w:b/>
        </w:rPr>
        <w:fldChar w:fldCharType="separate"/>
      </w:r>
      <w:r w:rsidR="00795735">
        <w:rPr>
          <w:b/>
          <w:noProof/>
        </w:rPr>
        <w:t>5</w:t>
      </w:r>
      <w:r w:rsidR="008943E4" w:rsidRPr="003E0D7A">
        <w:rPr>
          <w:b/>
        </w:rPr>
        <w:fldChar w:fldCharType="end"/>
      </w:r>
      <w:r w:rsidRPr="00E83CFB">
        <w:rPr>
          <w:b/>
        </w:rPr>
        <w:t>.</w:t>
      </w:r>
      <w:proofErr w:type="gramEnd"/>
      <w:r w:rsidR="008943E4" w:rsidRPr="003E0D7A">
        <w:rPr>
          <w:b/>
        </w:rPr>
        <w:fldChar w:fldCharType="begin"/>
      </w:r>
      <w:r w:rsidRPr="00E83CFB">
        <w:rPr>
          <w:b/>
        </w:rPr>
        <w:instrText xml:space="preserve"> SEQ Figure \* ARABIC \s 1 </w:instrText>
      </w:r>
      <w:r w:rsidR="008943E4" w:rsidRPr="003E0D7A">
        <w:rPr>
          <w:b/>
        </w:rPr>
        <w:fldChar w:fldCharType="separate"/>
      </w:r>
      <w:proofErr w:type="gramStart"/>
      <w:r w:rsidR="00795735">
        <w:rPr>
          <w:b/>
          <w:noProof/>
        </w:rPr>
        <w:t>1</w:t>
      </w:r>
      <w:r w:rsidR="008943E4" w:rsidRPr="003E0D7A">
        <w:rPr>
          <w:b/>
        </w:rPr>
        <w:fldChar w:fldCharType="end"/>
      </w:r>
      <w:r w:rsidRPr="00E83CFB">
        <w:rPr>
          <w:b/>
          <w:noProof/>
        </w:rPr>
        <w:t xml:space="preserve"> </w:t>
      </w:r>
      <w:r w:rsidRPr="00437F87">
        <w:rPr>
          <w:noProof/>
        </w:rPr>
        <w:t xml:space="preserve">Matrix showing fusion events for </w:t>
      </w:r>
      <w:r w:rsidRPr="00E83CFB">
        <w:rPr>
          <w:i/>
          <w:noProof/>
        </w:rPr>
        <w:t>Pan troglodytes</w:t>
      </w:r>
      <w:r w:rsidRPr="00437F87">
        <w:rPr>
          <w:noProof/>
        </w:rPr>
        <w:t xml:space="preserve"> males using Schaefer and Black (2007) criteria.</w:t>
      </w:r>
      <w:bookmarkEnd w:id="2389"/>
      <w:proofErr w:type="gramEnd"/>
    </w:p>
    <w:p w:rsidR="00A35CA0" w:rsidRDefault="005823BB" w:rsidP="00CA5FBB">
      <w:pPr>
        <w:spacing w:before="120" w:after="120" w:line="240" w:lineRule="auto"/>
        <w:rPr>
          <w:noProof/>
        </w:rPr>
      </w:pPr>
      <w:bookmarkStart w:id="2390" w:name="_Toc373180178"/>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2</w:t>
      </w:r>
      <w:r w:rsidR="008943E4">
        <w:rPr>
          <w:b/>
        </w:rPr>
        <w:fldChar w:fldCharType="end"/>
      </w:r>
      <w:r w:rsidR="00D17467">
        <w:rPr>
          <w:noProof/>
        </w:rPr>
        <w:t xml:space="preserve"> Legend of epiphyses for </w:t>
      </w:r>
      <w:r w:rsidR="00E83CFB">
        <w:rPr>
          <w:noProof/>
        </w:rPr>
        <w:t>F</w:t>
      </w:r>
      <w:r w:rsidR="008D2393">
        <w:rPr>
          <w:noProof/>
        </w:rPr>
        <w:t>igure 5.1</w:t>
      </w:r>
      <w:r w:rsidR="00D17467">
        <w:rPr>
          <w:noProof/>
        </w:rPr>
        <w:t>.</w:t>
      </w:r>
      <w:bookmarkEnd w:id="2390"/>
    </w:p>
    <w:tbl>
      <w:tblPr>
        <w:tblW w:w="7001" w:type="dxa"/>
        <w:jc w:val="center"/>
        <w:tblInd w:w="93" w:type="dxa"/>
        <w:tblBorders>
          <w:top w:val="single" w:sz="4" w:space="0" w:color="auto"/>
          <w:bottom w:val="single" w:sz="4" w:space="0" w:color="auto"/>
        </w:tblBorders>
        <w:tblLook w:val="04A0" w:firstRow="1" w:lastRow="0" w:firstColumn="1" w:lastColumn="0" w:noHBand="0" w:noVBand="1"/>
      </w:tblPr>
      <w:tblGrid>
        <w:gridCol w:w="960"/>
        <w:gridCol w:w="2658"/>
        <w:gridCol w:w="388"/>
        <w:gridCol w:w="93"/>
        <w:gridCol w:w="2958"/>
      </w:tblGrid>
      <w:tr w:rsidR="00D17467" w:rsidRPr="000972CB" w:rsidTr="002E7A39">
        <w:trPr>
          <w:trHeight w:val="315"/>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lang w:val="en-GB" w:eastAsia="en-GB"/>
              </w:rPr>
            </w:pPr>
            <w:r w:rsidRPr="000972CB">
              <w:rPr>
                <w:rFonts w:eastAsia="Times New Roman"/>
                <w:color w:val="000000"/>
                <w:lang w:val="en-GB" w:eastAsia="en-GB"/>
              </w:rPr>
              <w:t>a</w:t>
            </w:r>
          </w:p>
        </w:tc>
        <w:tc>
          <w:tcPr>
            <w:tcW w:w="2658" w:type="dxa"/>
            <w:shd w:val="clear" w:color="auto" w:fill="auto"/>
            <w:noWrap/>
            <w:vAlign w:val="center"/>
            <w:hideMark/>
          </w:tcPr>
          <w:p w:rsidR="00A35CA0" w:rsidRDefault="00FB5ED4" w:rsidP="00CA5FBB">
            <w:pPr>
              <w:spacing w:before="0" w:line="240" w:lineRule="auto"/>
              <w:jc w:val="center"/>
              <w:rPr>
                <w:rFonts w:eastAsia="Times New Roman"/>
                <w:color w:val="000000"/>
                <w:lang w:val="en-GB" w:eastAsia="en-GB"/>
              </w:rPr>
            </w:pPr>
            <w:r>
              <w:rPr>
                <w:rFonts w:eastAsia="Times New Roman"/>
                <w:color w:val="000000"/>
                <w:lang w:val="en-GB" w:eastAsia="en-GB"/>
              </w:rPr>
              <w:t>distal humerus</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lang w:val="en-GB" w:eastAsia="en-GB"/>
              </w:rPr>
            </w:pPr>
            <w:r w:rsidRPr="000972CB">
              <w:rPr>
                <w:rFonts w:eastAsia="Times New Roman"/>
                <w:color w:val="000000"/>
                <w:lang w:val="en-GB" w:eastAsia="en-GB"/>
              </w:rPr>
              <w:t>l</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lang w:val="en-GB" w:eastAsia="en-GB"/>
              </w:rPr>
            </w:pPr>
            <w:r w:rsidRPr="000972CB">
              <w:rPr>
                <w:rFonts w:eastAsia="Times New Roman"/>
                <w:color w:val="000000"/>
                <w:lang w:val="en-GB" w:eastAsia="en-GB"/>
              </w:rPr>
              <w:t>proximal tibia</w:t>
            </w:r>
          </w:p>
        </w:tc>
      </w:tr>
      <w:tr w:rsidR="00D17467" w:rsidRPr="000972CB" w:rsidTr="002E7A39">
        <w:trPr>
          <w:trHeight w:val="315"/>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lang w:val="en-GB" w:eastAsia="en-GB"/>
              </w:rPr>
            </w:pPr>
            <w:r w:rsidRPr="000972CB">
              <w:rPr>
                <w:rFonts w:eastAsia="Times New Roman"/>
                <w:color w:val="000000"/>
                <w:lang w:val="en-GB" w:eastAsia="en-GB"/>
              </w:rPr>
              <w:t>b</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triradiate</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m</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acromium</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c</w:t>
            </w:r>
          </w:p>
        </w:tc>
        <w:tc>
          <w:tcPr>
            <w:tcW w:w="2658" w:type="dxa"/>
            <w:shd w:val="clear" w:color="auto" w:fill="auto"/>
            <w:noWrap/>
            <w:vAlign w:val="center"/>
            <w:hideMark/>
          </w:tcPr>
          <w:p w:rsidR="00A35CA0" w:rsidRDefault="002E7A39"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D17467" w:rsidRPr="000972CB">
              <w:rPr>
                <w:rFonts w:eastAsia="Times New Roman"/>
                <w:color w:val="000000"/>
                <w:lang w:val="en-GB" w:eastAsia="en-GB"/>
              </w:rPr>
              <w:t>medial</w:t>
            </w:r>
            <w:r w:rsidR="00D17467">
              <w:rPr>
                <w:rFonts w:eastAsia="Times New Roman"/>
                <w:color w:val="000000"/>
                <w:lang w:val="en-GB" w:eastAsia="en-GB"/>
              </w:rPr>
              <w:t xml:space="preserve"> epicondyle</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n</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distal femur</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d</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coracoid</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o</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proximal fibula</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e</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prox</w:t>
            </w:r>
            <w:r>
              <w:rPr>
                <w:rFonts w:eastAsia="Times New Roman"/>
                <w:color w:val="000000"/>
                <w:lang w:val="en-GB" w:eastAsia="en-GB"/>
              </w:rPr>
              <w:t>imal</w:t>
            </w:r>
            <w:r w:rsidRPr="000972CB">
              <w:rPr>
                <w:rFonts w:eastAsia="Times New Roman"/>
                <w:color w:val="000000"/>
                <w:lang w:val="en-GB" w:eastAsia="en-GB"/>
              </w:rPr>
              <w:t xml:space="preserve"> ulna</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p</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distal radius</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f</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proximal radius</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q</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distal ulna</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g</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lesser trochanter</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r</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ischial epiphysis</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h</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femoral head</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s</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proximal humerus</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i</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distal fibula</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t</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iliac crest</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j</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distal tibia</w:t>
            </w:r>
          </w:p>
        </w:tc>
        <w:tc>
          <w:tcPr>
            <w:tcW w:w="332"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u</w:t>
            </w:r>
          </w:p>
        </w:tc>
        <w:tc>
          <w:tcPr>
            <w:tcW w:w="3051" w:type="dxa"/>
            <w:gridSpan w:val="2"/>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medial clavicle</w:t>
            </w:r>
          </w:p>
        </w:tc>
      </w:tr>
      <w:tr w:rsidR="00D17467" w:rsidRPr="000972CB" w:rsidTr="002E7A39">
        <w:trPr>
          <w:trHeight w:val="300"/>
          <w:jc w:val="center"/>
        </w:trPr>
        <w:tc>
          <w:tcPr>
            <w:tcW w:w="960"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k</w:t>
            </w:r>
          </w:p>
        </w:tc>
        <w:tc>
          <w:tcPr>
            <w:tcW w:w="2658"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0972CB">
              <w:rPr>
                <w:rFonts w:eastAsia="Times New Roman"/>
                <w:color w:val="000000"/>
                <w:lang w:val="en-GB" w:eastAsia="en-GB"/>
              </w:rPr>
              <w:t>greater trochanter</w:t>
            </w:r>
          </w:p>
        </w:tc>
        <w:tc>
          <w:tcPr>
            <w:tcW w:w="425" w:type="dxa"/>
            <w:gridSpan w:val="2"/>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2958"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r>
    </w:tbl>
    <w:p w:rsidR="00A35CA0" w:rsidRDefault="00D87EC4" w:rsidP="00CA5FBB">
      <w:pPr>
        <w:rPr>
          <w:noProof/>
        </w:rPr>
      </w:pPr>
      <w:r>
        <w:rPr>
          <w:noProof/>
        </w:rPr>
        <w:t xml:space="preserve">Sample size </w:t>
      </w:r>
      <w:r w:rsidR="00A02995">
        <w:rPr>
          <w:noProof/>
        </w:rPr>
        <w:t>was too small</w:t>
      </w:r>
      <w:r>
        <w:rPr>
          <w:noProof/>
        </w:rPr>
        <w:t xml:space="preserve"> for application</w:t>
      </w:r>
      <w:r w:rsidR="000C72A1">
        <w:rPr>
          <w:noProof/>
        </w:rPr>
        <w:t xml:space="preserve"> of Schaefer and Black’s (2007) criteria to</w:t>
      </w:r>
      <w:r>
        <w:rPr>
          <w:noProof/>
        </w:rPr>
        <w:t xml:space="preserve"> </w:t>
      </w:r>
      <w:r w:rsidR="00D17467" w:rsidRPr="00AF7DA1">
        <w:rPr>
          <w:noProof/>
        </w:rPr>
        <w:t xml:space="preserve">male </w:t>
      </w:r>
      <w:r w:rsidR="00D17467" w:rsidRPr="00AF7DA1">
        <w:rPr>
          <w:i/>
          <w:noProof/>
        </w:rPr>
        <w:t>Pan troglodytes</w:t>
      </w:r>
      <w:r w:rsidR="00D17467" w:rsidRPr="00AF7DA1">
        <w:rPr>
          <w:noProof/>
        </w:rPr>
        <w:t xml:space="preserve">.  Another approach </w:t>
      </w:r>
      <w:r w:rsidR="000C72A1">
        <w:rPr>
          <w:noProof/>
        </w:rPr>
        <w:t>was</w:t>
      </w:r>
      <w:r w:rsidR="00D17467" w:rsidRPr="00AF7DA1">
        <w:rPr>
          <w:noProof/>
        </w:rPr>
        <w:t xml:space="preserve"> to </w:t>
      </w:r>
      <w:r w:rsidR="000C72A1">
        <w:rPr>
          <w:noProof/>
        </w:rPr>
        <w:t>consider</w:t>
      </w:r>
      <w:r w:rsidR="00D17467" w:rsidRPr="00AF7DA1">
        <w:rPr>
          <w:noProof/>
        </w:rPr>
        <w:t xml:space="preserve"> combined sex data using Schaefer and Black’s (2007) criteria for epiphyses where differences were not found between sexes</w:t>
      </w:r>
      <w:r w:rsidR="000F750A">
        <w:rPr>
          <w:noProof/>
        </w:rPr>
        <w:t xml:space="preserve"> in Chapter 4</w:t>
      </w:r>
      <w:r w:rsidR="0007005F">
        <w:rPr>
          <w:noProof/>
        </w:rPr>
        <w:t>.  This also allowed</w:t>
      </w:r>
      <w:r w:rsidR="00D17467" w:rsidRPr="00AF7DA1">
        <w:rPr>
          <w:noProof/>
        </w:rPr>
        <w:t xml:space="preserve"> for the inclusion of unsexed </w:t>
      </w:r>
      <w:r w:rsidR="00D17467" w:rsidRPr="00AF7DA1">
        <w:rPr>
          <w:i/>
          <w:noProof/>
        </w:rPr>
        <w:t>Pan troglodytes</w:t>
      </w:r>
      <w:r w:rsidR="00D17467" w:rsidRPr="00AF7DA1">
        <w:rPr>
          <w:noProof/>
        </w:rPr>
        <w:t xml:space="preserve"> individuals.  </w:t>
      </w:r>
      <w:r w:rsidR="00D17467">
        <w:rPr>
          <w:noProof/>
        </w:rPr>
        <w:t>Table 5</w:t>
      </w:r>
      <w:r w:rsidR="00A555CF">
        <w:rPr>
          <w:noProof/>
        </w:rPr>
        <w:t>.3</w:t>
      </w:r>
      <w:r w:rsidR="00D17467" w:rsidRPr="00AF7DA1">
        <w:rPr>
          <w:noProof/>
        </w:rPr>
        <w:t xml:space="preserve"> </w:t>
      </w:r>
      <w:r w:rsidR="0007005F">
        <w:rPr>
          <w:noProof/>
        </w:rPr>
        <w:t>presents</w:t>
      </w:r>
      <w:r w:rsidR="00D17467" w:rsidRPr="00AF7DA1">
        <w:rPr>
          <w:noProof/>
        </w:rPr>
        <w:t xml:space="preserve"> sample sizes for each epiphysis when combined-sex </w:t>
      </w:r>
      <w:r w:rsidR="00E9777D">
        <w:rPr>
          <w:noProof/>
        </w:rPr>
        <w:t xml:space="preserve">data </w:t>
      </w:r>
      <w:r w:rsidR="00E3544A">
        <w:rPr>
          <w:noProof/>
        </w:rPr>
        <w:t>is</w:t>
      </w:r>
      <w:r w:rsidR="00D17467" w:rsidRPr="00AF7DA1">
        <w:rPr>
          <w:noProof/>
        </w:rPr>
        <w:t xml:space="preserve"> considered.  </w:t>
      </w:r>
      <w:r w:rsidR="00D17467">
        <w:rPr>
          <w:noProof/>
        </w:rPr>
        <w:t xml:space="preserve">Contingency tables were produced comparing each epiphysis.  A modular sequence chart is shown in </w:t>
      </w:r>
      <w:r w:rsidR="00EB5BE6">
        <w:rPr>
          <w:noProof/>
        </w:rPr>
        <w:t>F</w:t>
      </w:r>
      <w:r w:rsidR="00D17467">
        <w:rPr>
          <w:noProof/>
        </w:rPr>
        <w:t>igure 5</w:t>
      </w:r>
      <w:r w:rsidR="00F4293E">
        <w:rPr>
          <w:noProof/>
        </w:rPr>
        <w:t>.2</w:t>
      </w:r>
      <w:r w:rsidR="00D17467">
        <w:rPr>
          <w:noProof/>
        </w:rPr>
        <w:t>.</w:t>
      </w:r>
      <w:r w:rsidR="00C27157">
        <w:rPr>
          <w:noProof/>
        </w:rPr>
        <w:t xml:space="preserve">  Sequence order was determined by the net number of epiphyses that proceeded</w:t>
      </w:r>
      <w:r w:rsidR="00F15B87">
        <w:rPr>
          <w:noProof/>
        </w:rPr>
        <w:t xml:space="preserve"> (fused prior to)</w:t>
      </w:r>
      <w:r w:rsidR="00C27157">
        <w:rPr>
          <w:noProof/>
        </w:rPr>
        <w:t xml:space="preserve"> or preceded</w:t>
      </w:r>
      <w:r w:rsidR="00F15B87">
        <w:rPr>
          <w:noProof/>
        </w:rPr>
        <w:t xml:space="preserve"> (fused after)</w:t>
      </w:r>
      <w:r w:rsidR="00C27157">
        <w:rPr>
          <w:noProof/>
        </w:rPr>
        <w:t xml:space="preserve"> a given epiphysis.</w:t>
      </w:r>
    </w:p>
    <w:p w:rsidR="00D17467" w:rsidRPr="00367B05" w:rsidRDefault="00726C1F" w:rsidP="008F6AD8">
      <w:pPr>
        <w:spacing w:before="120" w:after="120" w:line="240" w:lineRule="auto"/>
        <w:rPr>
          <w:noProof/>
        </w:rPr>
      </w:pPr>
      <w:bookmarkStart w:id="2391" w:name="_Toc373180179"/>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3</w:t>
      </w:r>
      <w:r w:rsidR="008943E4">
        <w:rPr>
          <w:b/>
        </w:rPr>
        <w:fldChar w:fldCharType="end"/>
      </w:r>
      <w:r w:rsidR="00D17467">
        <w:rPr>
          <w:noProof/>
        </w:rPr>
        <w:t xml:space="preserve"> Sample size for combined-sex </w:t>
      </w:r>
      <w:r w:rsidR="00D17467">
        <w:rPr>
          <w:i/>
          <w:noProof/>
        </w:rPr>
        <w:t>Pan troglodytes</w:t>
      </w:r>
      <w:r w:rsidR="00D17467">
        <w:rPr>
          <w:noProof/>
        </w:rPr>
        <w:t xml:space="preserve"> mid-fusion epiphysis using Schaefer and Black’s (2007) criteria.</w:t>
      </w:r>
      <w:bookmarkEnd w:id="2391"/>
    </w:p>
    <w:tbl>
      <w:tblPr>
        <w:tblW w:w="7312" w:type="dxa"/>
        <w:jc w:val="center"/>
        <w:tblInd w:w="93" w:type="dxa"/>
        <w:tblBorders>
          <w:top w:val="single" w:sz="4" w:space="0" w:color="auto"/>
          <w:bottom w:val="single" w:sz="4" w:space="0" w:color="auto"/>
        </w:tblBorders>
        <w:tblLook w:val="04A0" w:firstRow="1" w:lastRow="0" w:firstColumn="1" w:lastColumn="0" w:noHBand="0" w:noVBand="1"/>
      </w:tblPr>
      <w:tblGrid>
        <w:gridCol w:w="2617"/>
        <w:gridCol w:w="919"/>
        <w:gridCol w:w="2620"/>
        <w:gridCol w:w="1156"/>
      </w:tblGrid>
      <w:tr w:rsidR="00D17467" w:rsidRPr="007605FA" w:rsidTr="002E7A39">
        <w:trPr>
          <w:trHeight w:val="315"/>
          <w:jc w:val="center"/>
        </w:trPr>
        <w:tc>
          <w:tcPr>
            <w:tcW w:w="2617" w:type="dxa"/>
            <w:tcBorders>
              <w:top w:val="single" w:sz="4" w:space="0" w:color="auto"/>
              <w:bottom w:val="single" w:sz="4" w:space="0" w:color="auto"/>
            </w:tcBorders>
            <w:shd w:val="clear" w:color="auto" w:fill="auto"/>
            <w:noWrap/>
            <w:vAlign w:val="center"/>
            <w:hideMark/>
          </w:tcPr>
          <w:p w:rsidR="00A35CA0" w:rsidRDefault="00641E7A"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D17467" w:rsidRPr="007605FA">
              <w:rPr>
                <w:rFonts w:eastAsia="Times New Roman"/>
                <w:b/>
                <w:bCs/>
                <w:color w:val="000000"/>
                <w:lang w:val="en-GB" w:eastAsia="en-GB"/>
              </w:rPr>
              <w:t>piphysis</w:t>
            </w:r>
          </w:p>
        </w:tc>
        <w:tc>
          <w:tcPr>
            <w:tcW w:w="919"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bCs/>
                <w:i/>
                <w:color w:val="000000"/>
                <w:lang w:val="en-GB" w:eastAsia="en-GB"/>
              </w:rPr>
            </w:pPr>
            <w:r w:rsidRPr="00CA5FBB">
              <w:rPr>
                <w:rFonts w:eastAsia="Times New Roman"/>
                <w:b/>
                <w:bCs/>
                <w:i/>
                <w:color w:val="000000"/>
                <w:lang w:val="en-GB" w:eastAsia="en-GB"/>
              </w:rPr>
              <w:t>N</w:t>
            </w:r>
          </w:p>
        </w:tc>
        <w:tc>
          <w:tcPr>
            <w:tcW w:w="2620" w:type="dxa"/>
            <w:tcBorders>
              <w:top w:val="single" w:sz="4" w:space="0" w:color="auto"/>
              <w:bottom w:val="single" w:sz="4" w:space="0" w:color="auto"/>
            </w:tcBorders>
            <w:shd w:val="clear" w:color="auto" w:fill="auto"/>
            <w:noWrap/>
            <w:vAlign w:val="center"/>
            <w:hideMark/>
          </w:tcPr>
          <w:p w:rsidR="00A35CA0" w:rsidRDefault="00641E7A" w:rsidP="00CA5FBB">
            <w:pPr>
              <w:spacing w:before="0" w:line="240" w:lineRule="auto"/>
              <w:jc w:val="center"/>
              <w:rPr>
                <w:rFonts w:eastAsia="Times New Roman"/>
                <w:b/>
                <w:bCs/>
                <w:color w:val="000000"/>
                <w:sz w:val="28"/>
                <w:szCs w:val="28"/>
                <w:lang w:val="en-GB" w:eastAsia="en-GB"/>
              </w:rPr>
            </w:pPr>
            <w:r>
              <w:rPr>
                <w:rFonts w:eastAsia="Times New Roman"/>
                <w:b/>
                <w:bCs/>
                <w:color w:val="000000"/>
                <w:lang w:val="en-GB" w:eastAsia="en-GB"/>
              </w:rPr>
              <w:t>e</w:t>
            </w:r>
            <w:r w:rsidR="00D17467" w:rsidRPr="007605FA">
              <w:rPr>
                <w:rFonts w:eastAsia="Times New Roman"/>
                <w:b/>
                <w:bCs/>
                <w:color w:val="000000"/>
                <w:lang w:val="en-GB" w:eastAsia="en-GB"/>
              </w:rPr>
              <w:t>piphysis</w:t>
            </w:r>
          </w:p>
        </w:tc>
        <w:tc>
          <w:tcPr>
            <w:tcW w:w="1156"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bCs/>
                <w:i/>
                <w:color w:val="000000"/>
                <w:lang w:val="en-GB" w:eastAsia="en-GB"/>
              </w:rPr>
            </w:pPr>
            <w:r w:rsidRPr="00CA5FBB">
              <w:rPr>
                <w:rFonts w:eastAsia="Times New Roman"/>
                <w:b/>
                <w:bCs/>
                <w:i/>
                <w:color w:val="000000"/>
                <w:lang w:val="en-GB" w:eastAsia="en-GB"/>
              </w:rPr>
              <w:t>N</w:t>
            </w:r>
          </w:p>
        </w:tc>
      </w:tr>
      <w:tr w:rsidR="00D17467" w:rsidRPr="007605FA" w:rsidTr="002E7A39">
        <w:trPr>
          <w:trHeight w:val="315"/>
          <w:jc w:val="center"/>
        </w:trPr>
        <w:tc>
          <w:tcPr>
            <w:tcW w:w="2617" w:type="dxa"/>
            <w:tcBorders>
              <w:top w:val="single" w:sz="4" w:space="0" w:color="auto"/>
            </w:tcBorders>
            <w:shd w:val="clear" w:color="auto" w:fill="auto"/>
            <w:vAlign w:val="center"/>
            <w:hideMark/>
          </w:tcPr>
          <w:p w:rsidR="00A35CA0" w:rsidRDefault="00D17467" w:rsidP="00CA5FBB">
            <w:pPr>
              <w:spacing w:before="0" w:line="240" w:lineRule="auto"/>
              <w:jc w:val="center"/>
              <w:rPr>
                <w:rFonts w:eastAsia="Times New Roman"/>
                <w:b/>
                <w:bCs/>
                <w:color w:val="000000"/>
                <w:sz w:val="28"/>
                <w:szCs w:val="28"/>
                <w:lang w:val="en-GB" w:eastAsia="en-GB"/>
              </w:rPr>
            </w:pPr>
            <w:r w:rsidRPr="007605FA">
              <w:rPr>
                <w:rFonts w:eastAsia="Times New Roman"/>
                <w:color w:val="000000"/>
                <w:lang w:val="en-GB" w:eastAsia="en-GB"/>
              </w:rPr>
              <w:t>proximal humerus</w:t>
            </w:r>
          </w:p>
        </w:tc>
        <w:tc>
          <w:tcPr>
            <w:tcW w:w="919" w:type="dxa"/>
            <w:tcBorders>
              <w:top w:val="single" w:sz="4" w:space="0" w:color="auto"/>
            </w:tcBorders>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18</w:t>
            </w:r>
          </w:p>
        </w:tc>
        <w:tc>
          <w:tcPr>
            <w:tcW w:w="2620" w:type="dxa"/>
            <w:tcBorders>
              <w:top w:val="single" w:sz="4" w:space="0" w:color="auto"/>
            </w:tcBorders>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proximal tibia</w:t>
            </w:r>
          </w:p>
        </w:tc>
        <w:tc>
          <w:tcPr>
            <w:tcW w:w="1156" w:type="dxa"/>
            <w:tcBorders>
              <w:top w:val="single" w:sz="4" w:space="0" w:color="auto"/>
            </w:tcBorders>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19</w:t>
            </w:r>
          </w:p>
        </w:tc>
      </w:tr>
      <w:tr w:rsidR="00D17467" w:rsidRPr="007605FA" w:rsidTr="002E7A39">
        <w:trPr>
          <w:trHeight w:val="300"/>
          <w:jc w:val="center"/>
        </w:trPr>
        <w:tc>
          <w:tcPr>
            <w:tcW w:w="2617" w:type="dxa"/>
            <w:shd w:val="clear" w:color="auto" w:fill="auto"/>
            <w:vAlign w:val="center"/>
            <w:hideMark/>
          </w:tcPr>
          <w:p w:rsidR="00A35CA0" w:rsidRDefault="00FB5ED4"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distal humerus</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11</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distal tibia</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7</w:t>
            </w:r>
          </w:p>
        </w:tc>
      </w:tr>
      <w:tr w:rsidR="00D17467" w:rsidRPr="007605FA" w:rsidTr="002E7A39">
        <w:trPr>
          <w:trHeight w:val="300"/>
          <w:jc w:val="center"/>
        </w:trPr>
        <w:tc>
          <w:tcPr>
            <w:tcW w:w="2617" w:type="dxa"/>
            <w:shd w:val="clear" w:color="auto" w:fill="auto"/>
            <w:vAlign w:val="center"/>
            <w:hideMark/>
          </w:tcPr>
          <w:p w:rsidR="00A35CA0" w:rsidRDefault="002E7A39"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 xml:space="preserve">humeral </w:t>
            </w:r>
            <w:r w:rsidR="00D17467" w:rsidRPr="007605FA">
              <w:rPr>
                <w:rFonts w:eastAsia="Times New Roman"/>
                <w:color w:val="000000"/>
                <w:lang w:val="en-GB" w:eastAsia="en-GB"/>
              </w:rPr>
              <w:t>medial epicondyle</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12</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proximal fibula</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13</w:t>
            </w:r>
          </w:p>
        </w:tc>
      </w:tr>
      <w:tr w:rsidR="00D17467" w:rsidRPr="007605FA" w:rsidTr="002E7A39">
        <w:trPr>
          <w:trHeight w:val="300"/>
          <w:jc w:val="center"/>
        </w:trPr>
        <w:tc>
          <w:tcPr>
            <w:tcW w:w="2617"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proximal radius</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8</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distal fibula</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9</w:t>
            </w:r>
          </w:p>
        </w:tc>
      </w:tr>
      <w:tr w:rsidR="00D17467" w:rsidRPr="007605FA" w:rsidTr="002E7A39">
        <w:trPr>
          <w:trHeight w:val="300"/>
          <w:jc w:val="center"/>
        </w:trPr>
        <w:tc>
          <w:tcPr>
            <w:tcW w:w="2617"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distal radius</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16</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triradiate</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11</w:t>
            </w:r>
          </w:p>
        </w:tc>
      </w:tr>
      <w:tr w:rsidR="00D17467" w:rsidRPr="007605FA" w:rsidTr="002E7A39">
        <w:trPr>
          <w:trHeight w:val="300"/>
          <w:jc w:val="center"/>
        </w:trPr>
        <w:tc>
          <w:tcPr>
            <w:tcW w:w="2617"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proximal ulna</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9</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iliac crest</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17</w:t>
            </w:r>
          </w:p>
        </w:tc>
      </w:tr>
      <w:tr w:rsidR="00D17467" w:rsidRPr="007605FA" w:rsidTr="002E7A39">
        <w:trPr>
          <w:trHeight w:val="300"/>
          <w:jc w:val="center"/>
        </w:trPr>
        <w:tc>
          <w:tcPr>
            <w:tcW w:w="2617"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distal ulna</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14</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ischial epiphysis</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14</w:t>
            </w:r>
          </w:p>
        </w:tc>
      </w:tr>
      <w:tr w:rsidR="00D17467" w:rsidRPr="007605FA" w:rsidTr="002E7A39">
        <w:trPr>
          <w:trHeight w:val="300"/>
          <w:jc w:val="center"/>
        </w:trPr>
        <w:tc>
          <w:tcPr>
            <w:tcW w:w="2617"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proximal femur</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10</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medial clavicle</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9</w:t>
            </w:r>
          </w:p>
        </w:tc>
      </w:tr>
      <w:tr w:rsidR="00D17467" w:rsidRPr="007605FA" w:rsidTr="002E7A39">
        <w:trPr>
          <w:trHeight w:val="300"/>
          <w:jc w:val="center"/>
        </w:trPr>
        <w:tc>
          <w:tcPr>
            <w:tcW w:w="2617"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greater trochanter</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5</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coracoid</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12</w:t>
            </w:r>
          </w:p>
        </w:tc>
      </w:tr>
      <w:tr w:rsidR="00D17467" w:rsidRPr="007605FA" w:rsidTr="002E7A39">
        <w:trPr>
          <w:trHeight w:val="300"/>
          <w:jc w:val="center"/>
        </w:trPr>
        <w:tc>
          <w:tcPr>
            <w:tcW w:w="2617"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lesser trochanter</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7</w:t>
            </w:r>
          </w:p>
        </w:tc>
        <w:tc>
          <w:tcPr>
            <w:tcW w:w="2620"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acromium</w:t>
            </w:r>
          </w:p>
        </w:tc>
        <w:tc>
          <w:tcPr>
            <w:tcW w:w="115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18</w:t>
            </w:r>
          </w:p>
        </w:tc>
      </w:tr>
      <w:tr w:rsidR="00D17467" w:rsidRPr="007605FA" w:rsidTr="002E7A39">
        <w:trPr>
          <w:trHeight w:val="300"/>
          <w:jc w:val="center"/>
        </w:trPr>
        <w:tc>
          <w:tcPr>
            <w:tcW w:w="2617" w:type="dxa"/>
            <w:shd w:val="clear" w:color="auto" w:fill="auto"/>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distal femur</w:t>
            </w:r>
          </w:p>
        </w:tc>
        <w:tc>
          <w:tcPr>
            <w:tcW w:w="919"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7605FA">
              <w:rPr>
                <w:rFonts w:eastAsia="Times New Roman"/>
                <w:color w:val="000000"/>
                <w:lang w:val="en-GB" w:eastAsia="en-GB"/>
              </w:rPr>
              <w:t>16</w:t>
            </w:r>
          </w:p>
        </w:tc>
        <w:tc>
          <w:tcPr>
            <w:tcW w:w="2620"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c>
          <w:tcPr>
            <w:tcW w:w="1156" w:type="dxa"/>
            <w:shd w:val="clear" w:color="auto" w:fill="auto"/>
            <w:noWrap/>
            <w:vAlign w:val="bottom"/>
            <w:hideMark/>
          </w:tcPr>
          <w:p w:rsidR="00A35CA0" w:rsidRDefault="00A35CA0" w:rsidP="00CA5FBB">
            <w:pPr>
              <w:spacing w:before="0" w:line="240" w:lineRule="auto"/>
              <w:rPr>
                <w:rFonts w:eastAsia="Times New Roman"/>
                <w:color w:val="000000"/>
                <w:lang w:val="en-GB" w:eastAsia="en-GB"/>
              </w:rPr>
            </w:pPr>
          </w:p>
        </w:tc>
      </w:tr>
    </w:tbl>
    <w:p w:rsidR="00D17467" w:rsidRDefault="00ED24ED" w:rsidP="00DB00D4">
      <w:pPr>
        <w:spacing w:line="240" w:lineRule="auto"/>
        <w:jc w:val="center"/>
        <w:rPr>
          <w:noProof/>
        </w:rPr>
      </w:pPr>
      <w:r>
        <w:rPr>
          <w:noProof/>
          <w:lang w:val="en-GB" w:eastAsia="en-GB"/>
        </w:rPr>
        <w:lastRenderedPageBreak/>
        <w:drawing>
          <wp:inline distT="0" distB="0" distL="0" distR="0">
            <wp:extent cx="3133956" cy="80867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3956" cy="8086725"/>
                    </a:xfrm>
                    <a:prstGeom prst="rect">
                      <a:avLst/>
                    </a:prstGeom>
                    <a:noFill/>
                    <a:ln>
                      <a:noFill/>
                    </a:ln>
                  </pic:spPr>
                </pic:pic>
              </a:graphicData>
            </a:graphic>
          </wp:inline>
        </w:drawing>
      </w:r>
    </w:p>
    <w:p w:rsidR="009F5DBB" w:rsidRPr="0064422F" w:rsidRDefault="009F5DBB" w:rsidP="000D4970">
      <w:pPr>
        <w:spacing w:before="0" w:line="240" w:lineRule="auto"/>
        <w:rPr>
          <w:noProof/>
        </w:rPr>
      </w:pPr>
      <w:bookmarkStart w:id="2392" w:name="_Toc373147485"/>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5</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2</w:t>
      </w:r>
      <w:r w:rsidR="008943E4" w:rsidRPr="00997A01">
        <w:rPr>
          <w:b/>
        </w:rPr>
        <w:fldChar w:fldCharType="end"/>
      </w:r>
      <w:r w:rsidRPr="00997A01">
        <w:rPr>
          <w:noProof/>
        </w:rPr>
        <w:t xml:space="preserve"> </w:t>
      </w:r>
      <w:r>
        <w:rPr>
          <w:noProof/>
        </w:rPr>
        <w:t xml:space="preserve">Modular sequence for combined-sex </w:t>
      </w:r>
      <w:r>
        <w:rPr>
          <w:i/>
          <w:noProof/>
        </w:rPr>
        <w:t>Pan troglodytes</w:t>
      </w:r>
      <w:r>
        <w:rPr>
          <w:noProof/>
        </w:rPr>
        <w:t>.</w:t>
      </w:r>
      <w:bookmarkEnd w:id="2392"/>
    </w:p>
    <w:p w:rsidR="00A35CA0" w:rsidRDefault="005017F4" w:rsidP="00CA5FBB">
      <w:pPr>
        <w:spacing w:before="0"/>
        <w:rPr>
          <w:noProof/>
        </w:rPr>
      </w:pPr>
      <w:r>
        <w:rPr>
          <w:noProof/>
        </w:rPr>
        <w:lastRenderedPageBreak/>
        <w:t xml:space="preserve">There was a similar amount of overlap </w:t>
      </w:r>
      <w:r w:rsidR="00D17467" w:rsidRPr="006D218B">
        <w:rPr>
          <w:noProof/>
        </w:rPr>
        <w:t xml:space="preserve">of fusion </w:t>
      </w:r>
      <w:r>
        <w:rPr>
          <w:noProof/>
        </w:rPr>
        <w:t xml:space="preserve">events as was observed in Chapter 4 for fusion </w:t>
      </w:r>
      <w:r w:rsidR="001A6681">
        <w:rPr>
          <w:noProof/>
        </w:rPr>
        <w:t>s</w:t>
      </w:r>
      <w:r>
        <w:rPr>
          <w:noProof/>
        </w:rPr>
        <w:t xml:space="preserve">equences using the present study criteria.  However, </w:t>
      </w:r>
      <w:r w:rsidR="00D17467" w:rsidRPr="006D218B">
        <w:rPr>
          <w:noProof/>
        </w:rPr>
        <w:t xml:space="preserve">a </w:t>
      </w:r>
      <w:r w:rsidR="00E366C9">
        <w:rPr>
          <w:noProof/>
        </w:rPr>
        <w:t xml:space="preserve">general </w:t>
      </w:r>
      <w:r w:rsidR="00D17467" w:rsidRPr="006D218B">
        <w:rPr>
          <w:noProof/>
        </w:rPr>
        <w:t xml:space="preserve">sequence </w:t>
      </w:r>
      <w:r>
        <w:rPr>
          <w:noProof/>
        </w:rPr>
        <w:t>remained</w:t>
      </w:r>
      <w:r w:rsidR="00E366C9">
        <w:rPr>
          <w:noProof/>
        </w:rPr>
        <w:t xml:space="preserve"> </w:t>
      </w:r>
      <w:r w:rsidR="00D17467" w:rsidRPr="006D218B">
        <w:rPr>
          <w:noProof/>
        </w:rPr>
        <w:t>discernable.  Table 5.</w:t>
      </w:r>
      <w:r w:rsidR="006F244B">
        <w:rPr>
          <w:noProof/>
        </w:rPr>
        <w:t>4</w:t>
      </w:r>
      <w:r w:rsidR="00D17467" w:rsidRPr="006D218B">
        <w:rPr>
          <w:noProof/>
        </w:rPr>
        <w:t xml:space="preserve"> provides both the human sequence from Schaefer and Black (2007) and the chimpanzee sequence as shown above in </w:t>
      </w:r>
      <w:r w:rsidR="00D056F6">
        <w:rPr>
          <w:noProof/>
        </w:rPr>
        <w:t>F</w:t>
      </w:r>
      <w:r w:rsidR="00D17467" w:rsidRPr="006D218B">
        <w:rPr>
          <w:noProof/>
        </w:rPr>
        <w:t>igure 5</w:t>
      </w:r>
      <w:r w:rsidR="00E40E27">
        <w:rPr>
          <w:noProof/>
        </w:rPr>
        <w:t>.2</w:t>
      </w:r>
      <w:r w:rsidR="00D17467" w:rsidRPr="006D218B">
        <w:rPr>
          <w:noProof/>
        </w:rPr>
        <w:t xml:space="preserve">.  </w:t>
      </w:r>
      <w:r w:rsidR="00D6673A">
        <w:rPr>
          <w:noProof/>
        </w:rPr>
        <w:t>Pairs or groups of e</w:t>
      </w:r>
      <w:r w:rsidR="00D17467" w:rsidRPr="006D218B">
        <w:rPr>
          <w:noProof/>
        </w:rPr>
        <w:t xml:space="preserve">piphyses </w:t>
      </w:r>
      <w:r w:rsidR="005E34AF">
        <w:rPr>
          <w:noProof/>
        </w:rPr>
        <w:t xml:space="preserve">for </w:t>
      </w:r>
      <w:r w:rsidR="00D6673A">
        <w:rPr>
          <w:noProof/>
        </w:rPr>
        <w:t xml:space="preserve">which </w:t>
      </w:r>
      <w:r w:rsidR="00D17467" w:rsidRPr="006D218B">
        <w:rPr>
          <w:noProof/>
        </w:rPr>
        <w:t xml:space="preserve">order could not be determined are highlighted in boldface.  It should be noted that </w:t>
      </w:r>
      <w:r w:rsidR="007E4BAB" w:rsidRPr="006D218B">
        <w:rPr>
          <w:noProof/>
        </w:rPr>
        <w:t xml:space="preserve">these </w:t>
      </w:r>
      <w:r w:rsidR="007E4BAB">
        <w:rPr>
          <w:noProof/>
        </w:rPr>
        <w:t xml:space="preserve">particular </w:t>
      </w:r>
      <w:r w:rsidR="00D17467" w:rsidRPr="006D218B">
        <w:rPr>
          <w:noProof/>
        </w:rPr>
        <w:t xml:space="preserve">epiphyses are separated in </w:t>
      </w:r>
      <w:r w:rsidR="00D056F6">
        <w:rPr>
          <w:noProof/>
        </w:rPr>
        <w:t>F</w:t>
      </w:r>
      <w:r w:rsidR="00D17467" w:rsidRPr="006D218B">
        <w:rPr>
          <w:noProof/>
        </w:rPr>
        <w:t>igure</w:t>
      </w:r>
      <w:r w:rsidR="00D056F6">
        <w:rPr>
          <w:noProof/>
        </w:rPr>
        <w:t xml:space="preserve"> 5.2</w:t>
      </w:r>
      <w:r w:rsidR="00D17467" w:rsidRPr="006D218B">
        <w:rPr>
          <w:noProof/>
        </w:rPr>
        <w:t xml:space="preserve"> due to different epiphyses preceding and proceeding each.  Th</w:t>
      </w:r>
      <w:r w:rsidR="007E4BAB">
        <w:rPr>
          <w:noProof/>
        </w:rPr>
        <w:t xml:space="preserve">e order in this figure is arbitrary and this </w:t>
      </w:r>
      <w:r w:rsidR="00D17467" w:rsidRPr="006D218B">
        <w:rPr>
          <w:noProof/>
        </w:rPr>
        <w:t xml:space="preserve">does not indicate </w:t>
      </w:r>
      <w:r w:rsidR="00204BEE">
        <w:rPr>
          <w:noProof/>
        </w:rPr>
        <w:t xml:space="preserve">a </w:t>
      </w:r>
      <w:r w:rsidR="00D17467" w:rsidRPr="006D218B">
        <w:rPr>
          <w:noProof/>
        </w:rPr>
        <w:t>determination of</w:t>
      </w:r>
      <w:r w:rsidR="001A6681">
        <w:rPr>
          <w:noProof/>
        </w:rPr>
        <w:t xml:space="preserve"> sequence</w:t>
      </w:r>
      <w:r w:rsidR="00D17467" w:rsidRPr="006D218B">
        <w:rPr>
          <w:noProof/>
        </w:rPr>
        <w:t xml:space="preserve"> order.</w:t>
      </w:r>
    </w:p>
    <w:p w:rsidR="00D17467" w:rsidRDefault="009F5DBB" w:rsidP="0013360B">
      <w:pPr>
        <w:spacing w:before="0" w:after="120" w:line="240" w:lineRule="auto"/>
        <w:rPr>
          <w:noProof/>
        </w:rPr>
      </w:pPr>
      <w:bookmarkStart w:id="2393" w:name="_Toc373180180"/>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4</w:t>
      </w:r>
      <w:r w:rsidR="008943E4">
        <w:rPr>
          <w:b/>
        </w:rPr>
        <w:fldChar w:fldCharType="end"/>
      </w:r>
      <w:r w:rsidR="00D17467">
        <w:rPr>
          <w:noProof/>
        </w:rPr>
        <w:t xml:space="preserve"> Comparison of sequence differences between chimpanzees and humans using Schaefer and Black’s (2007) criteria</w:t>
      </w:r>
      <w:r w:rsidR="00D17467" w:rsidRPr="00FA636E">
        <w:t>.</w:t>
      </w:r>
      <w:bookmarkEnd w:id="2393"/>
    </w:p>
    <w:tbl>
      <w:tblPr>
        <w:tblW w:w="7463" w:type="dxa"/>
        <w:jc w:val="center"/>
        <w:tblBorders>
          <w:top w:val="single" w:sz="4" w:space="0" w:color="auto"/>
          <w:bottom w:val="single" w:sz="4" w:space="0" w:color="auto"/>
        </w:tblBorders>
        <w:tblLook w:val="04A0" w:firstRow="1" w:lastRow="0" w:firstColumn="1" w:lastColumn="0" w:noHBand="0" w:noVBand="1"/>
      </w:tblPr>
      <w:tblGrid>
        <w:gridCol w:w="3777"/>
        <w:gridCol w:w="3686"/>
      </w:tblGrid>
      <w:tr w:rsidR="00D17467" w:rsidRPr="003B570B" w:rsidTr="00161FB8">
        <w:trPr>
          <w:trHeight w:hRule="exact" w:val="284"/>
          <w:jc w:val="center"/>
        </w:trPr>
        <w:tc>
          <w:tcPr>
            <w:tcW w:w="3777" w:type="dxa"/>
            <w:tcBorders>
              <w:top w:val="single" w:sz="4" w:space="0" w:color="auto"/>
              <w:bottom w:val="single" w:sz="4" w:space="0" w:color="auto"/>
            </w:tcBorders>
            <w:shd w:val="clear" w:color="auto" w:fill="auto"/>
            <w:noWrap/>
            <w:vAlign w:val="center"/>
            <w:hideMark/>
          </w:tcPr>
          <w:p w:rsidR="00A35CA0" w:rsidRPr="00CA5FBB" w:rsidRDefault="00DB69B9" w:rsidP="00CA5FBB">
            <w:pPr>
              <w:spacing w:before="0" w:line="240" w:lineRule="auto"/>
              <w:jc w:val="center"/>
              <w:rPr>
                <w:rFonts w:eastAsia="Times New Roman"/>
                <w:b/>
                <w:color w:val="000000"/>
                <w:lang w:val="en-GB" w:eastAsia="en-GB"/>
              </w:rPr>
            </w:pPr>
            <w:r>
              <w:rPr>
                <w:rFonts w:eastAsia="Times New Roman"/>
                <w:b/>
                <w:color w:val="000000"/>
                <w:lang w:val="en-GB" w:eastAsia="en-GB"/>
              </w:rPr>
              <w:t>c</w:t>
            </w:r>
            <w:r w:rsidR="008943E4" w:rsidRPr="00CA5FBB">
              <w:rPr>
                <w:rFonts w:eastAsia="Times New Roman"/>
                <w:b/>
                <w:color w:val="000000"/>
                <w:lang w:val="en-GB" w:eastAsia="en-GB"/>
              </w:rPr>
              <w:t>ombined-sex chimpanzees</w:t>
            </w:r>
          </w:p>
        </w:tc>
        <w:tc>
          <w:tcPr>
            <w:tcW w:w="3686"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Schaefer and Black (2007) humans</w:t>
            </w:r>
          </w:p>
        </w:tc>
      </w:tr>
      <w:tr w:rsidR="00D17467" w:rsidRPr="003B570B" w:rsidTr="00161FB8">
        <w:trPr>
          <w:trHeight w:hRule="exact" w:val="284"/>
          <w:jc w:val="center"/>
        </w:trPr>
        <w:tc>
          <w:tcPr>
            <w:tcW w:w="3777"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b/>
                <w:bCs/>
                <w:color w:val="000000"/>
                <w:sz w:val="28"/>
                <w:szCs w:val="28"/>
                <w:lang w:val="en-GB" w:eastAsia="en-GB"/>
              </w:rPr>
            </w:pPr>
            <w:r>
              <w:rPr>
                <w:rFonts w:eastAsia="Times New Roman"/>
                <w:color w:val="000000"/>
                <w:lang w:val="en-GB" w:eastAsia="en-GB"/>
              </w:rPr>
              <w:t>distal humerus</w:t>
            </w:r>
          </w:p>
        </w:tc>
        <w:tc>
          <w:tcPr>
            <w:tcW w:w="3686" w:type="dxa"/>
            <w:tcBorders>
              <w:top w:val="single" w:sz="4" w:space="0" w:color="auto"/>
            </w:tcBorders>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color w:val="000000"/>
                <w:lang w:val="en-GB" w:eastAsia="en-GB"/>
              </w:rPr>
              <w:t>triradiate</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color w:val="000000"/>
                <w:lang w:val="en-GB" w:eastAsia="en-GB"/>
              </w:rPr>
              <w:t>triradiate</w:t>
            </w:r>
          </w:p>
        </w:tc>
        <w:tc>
          <w:tcPr>
            <w:tcW w:w="3686" w:type="dxa"/>
            <w:shd w:val="clear" w:color="auto" w:fill="auto"/>
            <w:noWrap/>
            <w:vAlign w:val="center"/>
            <w:hideMark/>
          </w:tcPr>
          <w:p w:rsidR="00A35CA0" w:rsidRPr="00FB5ED4" w:rsidRDefault="00D17467" w:rsidP="00CA5FBB">
            <w:pPr>
              <w:spacing w:before="0" w:line="240" w:lineRule="auto"/>
              <w:jc w:val="center"/>
              <w:rPr>
                <w:rFonts w:eastAsia="Times New Roman"/>
                <w:b/>
                <w:bCs/>
                <w:color w:val="000000"/>
                <w:sz w:val="24"/>
                <w:szCs w:val="24"/>
                <w:lang w:val="en-GB" w:eastAsia="en-GB"/>
              </w:rPr>
            </w:pPr>
            <w:r w:rsidRPr="00FB5ED4">
              <w:rPr>
                <w:rFonts w:eastAsia="Times New Roman"/>
                <w:b/>
                <w:color w:val="000000"/>
                <w:lang w:val="en-GB" w:eastAsia="en-GB"/>
              </w:rPr>
              <w:t>proximal ulna/</w:t>
            </w:r>
            <w:r w:rsidR="00FB5ED4" w:rsidRPr="00FB5ED4">
              <w:rPr>
                <w:rFonts w:eastAsia="Times New Roman"/>
                <w:b/>
                <w:color w:val="000000"/>
                <w:lang w:val="en-GB" w:eastAsia="en-GB"/>
              </w:rPr>
              <w:t xml:space="preserve"> distal humerus</w:t>
            </w:r>
          </w:p>
        </w:tc>
      </w:tr>
      <w:tr w:rsidR="00D17467" w:rsidRPr="003B570B" w:rsidTr="00161FB8">
        <w:trPr>
          <w:trHeight w:hRule="exact" w:val="284"/>
          <w:jc w:val="center"/>
        </w:trPr>
        <w:tc>
          <w:tcPr>
            <w:tcW w:w="3777" w:type="dxa"/>
            <w:shd w:val="clear" w:color="auto" w:fill="auto"/>
            <w:noWrap/>
            <w:vAlign w:val="center"/>
            <w:hideMark/>
          </w:tcPr>
          <w:p w:rsidR="00A35CA0" w:rsidRDefault="002E7A39" w:rsidP="00CA5FBB">
            <w:pPr>
              <w:spacing w:before="0" w:line="240" w:lineRule="auto"/>
              <w:jc w:val="center"/>
              <w:rPr>
                <w:rFonts w:eastAsia="Times New Roman"/>
                <w:b/>
                <w:bCs/>
                <w:color w:val="000000"/>
                <w:sz w:val="24"/>
                <w:szCs w:val="24"/>
                <w:lang w:val="en-GB" w:eastAsia="en-GB"/>
              </w:rPr>
            </w:pPr>
            <w:r>
              <w:rPr>
                <w:rFonts w:eastAsia="Times New Roman"/>
                <w:color w:val="000000"/>
                <w:lang w:val="en-GB" w:eastAsia="en-GB"/>
              </w:rPr>
              <w:t xml:space="preserve">humeral </w:t>
            </w:r>
            <w:r w:rsidR="00D17467" w:rsidRPr="003B570B">
              <w:rPr>
                <w:rFonts w:eastAsia="Times New Roman"/>
                <w:color w:val="000000"/>
                <w:lang w:val="en-GB" w:eastAsia="en-GB"/>
              </w:rPr>
              <w:t>medial epicondyle</w:t>
            </w:r>
          </w:p>
        </w:tc>
        <w:tc>
          <w:tcPr>
            <w:tcW w:w="3686" w:type="dxa"/>
            <w:shd w:val="clear" w:color="auto" w:fill="auto"/>
            <w:noWrap/>
            <w:vAlign w:val="center"/>
            <w:hideMark/>
          </w:tcPr>
          <w:p w:rsidR="00A35CA0" w:rsidRPr="00FB5ED4" w:rsidRDefault="00D17467" w:rsidP="00CA5FBB">
            <w:pPr>
              <w:spacing w:before="0" w:line="240" w:lineRule="auto"/>
              <w:jc w:val="center"/>
              <w:rPr>
                <w:rFonts w:eastAsia="Times New Roman"/>
                <w:b/>
                <w:bCs/>
                <w:color w:val="000000"/>
                <w:sz w:val="24"/>
                <w:szCs w:val="24"/>
                <w:lang w:val="en-GB" w:eastAsia="en-GB"/>
              </w:rPr>
            </w:pPr>
            <w:r w:rsidRPr="00FB5ED4">
              <w:rPr>
                <w:rFonts w:eastAsia="Times New Roman"/>
                <w:b/>
                <w:color w:val="000000"/>
                <w:lang w:val="en-GB" w:eastAsia="en-GB"/>
              </w:rPr>
              <w:t>proximal ulna/</w:t>
            </w:r>
            <w:r w:rsidR="00FB5ED4" w:rsidRPr="00FB5ED4">
              <w:rPr>
                <w:rFonts w:eastAsia="Times New Roman"/>
                <w:b/>
                <w:color w:val="000000"/>
                <w:lang w:val="en-GB" w:eastAsia="en-GB"/>
              </w:rPr>
              <w:t xml:space="preserve"> distal humerus</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color w:val="000000"/>
                <w:lang w:val="en-GB" w:eastAsia="en-GB"/>
              </w:rPr>
              <w:t>coracoid</w:t>
            </w:r>
          </w:p>
        </w:tc>
        <w:tc>
          <w:tcPr>
            <w:tcW w:w="368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color w:val="000000"/>
                <w:lang w:val="en-GB" w:eastAsia="en-GB"/>
              </w:rPr>
              <w:t>coracoid</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color w:val="000000"/>
                <w:lang w:val="en-GB" w:eastAsia="en-GB"/>
              </w:rPr>
              <w:t>proximal ulna</w:t>
            </w:r>
          </w:p>
        </w:tc>
        <w:tc>
          <w:tcPr>
            <w:tcW w:w="3686"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color w:val="000000"/>
                <w:lang w:val="en-GB" w:eastAsia="en-GB"/>
              </w:rPr>
              <w:t>proximal radius</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b/>
                <w:bCs/>
                <w:color w:val="000000"/>
                <w:lang w:val="en-GB" w:eastAsia="en-GB"/>
              </w:rPr>
              <w:t>proximal radius/lesser trochanter</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 xml:space="preserve">femoral head </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b/>
                <w:bCs/>
                <w:color w:val="000000"/>
                <w:lang w:val="en-GB" w:eastAsia="en-GB"/>
              </w:rPr>
              <w:t>proximal radius/lesser trochanter</w:t>
            </w:r>
          </w:p>
        </w:tc>
        <w:tc>
          <w:tcPr>
            <w:tcW w:w="3686" w:type="dxa"/>
            <w:shd w:val="clear" w:color="auto" w:fill="auto"/>
            <w:noWrap/>
            <w:vAlign w:val="center"/>
            <w:hideMark/>
          </w:tcPr>
          <w:p w:rsidR="00A35CA0" w:rsidRDefault="002E7A39"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D17467" w:rsidRPr="003B570B">
              <w:rPr>
                <w:rFonts w:eastAsia="Times New Roman"/>
                <w:color w:val="000000"/>
                <w:lang w:val="en-GB" w:eastAsia="en-GB"/>
              </w:rPr>
              <w:t>medial epicondyle</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greater trochanter</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distal tibia</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femoral head</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lesser trochanter</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b/>
                <w:bCs/>
                <w:color w:val="000000"/>
                <w:lang w:val="en-GB" w:eastAsia="en-GB"/>
              </w:rPr>
              <w:t>proximal tibia/distal fibula</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greater trochanter</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b/>
                <w:bCs/>
                <w:color w:val="000000"/>
                <w:lang w:val="en-GB" w:eastAsia="en-GB"/>
              </w:rPr>
              <w:t>proximal tibia/distal fibula</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ischial epiphysis</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b/>
                <w:bCs/>
                <w:color w:val="000000"/>
                <w:lang w:val="en-GB" w:eastAsia="en-GB"/>
              </w:rPr>
              <w:t>distal femur/distal tibia</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distal fibula</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b/>
                <w:bCs/>
                <w:color w:val="000000"/>
                <w:sz w:val="24"/>
                <w:szCs w:val="24"/>
                <w:lang w:val="en-GB" w:eastAsia="en-GB"/>
              </w:rPr>
            </w:pPr>
            <w:r w:rsidRPr="003B570B">
              <w:rPr>
                <w:rFonts w:eastAsia="Times New Roman"/>
                <w:b/>
                <w:bCs/>
                <w:color w:val="000000"/>
                <w:lang w:val="en-GB" w:eastAsia="en-GB"/>
              </w:rPr>
              <w:t>distal femur/distal tibia</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proximal tibia</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proximal fibula</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distal femur</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proximal humerus</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acromium</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ischial epiphysis</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proximal fibula</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distal radius</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iliac creast</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distal ulna</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proximal humerus</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acromium</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distal radius</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iliac crest</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distal ulna</w:t>
            </w:r>
          </w:p>
        </w:tc>
      </w:tr>
      <w:tr w:rsidR="00D17467" w:rsidRPr="003B570B" w:rsidTr="00161FB8">
        <w:trPr>
          <w:trHeight w:hRule="exact" w:val="284"/>
          <w:jc w:val="center"/>
        </w:trPr>
        <w:tc>
          <w:tcPr>
            <w:tcW w:w="3777"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medial clavicle</w:t>
            </w:r>
          </w:p>
        </w:tc>
        <w:tc>
          <w:tcPr>
            <w:tcW w:w="3686" w:type="dxa"/>
            <w:shd w:val="clear" w:color="auto" w:fill="auto"/>
            <w:noWrap/>
            <w:vAlign w:val="center"/>
            <w:hideMark/>
          </w:tcPr>
          <w:p w:rsidR="00A35CA0" w:rsidRDefault="00D17467" w:rsidP="00CA5FBB">
            <w:pPr>
              <w:spacing w:before="0" w:line="240" w:lineRule="auto"/>
              <w:jc w:val="center"/>
              <w:rPr>
                <w:rFonts w:eastAsia="Times New Roman"/>
                <w:color w:val="000000"/>
                <w:sz w:val="24"/>
                <w:szCs w:val="24"/>
                <w:lang w:val="en-GB" w:eastAsia="en-GB"/>
              </w:rPr>
            </w:pPr>
            <w:r w:rsidRPr="003B570B">
              <w:rPr>
                <w:rFonts w:eastAsia="Times New Roman"/>
                <w:color w:val="000000"/>
                <w:lang w:val="en-GB" w:eastAsia="en-GB"/>
              </w:rPr>
              <w:t>medial clavicle</w:t>
            </w:r>
          </w:p>
        </w:tc>
      </w:tr>
    </w:tbl>
    <w:p w:rsidR="00A35CA0" w:rsidRDefault="00576537" w:rsidP="00CA5FBB">
      <w:pPr>
        <w:spacing w:before="120"/>
        <w:rPr>
          <w:noProof/>
        </w:rPr>
      </w:pPr>
      <w:r>
        <w:rPr>
          <w:noProof/>
        </w:rPr>
        <w:t xml:space="preserve">The sequence order </w:t>
      </w:r>
      <w:r w:rsidR="00836F31">
        <w:rPr>
          <w:noProof/>
        </w:rPr>
        <w:t xml:space="preserve">appears to be different </w:t>
      </w:r>
      <w:r>
        <w:rPr>
          <w:noProof/>
        </w:rPr>
        <w:t xml:space="preserve">between </w:t>
      </w:r>
      <w:r w:rsidR="00E91062">
        <w:rPr>
          <w:noProof/>
        </w:rPr>
        <w:t xml:space="preserve">the two species. </w:t>
      </w:r>
      <w:r w:rsidR="00B03842">
        <w:rPr>
          <w:noProof/>
        </w:rPr>
        <w:t xml:space="preserve"> </w:t>
      </w:r>
      <w:r w:rsidR="006E7512">
        <w:rPr>
          <w:noProof/>
        </w:rPr>
        <w:t>T</w:t>
      </w:r>
      <w:r w:rsidR="00836F31">
        <w:rPr>
          <w:noProof/>
        </w:rPr>
        <w:t xml:space="preserve">he level of overlap indicates that many of these sequence differences </w:t>
      </w:r>
      <w:r w:rsidR="00EF2DE5">
        <w:rPr>
          <w:noProof/>
        </w:rPr>
        <w:t xml:space="preserve">were based on very small differences in frequency and </w:t>
      </w:r>
      <w:r w:rsidR="00551BDA">
        <w:rPr>
          <w:noProof/>
        </w:rPr>
        <w:t xml:space="preserve">the removal of </w:t>
      </w:r>
      <w:r w:rsidR="00FF4DAB">
        <w:rPr>
          <w:noProof/>
        </w:rPr>
        <w:t>one or two individual</w:t>
      </w:r>
      <w:r w:rsidR="00957951">
        <w:rPr>
          <w:noProof/>
        </w:rPr>
        <w:t>s for a given epiphysis</w:t>
      </w:r>
      <w:r w:rsidR="00EF2DE5">
        <w:rPr>
          <w:noProof/>
        </w:rPr>
        <w:t xml:space="preserve"> would shift</w:t>
      </w:r>
      <w:r w:rsidR="00FF4DAB">
        <w:rPr>
          <w:noProof/>
        </w:rPr>
        <w:t xml:space="preserve"> sequence </w:t>
      </w:r>
      <w:r w:rsidR="00E87738">
        <w:rPr>
          <w:noProof/>
        </w:rPr>
        <w:t>position</w:t>
      </w:r>
      <w:r w:rsidR="00FF4DAB">
        <w:rPr>
          <w:noProof/>
        </w:rPr>
        <w:t xml:space="preserve"> </w:t>
      </w:r>
      <w:r w:rsidR="00910102">
        <w:rPr>
          <w:noProof/>
        </w:rPr>
        <w:t xml:space="preserve">several </w:t>
      </w:r>
      <w:r w:rsidR="00FF4DAB">
        <w:rPr>
          <w:noProof/>
        </w:rPr>
        <w:t>places</w:t>
      </w:r>
      <w:r w:rsidR="00836F31">
        <w:rPr>
          <w:noProof/>
        </w:rPr>
        <w:t xml:space="preserve">.  </w:t>
      </w:r>
      <w:r w:rsidR="006E7512">
        <w:rPr>
          <w:noProof/>
        </w:rPr>
        <w:t xml:space="preserve">The appropriate test for this type of data would be a </w:t>
      </w:r>
      <w:r w:rsidR="008862E8">
        <w:rPr>
          <w:noProof/>
        </w:rPr>
        <w:t xml:space="preserve">chi-squared </w:t>
      </w:r>
      <w:r w:rsidR="0045155C">
        <w:rPr>
          <w:noProof/>
        </w:rPr>
        <w:t xml:space="preserve">or fisher exact </w:t>
      </w:r>
      <w:r w:rsidR="006E7512">
        <w:rPr>
          <w:noProof/>
        </w:rPr>
        <w:t>test</w:t>
      </w:r>
      <w:r w:rsidR="00594A77">
        <w:rPr>
          <w:noProof/>
        </w:rPr>
        <w:t xml:space="preserve">.  However, for </w:t>
      </w:r>
      <w:r w:rsidR="0045155C">
        <w:rPr>
          <w:noProof/>
        </w:rPr>
        <w:t xml:space="preserve">virtually all cases </w:t>
      </w:r>
      <w:r w:rsidR="00594A77">
        <w:rPr>
          <w:noProof/>
        </w:rPr>
        <w:t xml:space="preserve">there would be </w:t>
      </w:r>
      <w:r w:rsidR="0045155C">
        <w:rPr>
          <w:noProof/>
        </w:rPr>
        <w:t xml:space="preserve">insufficient </w:t>
      </w:r>
      <w:r w:rsidR="008862E8">
        <w:rPr>
          <w:noProof/>
        </w:rPr>
        <w:t>sample size</w:t>
      </w:r>
      <w:r w:rsidR="00EF2DE5">
        <w:rPr>
          <w:noProof/>
        </w:rPr>
        <w:t xml:space="preserve"> for statistical validity</w:t>
      </w:r>
      <w:r w:rsidR="008862E8">
        <w:rPr>
          <w:noProof/>
        </w:rPr>
        <w:t xml:space="preserve">.  </w:t>
      </w:r>
      <w:r w:rsidR="00E15ABC">
        <w:rPr>
          <w:noProof/>
        </w:rPr>
        <w:t>Schaefer and</w:t>
      </w:r>
      <w:r w:rsidR="00CF3FBA">
        <w:rPr>
          <w:noProof/>
        </w:rPr>
        <w:t xml:space="preserve"> Black (2007) had</w:t>
      </w:r>
      <w:r w:rsidR="00E15ABC">
        <w:rPr>
          <w:noProof/>
        </w:rPr>
        <w:t xml:space="preserve"> the luxury of </w:t>
      </w:r>
      <w:r w:rsidR="000E0F47">
        <w:rPr>
          <w:noProof/>
        </w:rPr>
        <w:t>a much larger sample size</w:t>
      </w:r>
      <w:r w:rsidR="00E15ABC">
        <w:rPr>
          <w:noProof/>
        </w:rPr>
        <w:t xml:space="preserve"> making the </w:t>
      </w:r>
      <w:r w:rsidR="00CF3FBA">
        <w:rPr>
          <w:noProof/>
        </w:rPr>
        <w:t xml:space="preserve">analysis </w:t>
      </w:r>
      <w:r w:rsidR="00E15ABC">
        <w:rPr>
          <w:noProof/>
        </w:rPr>
        <w:t xml:space="preserve">of </w:t>
      </w:r>
      <w:r w:rsidR="00F71447">
        <w:rPr>
          <w:noProof/>
        </w:rPr>
        <w:t xml:space="preserve">closely fusing epiphyses </w:t>
      </w:r>
      <w:r w:rsidR="00E15ABC">
        <w:rPr>
          <w:noProof/>
        </w:rPr>
        <w:t xml:space="preserve">more </w:t>
      </w:r>
      <w:r w:rsidR="00161FB8">
        <w:rPr>
          <w:noProof/>
        </w:rPr>
        <w:t>distinctly resolved</w:t>
      </w:r>
      <w:r w:rsidR="00107B62">
        <w:rPr>
          <w:noProof/>
        </w:rPr>
        <w:t xml:space="preserve"> for their study</w:t>
      </w:r>
      <w:r w:rsidR="00E15ABC">
        <w:rPr>
          <w:noProof/>
        </w:rPr>
        <w:t xml:space="preserve">. </w:t>
      </w:r>
      <w:r w:rsidR="00F34FE9">
        <w:rPr>
          <w:noProof/>
        </w:rPr>
        <w:t xml:space="preserve"> </w:t>
      </w:r>
      <w:r w:rsidR="00864C96">
        <w:rPr>
          <w:noProof/>
        </w:rPr>
        <w:t>Even with this being the case</w:t>
      </w:r>
      <w:r w:rsidR="00A7192A">
        <w:rPr>
          <w:noProof/>
        </w:rPr>
        <w:t xml:space="preserve"> the amount of overlap observed </w:t>
      </w:r>
      <w:r w:rsidR="00864C96">
        <w:rPr>
          <w:noProof/>
        </w:rPr>
        <w:t xml:space="preserve">in </w:t>
      </w:r>
      <w:r w:rsidR="000A22EC">
        <w:rPr>
          <w:noProof/>
        </w:rPr>
        <w:t>their data also would</w:t>
      </w:r>
      <w:r w:rsidR="00C003FF">
        <w:rPr>
          <w:noProof/>
        </w:rPr>
        <w:t xml:space="preserve"> have made</w:t>
      </w:r>
      <w:r w:rsidR="000A22EC">
        <w:rPr>
          <w:noProof/>
        </w:rPr>
        <w:t xml:space="preserve"> </w:t>
      </w:r>
      <w:r w:rsidR="000E049A">
        <w:rPr>
          <w:noProof/>
        </w:rPr>
        <w:t xml:space="preserve">this type of </w:t>
      </w:r>
      <w:r w:rsidR="000A22EC">
        <w:rPr>
          <w:noProof/>
        </w:rPr>
        <w:t xml:space="preserve">statistical analysis </w:t>
      </w:r>
      <w:r w:rsidR="000A74A4">
        <w:rPr>
          <w:noProof/>
        </w:rPr>
        <w:t>for</w:t>
      </w:r>
      <w:r w:rsidR="000A22EC">
        <w:rPr>
          <w:noProof/>
        </w:rPr>
        <w:t xml:space="preserve"> frequency difference </w:t>
      </w:r>
      <w:r w:rsidR="00C003FF">
        <w:rPr>
          <w:noProof/>
        </w:rPr>
        <w:t xml:space="preserve">inconclusive </w:t>
      </w:r>
      <w:r w:rsidR="000A22EC">
        <w:rPr>
          <w:noProof/>
        </w:rPr>
        <w:t>for many epiphyses</w:t>
      </w:r>
      <w:r w:rsidR="00C003FF">
        <w:rPr>
          <w:noProof/>
        </w:rPr>
        <w:t>.</w:t>
      </w:r>
    </w:p>
    <w:p w:rsidR="00A35CA0" w:rsidRDefault="00B37CDF" w:rsidP="00CA5FBB">
      <w:pPr>
        <w:pStyle w:val="Heading3"/>
      </w:pPr>
      <w:bookmarkStart w:id="2394" w:name="_Toc373477862"/>
      <w:bookmarkStart w:id="2395" w:name="_Toc373480860"/>
      <w:r>
        <w:lastRenderedPageBreak/>
        <w:t>Comparison of mean epiphyseal fusion sequence patterns to Schaefer and Black (2007)</w:t>
      </w:r>
      <w:bookmarkEnd w:id="2394"/>
      <w:bookmarkEnd w:id="2395"/>
    </w:p>
    <w:p w:rsidR="00A35CA0" w:rsidRDefault="000009D2" w:rsidP="00CA5FBB">
      <w:pPr>
        <w:rPr>
          <w:noProof/>
        </w:rPr>
      </w:pPr>
      <w:r>
        <w:rPr>
          <w:noProof/>
        </w:rPr>
        <w:t>In Chapter 4 mean epiphyseal fusion score was used as a maturational indicator for sequencing e</w:t>
      </w:r>
      <w:r w:rsidR="00B37CDF">
        <w:rPr>
          <w:noProof/>
        </w:rPr>
        <w:t>piphyseal fusion events.</w:t>
      </w:r>
      <w:r w:rsidR="00BA576D">
        <w:rPr>
          <w:noProof/>
        </w:rPr>
        <w:t xml:space="preserve">  It is worth investigating if this method produced different patterns than those found for modular sequence</w:t>
      </w:r>
      <w:r w:rsidR="0037323B">
        <w:rPr>
          <w:noProof/>
        </w:rPr>
        <w:t xml:space="preserve"> in the previous section</w:t>
      </w:r>
      <w:r w:rsidR="0038714F" w:rsidRPr="0038714F">
        <w:rPr>
          <w:noProof/>
        </w:rPr>
        <w:t xml:space="preserve"> </w:t>
      </w:r>
      <w:r w:rsidR="0038714F">
        <w:rPr>
          <w:noProof/>
        </w:rPr>
        <w:t>when compared to Schaefer and Black (2007)</w:t>
      </w:r>
      <w:r w:rsidR="00BA576D">
        <w:rPr>
          <w:noProof/>
        </w:rPr>
        <w:t>.</w:t>
      </w:r>
      <w:r w:rsidR="00B37CDF">
        <w:rPr>
          <w:noProof/>
        </w:rPr>
        <w:t xml:space="preserve">  </w:t>
      </w:r>
      <w:r w:rsidR="00CF0782">
        <w:rPr>
          <w:noProof/>
        </w:rPr>
        <w:t xml:space="preserve">Schaefer and Black’s (2007) criteria for epiphyseal fusion was applied to the </w:t>
      </w:r>
      <w:r>
        <w:rPr>
          <w:noProof/>
        </w:rPr>
        <w:t xml:space="preserve">combined-sex </w:t>
      </w:r>
      <w:r w:rsidR="002E60BA">
        <w:rPr>
          <w:noProof/>
        </w:rPr>
        <w:t xml:space="preserve">mid-fusion </w:t>
      </w:r>
      <w:r w:rsidR="00CF0782">
        <w:rPr>
          <w:i/>
          <w:noProof/>
        </w:rPr>
        <w:t xml:space="preserve">Pan troglodytes </w:t>
      </w:r>
      <w:r>
        <w:rPr>
          <w:noProof/>
        </w:rPr>
        <w:t>sample</w:t>
      </w:r>
      <w:r w:rsidR="00CF0782">
        <w:rPr>
          <w:noProof/>
        </w:rPr>
        <w:t xml:space="preserve"> from this study</w:t>
      </w:r>
      <w:r w:rsidR="005F48AC">
        <w:rPr>
          <w:noProof/>
        </w:rPr>
        <w:t xml:space="preserve">.  Results for post-hoc Bonferroni tests are available in </w:t>
      </w:r>
      <w:r w:rsidR="00F75F40">
        <w:rPr>
          <w:noProof/>
        </w:rPr>
        <w:t>T</w:t>
      </w:r>
      <w:r w:rsidR="005F48AC">
        <w:rPr>
          <w:noProof/>
        </w:rPr>
        <w:t xml:space="preserve">able </w:t>
      </w:r>
      <w:r w:rsidR="00304E53">
        <w:rPr>
          <w:noProof/>
        </w:rPr>
        <w:t>8.2.2</w:t>
      </w:r>
      <w:r w:rsidR="004F0809">
        <w:rPr>
          <w:noProof/>
        </w:rPr>
        <w:t>.3</w:t>
      </w:r>
      <w:r w:rsidR="005F48AC">
        <w:rPr>
          <w:noProof/>
        </w:rPr>
        <w:t xml:space="preserve"> in the</w:t>
      </w:r>
      <w:r w:rsidR="00304E53">
        <w:rPr>
          <w:noProof/>
        </w:rPr>
        <w:t xml:space="preserve"> digital appendix (section 8.2.2</w:t>
      </w:r>
      <w:r w:rsidR="005F48AC">
        <w:rPr>
          <w:noProof/>
        </w:rPr>
        <w:t xml:space="preserve">).  </w:t>
      </w:r>
      <w:r w:rsidR="007B6B7D">
        <w:rPr>
          <w:noProof/>
        </w:rPr>
        <w:t>The sequence of fusion events was similar to that found using the present study</w:t>
      </w:r>
      <w:r w:rsidR="00F75F40">
        <w:rPr>
          <w:noProof/>
        </w:rPr>
        <w:t xml:space="preserve"> criteria (including stages 2, 3</w:t>
      </w:r>
      <w:r w:rsidR="007B6B7D">
        <w:rPr>
          <w:noProof/>
        </w:rPr>
        <w:t xml:space="preserve"> and 4).  The level of overlap was also consistent with th</w:t>
      </w:r>
      <w:r w:rsidR="0060264B">
        <w:rPr>
          <w:noProof/>
        </w:rPr>
        <w:t xml:space="preserve">at observed for present-study criteria used </w:t>
      </w:r>
      <w:r w:rsidR="007B6B7D">
        <w:rPr>
          <w:noProof/>
        </w:rPr>
        <w:t xml:space="preserve">in Chapter 4.  The sequence of fusion events is shown in comparison with that of Schaefer and Black (2007) in </w:t>
      </w:r>
      <w:r w:rsidR="006F244B">
        <w:rPr>
          <w:noProof/>
        </w:rPr>
        <w:t>T</w:t>
      </w:r>
      <w:r w:rsidR="007B6B7D">
        <w:rPr>
          <w:noProof/>
        </w:rPr>
        <w:t>able</w:t>
      </w:r>
      <w:r w:rsidR="004A07BD">
        <w:rPr>
          <w:noProof/>
        </w:rPr>
        <w:t xml:space="preserve"> 5.</w:t>
      </w:r>
      <w:r w:rsidR="006F244B">
        <w:rPr>
          <w:noProof/>
        </w:rPr>
        <w:t>5</w:t>
      </w:r>
      <w:r w:rsidR="007B6B7D">
        <w:rPr>
          <w:noProof/>
        </w:rPr>
        <w:t>.</w:t>
      </w:r>
    </w:p>
    <w:p w:rsidR="003E1AF9" w:rsidRDefault="00B54110" w:rsidP="00FF642C">
      <w:pPr>
        <w:spacing w:before="120" w:after="120" w:line="240" w:lineRule="auto"/>
        <w:rPr>
          <w:noProof/>
        </w:rPr>
      </w:pPr>
      <w:bookmarkStart w:id="2396" w:name="_Toc373180181"/>
      <w:proofErr w:type="gramStart"/>
      <w:r w:rsidRPr="00997A01">
        <w:rPr>
          <w:b/>
        </w:rPr>
        <w:t xml:space="preserve">Table </w:t>
      </w:r>
      <w:r w:rsidR="008943E4">
        <w:rPr>
          <w:b/>
        </w:rPr>
        <w:fldChar w:fldCharType="begin"/>
      </w:r>
      <w:r>
        <w:rPr>
          <w:b/>
        </w:rPr>
        <w:instrText xml:space="preserve"> STYLEREF 1 \s </w:instrText>
      </w:r>
      <w:r w:rsidR="008943E4">
        <w:rPr>
          <w:b/>
        </w:rPr>
        <w:fldChar w:fldCharType="separate"/>
      </w:r>
      <w:r w:rsidR="00795735">
        <w:rPr>
          <w:b/>
          <w:noProof/>
        </w:rPr>
        <w:t>5</w:t>
      </w:r>
      <w:r w:rsidR="008943E4">
        <w:rPr>
          <w:b/>
        </w:rPr>
        <w:fldChar w:fldCharType="end"/>
      </w:r>
      <w:r>
        <w:rPr>
          <w:b/>
        </w:rPr>
        <w:t>.</w:t>
      </w:r>
      <w:proofErr w:type="gramEnd"/>
      <w:r w:rsidR="008943E4">
        <w:rPr>
          <w:b/>
        </w:rPr>
        <w:fldChar w:fldCharType="begin"/>
      </w:r>
      <w:r>
        <w:rPr>
          <w:b/>
        </w:rPr>
        <w:instrText xml:space="preserve"> SEQ Table \* ARABIC \s 1 </w:instrText>
      </w:r>
      <w:r w:rsidR="008943E4">
        <w:rPr>
          <w:b/>
        </w:rPr>
        <w:fldChar w:fldCharType="separate"/>
      </w:r>
      <w:r w:rsidR="00795735">
        <w:rPr>
          <w:b/>
          <w:noProof/>
        </w:rPr>
        <w:t>5</w:t>
      </w:r>
      <w:r w:rsidR="008943E4">
        <w:rPr>
          <w:b/>
        </w:rPr>
        <w:fldChar w:fldCharType="end"/>
      </w:r>
      <w:r>
        <w:rPr>
          <w:noProof/>
        </w:rPr>
        <w:t xml:space="preserve"> Comparison of mid-fusion sequences between combined-sex chimpanzees using mean epiphyseal fusion value and humans from Schaefer and Black (2007).</w:t>
      </w:r>
      <w:bookmarkEnd w:id="2396"/>
    </w:p>
    <w:tbl>
      <w:tblPr>
        <w:tblW w:w="8227" w:type="dxa"/>
        <w:jc w:val="center"/>
        <w:tblBorders>
          <w:top w:val="single" w:sz="4" w:space="0" w:color="auto"/>
          <w:bottom w:val="single" w:sz="4" w:space="0" w:color="auto"/>
        </w:tblBorders>
        <w:tblLook w:val="04A0" w:firstRow="1" w:lastRow="0" w:firstColumn="1" w:lastColumn="0" w:noHBand="0" w:noVBand="1"/>
      </w:tblPr>
      <w:tblGrid>
        <w:gridCol w:w="1707"/>
        <w:gridCol w:w="2950"/>
        <w:gridCol w:w="3570"/>
      </w:tblGrid>
      <w:tr w:rsidR="00BD4D67" w:rsidRPr="00BD4D67" w:rsidTr="00CA5FBB">
        <w:trPr>
          <w:trHeight w:val="630"/>
          <w:jc w:val="center"/>
        </w:trPr>
        <w:tc>
          <w:tcPr>
            <w:tcW w:w="1707" w:type="dxa"/>
            <w:tcBorders>
              <w:top w:val="single" w:sz="4" w:space="0" w:color="auto"/>
              <w:bottom w:val="single" w:sz="4" w:space="0" w:color="auto"/>
            </w:tcBorders>
            <w:shd w:val="clear" w:color="auto" w:fill="auto"/>
            <w:vAlign w:val="center"/>
            <w:hideMark/>
          </w:tcPr>
          <w:p w:rsidR="00A35CA0" w:rsidRPr="00CA5FBB" w:rsidRDefault="002732B7" w:rsidP="00CA5FBB">
            <w:pPr>
              <w:spacing w:before="0" w:line="240" w:lineRule="auto"/>
              <w:jc w:val="center"/>
              <w:rPr>
                <w:rFonts w:eastAsia="Times New Roman"/>
                <w:b/>
                <w:color w:val="000000"/>
                <w:lang w:val="en-GB" w:eastAsia="en-GB"/>
              </w:rPr>
            </w:pPr>
            <w:r>
              <w:rPr>
                <w:rFonts w:eastAsia="Times New Roman"/>
                <w:b/>
                <w:color w:val="000000"/>
                <w:lang w:val="en-GB" w:eastAsia="en-GB"/>
              </w:rPr>
              <w:t>o</w:t>
            </w:r>
            <w:r w:rsidR="008943E4" w:rsidRPr="00CA5FBB">
              <w:rPr>
                <w:rFonts w:eastAsia="Times New Roman"/>
                <w:b/>
                <w:color w:val="000000"/>
                <w:lang w:val="en-GB" w:eastAsia="en-GB"/>
              </w:rPr>
              <w:t>rder number</w:t>
            </w:r>
          </w:p>
        </w:tc>
        <w:tc>
          <w:tcPr>
            <w:tcW w:w="2950" w:type="dxa"/>
            <w:tcBorders>
              <w:top w:val="single" w:sz="4" w:space="0" w:color="auto"/>
              <w:bottom w:val="single" w:sz="4" w:space="0" w:color="auto"/>
            </w:tcBorders>
            <w:shd w:val="clear" w:color="auto" w:fill="auto"/>
            <w:noWrap/>
            <w:vAlign w:val="center"/>
            <w:hideMark/>
          </w:tcPr>
          <w:p w:rsidR="00A35CA0" w:rsidRPr="00CA5FBB" w:rsidRDefault="002732B7" w:rsidP="00CA5FBB">
            <w:pPr>
              <w:spacing w:before="0" w:line="240" w:lineRule="auto"/>
              <w:jc w:val="center"/>
              <w:rPr>
                <w:rFonts w:eastAsia="Times New Roman"/>
                <w:b/>
                <w:color w:val="000000"/>
                <w:lang w:val="en-GB" w:eastAsia="en-GB"/>
              </w:rPr>
            </w:pPr>
            <w:r>
              <w:rPr>
                <w:rFonts w:eastAsia="Times New Roman"/>
                <w:b/>
                <w:color w:val="000000"/>
                <w:lang w:val="en-GB" w:eastAsia="en-GB"/>
              </w:rPr>
              <w:t>c</w:t>
            </w:r>
            <w:r w:rsidR="008943E4" w:rsidRPr="00CA5FBB">
              <w:rPr>
                <w:rFonts w:eastAsia="Times New Roman"/>
                <w:b/>
                <w:color w:val="000000"/>
                <w:lang w:val="en-GB" w:eastAsia="en-GB"/>
              </w:rPr>
              <w:t>himpanzee epiphyses</w:t>
            </w:r>
          </w:p>
        </w:tc>
        <w:tc>
          <w:tcPr>
            <w:tcW w:w="3570"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Schaefer and Black (2007) human male epiphyses</w:t>
            </w:r>
          </w:p>
        </w:tc>
      </w:tr>
      <w:tr w:rsidR="00BD4D67" w:rsidRPr="00BD4D67" w:rsidTr="00CA5FBB">
        <w:trPr>
          <w:trHeight w:hRule="exact" w:val="284"/>
          <w:jc w:val="center"/>
        </w:trPr>
        <w:tc>
          <w:tcPr>
            <w:tcW w:w="1707" w:type="dxa"/>
            <w:tcBorders>
              <w:top w:val="single" w:sz="4" w:space="0" w:color="auto"/>
            </w:tcBorders>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w:t>
            </w:r>
          </w:p>
        </w:tc>
        <w:tc>
          <w:tcPr>
            <w:tcW w:w="2950"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3570" w:type="dxa"/>
            <w:tcBorders>
              <w:top w:val="single" w:sz="4" w:space="0" w:color="auto"/>
            </w:tcBorders>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triradiate</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2</w:t>
            </w:r>
          </w:p>
        </w:tc>
        <w:tc>
          <w:tcPr>
            <w:tcW w:w="2950" w:type="dxa"/>
            <w:shd w:val="clear" w:color="auto" w:fill="auto"/>
            <w:noWrap/>
            <w:vAlign w:val="center"/>
            <w:hideMark/>
          </w:tcPr>
          <w:p w:rsidR="00A35CA0" w:rsidRDefault="002E7A39"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BD4D67" w:rsidRPr="00BD4D67">
              <w:rPr>
                <w:rFonts w:eastAsia="Times New Roman"/>
                <w:color w:val="000000"/>
                <w:lang w:val="en-GB" w:eastAsia="en-GB"/>
              </w:rPr>
              <w:t>medial epicondyle</w:t>
            </w:r>
          </w:p>
        </w:tc>
        <w:tc>
          <w:tcPr>
            <w:tcW w:w="3570" w:type="dxa"/>
            <w:shd w:val="clear" w:color="auto" w:fill="auto"/>
            <w:noWrap/>
            <w:vAlign w:val="center"/>
            <w:hideMark/>
          </w:tcPr>
          <w:p w:rsidR="00A35CA0" w:rsidRPr="00FB5ED4" w:rsidRDefault="00BD4D67" w:rsidP="00CA5FBB">
            <w:pPr>
              <w:spacing w:before="0" w:line="240" w:lineRule="auto"/>
              <w:jc w:val="center"/>
              <w:rPr>
                <w:rFonts w:eastAsia="Times New Roman"/>
                <w:b/>
                <w:bCs/>
                <w:color w:val="000000"/>
                <w:sz w:val="24"/>
                <w:szCs w:val="24"/>
                <w:lang w:val="en-GB" w:eastAsia="en-GB"/>
              </w:rPr>
            </w:pPr>
            <w:r w:rsidRPr="00FB5ED4">
              <w:rPr>
                <w:rFonts w:eastAsia="Times New Roman"/>
                <w:b/>
                <w:bCs/>
                <w:color w:val="000000"/>
                <w:lang w:val="en-GB" w:eastAsia="en-GB"/>
              </w:rPr>
              <w:t>proximal ulna/</w:t>
            </w:r>
            <w:r w:rsidR="00FB5ED4" w:rsidRPr="00FB5ED4">
              <w:rPr>
                <w:rFonts w:eastAsia="Times New Roman"/>
                <w:b/>
                <w:color w:val="000000"/>
                <w:lang w:val="en-GB" w:eastAsia="en-GB"/>
              </w:rPr>
              <w:t xml:space="preserve"> distal humerus</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3</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triradiate</w:t>
            </w:r>
          </w:p>
        </w:tc>
        <w:tc>
          <w:tcPr>
            <w:tcW w:w="3570" w:type="dxa"/>
            <w:shd w:val="clear" w:color="auto" w:fill="auto"/>
            <w:noWrap/>
            <w:vAlign w:val="center"/>
            <w:hideMark/>
          </w:tcPr>
          <w:p w:rsidR="00A35CA0" w:rsidRPr="00FB5ED4" w:rsidRDefault="00BD4D67" w:rsidP="00CA5FBB">
            <w:pPr>
              <w:spacing w:before="0" w:line="240" w:lineRule="auto"/>
              <w:jc w:val="center"/>
              <w:rPr>
                <w:rFonts w:eastAsia="Times New Roman"/>
                <w:b/>
                <w:bCs/>
                <w:color w:val="000000"/>
                <w:sz w:val="24"/>
                <w:szCs w:val="24"/>
                <w:lang w:val="en-GB" w:eastAsia="en-GB"/>
              </w:rPr>
            </w:pPr>
            <w:r w:rsidRPr="00FB5ED4">
              <w:rPr>
                <w:rFonts w:eastAsia="Times New Roman"/>
                <w:b/>
                <w:bCs/>
                <w:color w:val="000000"/>
                <w:lang w:val="en-GB" w:eastAsia="en-GB"/>
              </w:rPr>
              <w:t>proximal ulna/</w:t>
            </w:r>
            <w:r w:rsidR="00FB5ED4" w:rsidRPr="00FB5ED4">
              <w:rPr>
                <w:rFonts w:eastAsia="Times New Roman"/>
                <w:b/>
                <w:color w:val="000000"/>
                <w:lang w:val="en-GB" w:eastAsia="en-GB"/>
              </w:rPr>
              <w:t xml:space="preserve"> distal humerus</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4</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coracoid</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coracoid</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5</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ulna</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radius</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6</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lesser trochanter</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 xml:space="preserve">femoral head </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7</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radius</w:t>
            </w:r>
          </w:p>
        </w:tc>
        <w:tc>
          <w:tcPr>
            <w:tcW w:w="3570" w:type="dxa"/>
            <w:shd w:val="clear" w:color="auto" w:fill="auto"/>
            <w:noWrap/>
            <w:vAlign w:val="center"/>
            <w:hideMark/>
          </w:tcPr>
          <w:p w:rsidR="00A35CA0" w:rsidRDefault="002E7A39"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BD4D67" w:rsidRPr="00BD4D67">
              <w:rPr>
                <w:rFonts w:eastAsia="Times New Roman"/>
                <w:color w:val="000000"/>
                <w:lang w:val="en-GB" w:eastAsia="en-GB"/>
              </w:rPr>
              <w:t>medial epicondyle</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8</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femoral head</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tibia</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9</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greater trochanter</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lesser trochanter</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10</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fibula</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greater trochanter</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11</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tibia</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ischial epiphysis</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12</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humerus</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fibula</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13</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femur</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tibia</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14</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tibia</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femur</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15</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fibula</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acromium</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16</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radius</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fibula</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17</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ischial epiphysis</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iliac creast</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18</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ulna</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proximal humerus</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19</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acromium</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radius</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20</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medial clavicle</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distal ulna</w:t>
            </w:r>
          </w:p>
        </w:tc>
      </w:tr>
      <w:tr w:rsidR="00BD4D67" w:rsidRPr="00BD4D67" w:rsidTr="00CA5FBB">
        <w:trPr>
          <w:trHeight w:hRule="exact" w:val="284"/>
          <w:jc w:val="center"/>
        </w:trPr>
        <w:tc>
          <w:tcPr>
            <w:tcW w:w="1707" w:type="dxa"/>
            <w:shd w:val="clear" w:color="auto" w:fill="auto"/>
            <w:noWrap/>
            <w:vAlign w:val="center"/>
            <w:hideMark/>
          </w:tcPr>
          <w:p w:rsidR="00A35CA0" w:rsidRDefault="00BD4D67" w:rsidP="00CA5FBB">
            <w:pPr>
              <w:spacing w:before="0" w:line="240" w:lineRule="auto"/>
              <w:jc w:val="center"/>
              <w:rPr>
                <w:rFonts w:eastAsia="Times New Roman"/>
                <w:color w:val="000000"/>
                <w:lang w:val="en-GB" w:eastAsia="en-GB"/>
              </w:rPr>
            </w:pPr>
            <w:r w:rsidRPr="00BD4D67">
              <w:rPr>
                <w:rFonts w:eastAsia="Times New Roman"/>
                <w:color w:val="000000"/>
                <w:lang w:val="en-GB" w:eastAsia="en-GB"/>
              </w:rPr>
              <w:t>21</w:t>
            </w:r>
          </w:p>
        </w:tc>
        <w:tc>
          <w:tcPr>
            <w:tcW w:w="295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iliac crest</w:t>
            </w:r>
          </w:p>
        </w:tc>
        <w:tc>
          <w:tcPr>
            <w:tcW w:w="3570" w:type="dxa"/>
            <w:shd w:val="clear" w:color="auto" w:fill="auto"/>
            <w:noWrap/>
            <w:vAlign w:val="center"/>
            <w:hideMark/>
          </w:tcPr>
          <w:p w:rsidR="00A35CA0" w:rsidRDefault="00BD4D67" w:rsidP="00CA5FBB">
            <w:pPr>
              <w:spacing w:before="0" w:line="240" w:lineRule="auto"/>
              <w:jc w:val="center"/>
              <w:rPr>
                <w:rFonts w:eastAsia="Times New Roman"/>
                <w:color w:val="000000"/>
                <w:sz w:val="24"/>
                <w:szCs w:val="24"/>
                <w:lang w:val="en-GB" w:eastAsia="en-GB"/>
              </w:rPr>
            </w:pPr>
            <w:r w:rsidRPr="00BD4D67">
              <w:rPr>
                <w:rFonts w:eastAsia="Times New Roman"/>
                <w:color w:val="000000"/>
                <w:lang w:val="en-GB" w:eastAsia="en-GB"/>
              </w:rPr>
              <w:t>medial clavicle</w:t>
            </w:r>
          </w:p>
        </w:tc>
      </w:tr>
    </w:tbl>
    <w:p w:rsidR="006762EF" w:rsidRDefault="006762EF">
      <w:pPr>
        <w:spacing w:before="0" w:after="200" w:line="276" w:lineRule="auto"/>
        <w:jc w:val="left"/>
        <w:rPr>
          <w:rFonts w:asciiTheme="majorBidi" w:eastAsia="Times New Roman" w:hAnsiTheme="majorBidi" w:cstheme="majorBidi"/>
          <w:b/>
          <w:bCs/>
          <w:i/>
          <w:noProof/>
          <w:color w:val="000000"/>
          <w:lang w:val="nl-NL"/>
        </w:rPr>
      </w:pPr>
      <w:bookmarkStart w:id="2397" w:name="_Toc372916583"/>
      <w:bookmarkStart w:id="2398" w:name="_Toc372916837"/>
      <w:bookmarkStart w:id="2399" w:name="_Toc372917058"/>
      <w:bookmarkStart w:id="2400" w:name="_Toc372917274"/>
      <w:bookmarkStart w:id="2401" w:name="_Toc372917488"/>
      <w:bookmarkStart w:id="2402" w:name="_Toc372917698"/>
      <w:bookmarkStart w:id="2403" w:name="_Toc372917907"/>
      <w:bookmarkStart w:id="2404" w:name="_Toc372918116"/>
      <w:bookmarkStart w:id="2405" w:name="_Toc372918325"/>
      <w:bookmarkStart w:id="2406" w:name="_Toc372918528"/>
      <w:bookmarkStart w:id="2407" w:name="_Toc372918731"/>
      <w:bookmarkStart w:id="2408" w:name="_Toc372918936"/>
      <w:bookmarkStart w:id="2409" w:name="_Toc372919141"/>
      <w:bookmarkStart w:id="2410" w:name="_Toc372919342"/>
      <w:bookmarkStart w:id="2411" w:name="_Toc372919636"/>
      <w:bookmarkStart w:id="2412" w:name="_Toc372919833"/>
      <w:bookmarkStart w:id="2413" w:name="_Toc372920030"/>
      <w:bookmarkStart w:id="2414" w:name="_Toc372920227"/>
      <w:bookmarkStart w:id="2415" w:name="_Toc372920425"/>
      <w:bookmarkStart w:id="2416" w:name="_Toc372920622"/>
      <w:bookmarkStart w:id="2417" w:name="_Toc372920818"/>
      <w:bookmarkStart w:id="2418" w:name="_Toc372921014"/>
      <w:bookmarkStart w:id="2419" w:name="_Toc372921210"/>
      <w:bookmarkStart w:id="2420" w:name="_Toc372921406"/>
      <w:bookmarkStart w:id="2421" w:name="_Toc372921608"/>
      <w:bookmarkStart w:id="2422" w:name="_Toc372921804"/>
      <w:bookmarkStart w:id="2423" w:name="_Toc372922000"/>
      <w:bookmarkStart w:id="2424" w:name="_Toc372928280"/>
      <w:bookmarkStart w:id="2425" w:name="_Toc372928584"/>
      <w:bookmarkStart w:id="2426" w:name="_Toc372928780"/>
      <w:bookmarkStart w:id="2427" w:name="_Toc372981783"/>
      <w:bookmarkStart w:id="2428" w:name="_Toc373072010"/>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r>
        <w:br w:type="page"/>
      </w:r>
    </w:p>
    <w:p w:rsidR="00A35CA0" w:rsidRPr="00CA5FBB" w:rsidRDefault="001501D4" w:rsidP="00CA5FBB">
      <w:pPr>
        <w:pStyle w:val="Heading2"/>
        <w:rPr>
          <w:b w:val="0"/>
          <w:i w:val="0"/>
        </w:rPr>
      </w:pPr>
      <w:bookmarkStart w:id="2429" w:name="_Toc373147327"/>
      <w:bookmarkStart w:id="2430" w:name="_Toc373477863"/>
      <w:bookmarkStart w:id="2431" w:name="_Toc373480861"/>
      <w:bookmarkStart w:id="2432" w:name="_Toc372916584"/>
      <w:bookmarkStart w:id="2433" w:name="_Toc372916838"/>
      <w:bookmarkStart w:id="2434" w:name="_Toc372917059"/>
      <w:bookmarkStart w:id="2435" w:name="_Toc372917275"/>
      <w:bookmarkStart w:id="2436" w:name="_Toc372917489"/>
      <w:bookmarkStart w:id="2437" w:name="_Toc372917699"/>
      <w:bookmarkStart w:id="2438" w:name="_Toc372917908"/>
      <w:bookmarkStart w:id="2439" w:name="_Toc372918117"/>
      <w:bookmarkStart w:id="2440" w:name="_Toc372918326"/>
      <w:bookmarkStart w:id="2441" w:name="_Toc372918529"/>
      <w:bookmarkStart w:id="2442" w:name="_Toc372918732"/>
      <w:bookmarkStart w:id="2443" w:name="_Toc372918937"/>
      <w:bookmarkStart w:id="2444" w:name="_Toc372919142"/>
      <w:bookmarkStart w:id="2445" w:name="_Toc372919343"/>
      <w:bookmarkStart w:id="2446" w:name="_Toc372919637"/>
      <w:bookmarkStart w:id="2447" w:name="_Toc372919834"/>
      <w:bookmarkStart w:id="2448" w:name="_Toc372920031"/>
      <w:bookmarkStart w:id="2449" w:name="_Toc372920228"/>
      <w:bookmarkStart w:id="2450" w:name="_Toc372920426"/>
      <w:bookmarkStart w:id="2451" w:name="_Toc372920623"/>
      <w:bookmarkStart w:id="2452" w:name="_Toc372920819"/>
      <w:bookmarkStart w:id="2453" w:name="_Toc372921015"/>
      <w:bookmarkStart w:id="2454" w:name="_Toc372921211"/>
      <w:bookmarkStart w:id="2455" w:name="_Toc372921407"/>
      <w:bookmarkStart w:id="2456" w:name="_Toc372921609"/>
      <w:bookmarkStart w:id="2457" w:name="_Toc372921805"/>
      <w:bookmarkStart w:id="2458" w:name="_Toc372922001"/>
      <w:bookmarkStart w:id="2459" w:name="_Toc372928281"/>
      <w:bookmarkStart w:id="2460" w:name="_Toc372928585"/>
      <w:bookmarkStart w:id="2461" w:name="_Toc372928781"/>
      <w:bookmarkStart w:id="2462" w:name="_Toc372981784"/>
      <w:bookmarkStart w:id="2463" w:name="_Toc373072011"/>
      <w:bookmarkStart w:id="2464" w:name="_Toc373147328"/>
      <w:bookmarkStart w:id="2465" w:name="_Toc373477864"/>
      <w:bookmarkStart w:id="2466" w:name="_Toc373480862"/>
      <w:bookmarkStart w:id="2467" w:name="_Toc372916585"/>
      <w:bookmarkStart w:id="2468" w:name="_Toc372916839"/>
      <w:bookmarkStart w:id="2469" w:name="_Toc372917060"/>
      <w:bookmarkStart w:id="2470" w:name="_Toc372917276"/>
      <w:bookmarkStart w:id="2471" w:name="_Toc372917490"/>
      <w:bookmarkStart w:id="2472" w:name="_Toc372917700"/>
      <w:bookmarkStart w:id="2473" w:name="_Toc372917909"/>
      <w:bookmarkStart w:id="2474" w:name="_Toc372918118"/>
      <w:bookmarkStart w:id="2475" w:name="_Toc372918327"/>
      <w:bookmarkStart w:id="2476" w:name="_Toc372918530"/>
      <w:bookmarkStart w:id="2477" w:name="_Toc372918733"/>
      <w:bookmarkStart w:id="2478" w:name="_Toc372918938"/>
      <w:bookmarkStart w:id="2479" w:name="_Toc372919143"/>
      <w:bookmarkStart w:id="2480" w:name="_Toc372919344"/>
      <w:bookmarkStart w:id="2481" w:name="_Toc372919638"/>
      <w:bookmarkStart w:id="2482" w:name="_Toc372919835"/>
      <w:bookmarkStart w:id="2483" w:name="_Toc372920032"/>
      <w:bookmarkStart w:id="2484" w:name="_Toc372920229"/>
      <w:bookmarkStart w:id="2485" w:name="_Toc372920427"/>
      <w:bookmarkStart w:id="2486" w:name="_Toc372920624"/>
      <w:bookmarkStart w:id="2487" w:name="_Toc372920820"/>
      <w:bookmarkStart w:id="2488" w:name="_Toc372921016"/>
      <w:bookmarkStart w:id="2489" w:name="_Toc372921212"/>
      <w:bookmarkStart w:id="2490" w:name="_Toc372921408"/>
      <w:bookmarkStart w:id="2491" w:name="_Toc372921610"/>
      <w:bookmarkStart w:id="2492" w:name="_Toc372921806"/>
      <w:bookmarkStart w:id="2493" w:name="_Toc372922002"/>
      <w:bookmarkStart w:id="2494" w:name="_Toc372928282"/>
      <w:bookmarkStart w:id="2495" w:name="_Toc372928586"/>
      <w:bookmarkStart w:id="2496" w:name="_Toc372928782"/>
      <w:bookmarkStart w:id="2497" w:name="_Toc372981785"/>
      <w:bookmarkStart w:id="2498" w:name="_Toc373072012"/>
      <w:bookmarkStart w:id="2499" w:name="_Toc373147329"/>
      <w:bookmarkStart w:id="2500" w:name="_Toc373477865"/>
      <w:bookmarkStart w:id="2501" w:name="_Toc373480863"/>
      <w:bookmarkStart w:id="2502" w:name="_Toc372916586"/>
      <w:bookmarkStart w:id="2503" w:name="_Toc372916840"/>
      <w:bookmarkStart w:id="2504" w:name="_Toc372917061"/>
      <w:bookmarkStart w:id="2505" w:name="_Toc372917277"/>
      <w:bookmarkStart w:id="2506" w:name="_Toc372917491"/>
      <w:bookmarkStart w:id="2507" w:name="_Toc372917701"/>
      <w:bookmarkStart w:id="2508" w:name="_Toc372917910"/>
      <w:bookmarkStart w:id="2509" w:name="_Toc372918119"/>
      <w:bookmarkStart w:id="2510" w:name="_Toc372918328"/>
      <w:bookmarkStart w:id="2511" w:name="_Toc372918531"/>
      <w:bookmarkStart w:id="2512" w:name="_Toc372918734"/>
      <w:bookmarkStart w:id="2513" w:name="_Toc372918939"/>
      <w:bookmarkStart w:id="2514" w:name="_Toc372919144"/>
      <w:bookmarkStart w:id="2515" w:name="_Toc372919345"/>
      <w:bookmarkStart w:id="2516" w:name="_Toc372919639"/>
      <w:bookmarkStart w:id="2517" w:name="_Toc372919836"/>
      <w:bookmarkStart w:id="2518" w:name="_Toc372920033"/>
      <w:bookmarkStart w:id="2519" w:name="_Toc372920230"/>
      <w:bookmarkStart w:id="2520" w:name="_Toc372920428"/>
      <w:bookmarkStart w:id="2521" w:name="_Toc372920625"/>
      <w:bookmarkStart w:id="2522" w:name="_Toc372920821"/>
      <w:bookmarkStart w:id="2523" w:name="_Toc372921017"/>
      <w:bookmarkStart w:id="2524" w:name="_Toc372921213"/>
      <w:bookmarkStart w:id="2525" w:name="_Toc372921409"/>
      <w:bookmarkStart w:id="2526" w:name="_Toc372921611"/>
      <w:bookmarkStart w:id="2527" w:name="_Toc372921807"/>
      <w:bookmarkStart w:id="2528" w:name="_Toc372922003"/>
      <w:bookmarkStart w:id="2529" w:name="_Toc372928283"/>
      <w:bookmarkStart w:id="2530" w:name="_Toc372928587"/>
      <w:bookmarkStart w:id="2531" w:name="_Toc372928783"/>
      <w:bookmarkStart w:id="2532" w:name="_Toc372981786"/>
      <w:bookmarkStart w:id="2533" w:name="_Toc373072013"/>
      <w:bookmarkStart w:id="2534" w:name="_Toc373147330"/>
      <w:bookmarkStart w:id="2535" w:name="_Toc373477866"/>
      <w:bookmarkStart w:id="2536" w:name="_Toc373480864"/>
      <w:bookmarkStart w:id="2537" w:name="_Toc373477867"/>
      <w:bookmarkStart w:id="2538" w:name="_Toc373480865"/>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r w:rsidRPr="00B82332">
        <w:lastRenderedPageBreak/>
        <w:t>C</w:t>
      </w:r>
      <w:r w:rsidR="00EC1BD4" w:rsidRPr="00EC1BD4">
        <w:t>omparisons between epiphyseal fusion sequences and dental sequences</w:t>
      </w:r>
      <w:bookmarkEnd w:id="2537"/>
      <w:bookmarkEnd w:id="2538"/>
    </w:p>
    <w:p w:rsidR="008E6865" w:rsidRDefault="001749D8" w:rsidP="00B72CAB">
      <w:pPr>
        <w:rPr>
          <w:noProof/>
        </w:rPr>
      </w:pPr>
      <w:r>
        <w:rPr>
          <w:noProof/>
        </w:rPr>
        <w:t xml:space="preserve">This section will consider comparisons of skeletal and dental </w:t>
      </w:r>
      <w:r w:rsidR="00E303FD">
        <w:rPr>
          <w:noProof/>
        </w:rPr>
        <w:t xml:space="preserve">sequences </w:t>
      </w:r>
      <w:r w:rsidR="008E6865">
        <w:rPr>
          <w:noProof/>
        </w:rPr>
        <w:t>in</w:t>
      </w:r>
      <w:r w:rsidR="00E303FD">
        <w:rPr>
          <w:noProof/>
        </w:rPr>
        <w:t xml:space="preserve"> chimpanzees and humans.</w:t>
      </w:r>
      <w:r w:rsidR="001501D4">
        <w:rPr>
          <w:noProof/>
        </w:rPr>
        <w:t xml:space="preserve">  This is contrasted with the comparison of dental score</w:t>
      </w:r>
      <w:r w:rsidR="00D92D08">
        <w:rPr>
          <w:noProof/>
        </w:rPr>
        <w:t xml:space="preserve"> measured as a continuous variable to</w:t>
      </w:r>
      <w:r w:rsidR="001501D4">
        <w:rPr>
          <w:noProof/>
        </w:rPr>
        <w:t xml:space="preserve"> epiphyseal fusion event</w:t>
      </w:r>
      <w:r w:rsidR="00D92D08">
        <w:rPr>
          <w:noProof/>
        </w:rPr>
        <w:t>s</w:t>
      </w:r>
      <w:r w:rsidR="00967AE8">
        <w:rPr>
          <w:noProof/>
        </w:rPr>
        <w:t xml:space="preserve"> (section 4.2.1)</w:t>
      </w:r>
      <w:r w:rsidR="001501D4">
        <w:rPr>
          <w:noProof/>
        </w:rPr>
        <w:t>.</w:t>
      </w:r>
      <w:r w:rsidR="00E303FD">
        <w:rPr>
          <w:noProof/>
        </w:rPr>
        <w:t xml:space="preserve">  </w:t>
      </w:r>
      <w:r w:rsidR="006A212C">
        <w:rPr>
          <w:noProof/>
        </w:rPr>
        <w:t>In Chapter 4</w:t>
      </w:r>
      <w:r w:rsidR="00E303FD">
        <w:rPr>
          <w:noProof/>
        </w:rPr>
        <w:t xml:space="preserve"> </w:t>
      </w:r>
      <w:r w:rsidR="00950AD0">
        <w:rPr>
          <w:noProof/>
        </w:rPr>
        <w:t>it was found that</w:t>
      </w:r>
      <w:r w:rsidR="00E303FD">
        <w:rPr>
          <w:noProof/>
        </w:rPr>
        <w:t xml:space="preserve"> sample size for </w:t>
      </w:r>
      <w:r w:rsidR="00E303FD">
        <w:rPr>
          <w:i/>
          <w:noProof/>
        </w:rPr>
        <w:t>Pan paniscus</w:t>
      </w:r>
      <w:r w:rsidR="00E303FD">
        <w:rPr>
          <w:noProof/>
        </w:rPr>
        <w:t xml:space="preserve"> prohibited sequencing epiphyseal fusion based on mean epiphyseal fusion or contingency tables.  Without these sequences, this species will not be analysed here and analysis will </w:t>
      </w:r>
      <w:r w:rsidR="006A212C">
        <w:rPr>
          <w:noProof/>
        </w:rPr>
        <w:t xml:space="preserve">again </w:t>
      </w:r>
      <w:r w:rsidR="00E303FD">
        <w:rPr>
          <w:noProof/>
        </w:rPr>
        <w:t xml:space="preserve">only apply to </w:t>
      </w:r>
      <w:r w:rsidR="00E303FD">
        <w:rPr>
          <w:i/>
          <w:noProof/>
        </w:rPr>
        <w:t>Pan troglodytes</w:t>
      </w:r>
      <w:r>
        <w:rPr>
          <w:noProof/>
        </w:rPr>
        <w:t>.</w:t>
      </w:r>
    </w:p>
    <w:p w:rsidR="00A35CA0" w:rsidRDefault="001501D4" w:rsidP="00CA5FBB">
      <w:pPr>
        <w:rPr>
          <w:noProof/>
        </w:rPr>
      </w:pPr>
      <w:r>
        <w:rPr>
          <w:noProof/>
        </w:rPr>
        <w:t xml:space="preserve">Dental sequences may be evaluated using mineralization stages of individual teeth or tooth emergence.  Molar emergence is often used as a reference </w:t>
      </w:r>
      <w:r w:rsidR="00C81CE0">
        <w:rPr>
          <w:noProof/>
        </w:rPr>
        <w:t>as</w:t>
      </w:r>
      <w:r>
        <w:rPr>
          <w:noProof/>
        </w:rPr>
        <w:t xml:space="preserve"> the timing between </w:t>
      </w:r>
      <w:r w:rsidR="00C20F70">
        <w:rPr>
          <w:noProof/>
        </w:rPr>
        <w:t xml:space="preserve">the emergence of </w:t>
      </w:r>
      <w:r>
        <w:rPr>
          <w:noProof/>
        </w:rPr>
        <w:t xml:space="preserve">each </w:t>
      </w:r>
      <w:r w:rsidR="00C20F70">
        <w:rPr>
          <w:noProof/>
        </w:rPr>
        <w:t xml:space="preserve">tooth </w:t>
      </w:r>
      <w:r>
        <w:rPr>
          <w:noProof/>
        </w:rPr>
        <w:t>can be a number of years.  Comparing dental and epiphyseal fusion sequences</w:t>
      </w:r>
      <w:r w:rsidR="00B72CAB">
        <w:rPr>
          <w:noProof/>
        </w:rPr>
        <w:t xml:space="preserve"> would </w:t>
      </w:r>
      <w:r>
        <w:rPr>
          <w:noProof/>
        </w:rPr>
        <w:t>ideally</w:t>
      </w:r>
      <w:r w:rsidR="00B72CAB">
        <w:rPr>
          <w:noProof/>
        </w:rPr>
        <w:t xml:space="preserve"> use </w:t>
      </w:r>
      <w:r>
        <w:rPr>
          <w:noProof/>
        </w:rPr>
        <w:t xml:space="preserve">such </w:t>
      </w:r>
      <w:r w:rsidR="00B72CAB">
        <w:rPr>
          <w:noProof/>
        </w:rPr>
        <w:t>landmark</w:t>
      </w:r>
      <w:r>
        <w:rPr>
          <w:noProof/>
        </w:rPr>
        <w:t>s</w:t>
      </w:r>
      <w:r w:rsidR="00B72CAB">
        <w:rPr>
          <w:noProof/>
        </w:rPr>
        <w:t xml:space="preserve"> </w:t>
      </w:r>
      <w:r>
        <w:rPr>
          <w:noProof/>
        </w:rPr>
        <w:t>to group epiphysis and then consider which epiphyses came before and after these events.</w:t>
      </w:r>
      <w:r w:rsidR="00B72CAB">
        <w:rPr>
          <w:noProof/>
        </w:rPr>
        <w:t xml:space="preserve">  However, t</w:t>
      </w:r>
      <w:r w:rsidR="003D12BF">
        <w:rPr>
          <w:noProof/>
        </w:rPr>
        <w:t xml:space="preserve">his study </w:t>
      </w:r>
      <w:r w:rsidR="00057FED">
        <w:rPr>
          <w:noProof/>
        </w:rPr>
        <w:t xml:space="preserve">is limited by the </w:t>
      </w:r>
      <w:r w:rsidR="00C81CE0">
        <w:rPr>
          <w:noProof/>
        </w:rPr>
        <w:t xml:space="preserve">use of summary </w:t>
      </w:r>
      <w:r w:rsidR="00057FED">
        <w:rPr>
          <w:noProof/>
        </w:rPr>
        <w:t>Demirjian dental score data</w:t>
      </w:r>
      <w:r w:rsidR="003D12BF">
        <w:rPr>
          <w:noProof/>
        </w:rPr>
        <w:t>.  There are no distinct landmark points provided</w:t>
      </w:r>
      <w:r w:rsidR="00DB4F20">
        <w:rPr>
          <w:noProof/>
        </w:rPr>
        <w:t xml:space="preserve"> in summary dental score</w:t>
      </w:r>
      <w:r w:rsidR="003D12BF">
        <w:rPr>
          <w:noProof/>
        </w:rPr>
        <w:t xml:space="preserve"> when using this system for</w:t>
      </w:r>
      <w:r w:rsidR="00057FED">
        <w:rPr>
          <w:noProof/>
        </w:rPr>
        <w:t xml:space="preserve"> assessing dental development.</w:t>
      </w:r>
      <w:r w:rsidR="003D12BF">
        <w:rPr>
          <w:noProof/>
        </w:rPr>
        <w:t xml:space="preserve">  </w:t>
      </w:r>
      <w:r w:rsidR="00A25848">
        <w:rPr>
          <w:noProof/>
        </w:rPr>
        <w:t>Emergence events may be associated with specific dental mineralization stages and i</w:t>
      </w:r>
      <w:r w:rsidR="004A7F89">
        <w:rPr>
          <w:noProof/>
        </w:rPr>
        <w:t>t is possible to use the original Demirjian score for each tooth to re-classify the entire data set</w:t>
      </w:r>
      <w:r w:rsidR="00A25848">
        <w:rPr>
          <w:noProof/>
        </w:rPr>
        <w:t xml:space="preserve">.  However, </w:t>
      </w:r>
      <w:r w:rsidR="004A7F89">
        <w:rPr>
          <w:noProof/>
        </w:rPr>
        <w:t xml:space="preserve">due to the scale of this task, this </w:t>
      </w:r>
      <w:r w:rsidR="00681883">
        <w:rPr>
          <w:noProof/>
        </w:rPr>
        <w:t>would</w:t>
      </w:r>
      <w:r w:rsidR="004A7F89">
        <w:rPr>
          <w:noProof/>
        </w:rPr>
        <w:t xml:space="preserve"> not </w:t>
      </w:r>
      <w:r w:rsidR="00681883">
        <w:rPr>
          <w:noProof/>
        </w:rPr>
        <w:t xml:space="preserve">be </w:t>
      </w:r>
      <w:r w:rsidR="004A7F89">
        <w:rPr>
          <w:noProof/>
        </w:rPr>
        <w:t xml:space="preserve">a practical approach </w:t>
      </w:r>
      <w:r w:rsidR="00A25848">
        <w:rPr>
          <w:noProof/>
        </w:rPr>
        <w:t xml:space="preserve">and the process of doing so would also introduce </w:t>
      </w:r>
      <w:r w:rsidR="00057FED">
        <w:rPr>
          <w:noProof/>
        </w:rPr>
        <w:t xml:space="preserve">further </w:t>
      </w:r>
      <w:r w:rsidR="00A25848">
        <w:rPr>
          <w:noProof/>
        </w:rPr>
        <w:t>estimation error</w:t>
      </w:r>
      <w:r w:rsidR="004B2264">
        <w:rPr>
          <w:noProof/>
        </w:rPr>
        <w:t>.</w:t>
      </w:r>
    </w:p>
    <w:p w:rsidR="003E300D" w:rsidRDefault="00DB4F20" w:rsidP="00B73E3B">
      <w:pPr>
        <w:rPr>
          <w:noProof/>
        </w:rPr>
      </w:pPr>
      <w:r>
        <w:rPr>
          <w:noProof/>
        </w:rPr>
        <w:t>In this section the</w:t>
      </w:r>
      <w:r w:rsidR="004A7F89">
        <w:rPr>
          <w:noProof/>
        </w:rPr>
        <w:t xml:space="preserve"> </w:t>
      </w:r>
      <w:r w:rsidR="004B2264">
        <w:rPr>
          <w:noProof/>
        </w:rPr>
        <w:t>potential of</w:t>
      </w:r>
      <w:r w:rsidR="00A50295">
        <w:rPr>
          <w:noProof/>
        </w:rPr>
        <w:t xml:space="preserve"> Kuykendall’s (1996) age es</w:t>
      </w:r>
      <w:r w:rsidR="004A7F89">
        <w:rPr>
          <w:noProof/>
        </w:rPr>
        <w:t xml:space="preserve">timations </w:t>
      </w:r>
      <w:r w:rsidR="00D12B0E">
        <w:rPr>
          <w:noProof/>
        </w:rPr>
        <w:t>for</w:t>
      </w:r>
      <w:r w:rsidR="004A7F89">
        <w:rPr>
          <w:noProof/>
        </w:rPr>
        <w:t xml:space="preserve"> dental development</w:t>
      </w:r>
      <w:r w:rsidR="00A50295">
        <w:rPr>
          <w:noProof/>
        </w:rPr>
        <w:t xml:space="preserve"> </w:t>
      </w:r>
      <w:r>
        <w:rPr>
          <w:noProof/>
        </w:rPr>
        <w:t xml:space="preserve">will be investigated for </w:t>
      </w:r>
      <w:r w:rsidR="00306FA4">
        <w:rPr>
          <w:noProof/>
        </w:rPr>
        <w:t>use in observing</w:t>
      </w:r>
      <w:r w:rsidR="00A50295">
        <w:rPr>
          <w:noProof/>
        </w:rPr>
        <w:t xml:space="preserve"> the occurence of epiphyseal fusion events between the completion of </w:t>
      </w:r>
      <w:r w:rsidR="007B56DF">
        <w:rPr>
          <w:noProof/>
        </w:rPr>
        <w:t xml:space="preserve">individual </w:t>
      </w:r>
      <w:r w:rsidR="00A50295">
        <w:rPr>
          <w:noProof/>
        </w:rPr>
        <w:t>t</w:t>
      </w:r>
      <w:r w:rsidR="007B56DF">
        <w:rPr>
          <w:noProof/>
        </w:rPr>
        <w:t>ee</w:t>
      </w:r>
      <w:r w:rsidR="00A50295">
        <w:rPr>
          <w:noProof/>
        </w:rPr>
        <w:t>th.</w:t>
      </w:r>
      <w:r w:rsidR="004A7F89">
        <w:rPr>
          <w:noProof/>
        </w:rPr>
        <w:t xml:space="preserve">  </w:t>
      </w:r>
      <w:r w:rsidR="00DB7D80">
        <w:rPr>
          <w:noProof/>
        </w:rPr>
        <w:t xml:space="preserve">The completion of dental </w:t>
      </w:r>
      <w:r w:rsidR="004B2264">
        <w:rPr>
          <w:noProof/>
        </w:rPr>
        <w:t xml:space="preserve">maturity </w:t>
      </w:r>
      <w:r w:rsidR="00206B85">
        <w:rPr>
          <w:noProof/>
        </w:rPr>
        <w:t xml:space="preserve">(apical closure of the third molar) </w:t>
      </w:r>
      <w:r w:rsidR="00DB7D80">
        <w:rPr>
          <w:noProof/>
        </w:rPr>
        <w:t xml:space="preserve">is </w:t>
      </w:r>
      <w:r w:rsidR="00050BA1">
        <w:rPr>
          <w:noProof/>
        </w:rPr>
        <w:t xml:space="preserve">a critical </w:t>
      </w:r>
      <w:r w:rsidR="00B73E3B">
        <w:rPr>
          <w:noProof/>
        </w:rPr>
        <w:t>landmark</w:t>
      </w:r>
      <w:r w:rsidR="00050BA1">
        <w:rPr>
          <w:noProof/>
        </w:rPr>
        <w:t xml:space="preserve"> to consider</w:t>
      </w:r>
      <w:r w:rsidR="004B2264">
        <w:rPr>
          <w:noProof/>
        </w:rPr>
        <w:t xml:space="preserve"> in this application as well</w:t>
      </w:r>
      <w:r w:rsidR="00DB7D80">
        <w:rPr>
          <w:noProof/>
        </w:rPr>
        <w:t>.  Analysis of</w:t>
      </w:r>
      <w:r w:rsidR="00413E4C">
        <w:rPr>
          <w:noProof/>
        </w:rPr>
        <w:t xml:space="preserve"> the number of epiphyses that fuse past DS64 </w:t>
      </w:r>
      <w:r w:rsidR="00FC5974">
        <w:rPr>
          <w:noProof/>
        </w:rPr>
        <w:t xml:space="preserve">may </w:t>
      </w:r>
      <w:r w:rsidR="00706487">
        <w:rPr>
          <w:noProof/>
        </w:rPr>
        <w:t xml:space="preserve">reveal that </w:t>
      </w:r>
      <w:r w:rsidR="00413E4C">
        <w:rPr>
          <w:noProof/>
        </w:rPr>
        <w:t xml:space="preserve">this event </w:t>
      </w:r>
      <w:r w:rsidR="00A33C5A">
        <w:rPr>
          <w:noProof/>
        </w:rPr>
        <w:t xml:space="preserve">is </w:t>
      </w:r>
      <w:r w:rsidR="00413E4C">
        <w:rPr>
          <w:noProof/>
        </w:rPr>
        <w:t xml:space="preserve">occuring </w:t>
      </w:r>
      <w:r w:rsidR="00413E4C" w:rsidRPr="00B73E3B">
        <w:rPr>
          <w:noProof/>
        </w:rPr>
        <w:t>relatively earlier in chimpanzees.</w:t>
      </w:r>
      <w:r w:rsidR="00B73E3B" w:rsidRPr="00B73E3B">
        <w:rPr>
          <w:noProof/>
        </w:rPr>
        <w:t xml:space="preserve">  C</w:t>
      </w:r>
      <w:r w:rsidR="005315CD">
        <w:rPr>
          <w:noProof/>
        </w:rPr>
        <w:t>omparison</w:t>
      </w:r>
      <w:r w:rsidR="00382FB2">
        <w:rPr>
          <w:noProof/>
        </w:rPr>
        <w:t>s</w:t>
      </w:r>
      <w:r w:rsidR="007C6706" w:rsidRPr="00B73E3B">
        <w:rPr>
          <w:noProof/>
        </w:rPr>
        <w:t xml:space="preserve"> of dental score to epiphyseal fusion </w:t>
      </w:r>
      <w:r w:rsidR="00382FB2">
        <w:rPr>
          <w:noProof/>
        </w:rPr>
        <w:t xml:space="preserve">in Chapter 4 </w:t>
      </w:r>
      <w:r w:rsidR="004B2264">
        <w:rPr>
          <w:noProof/>
        </w:rPr>
        <w:t>ha</w:t>
      </w:r>
      <w:r w:rsidR="00382FB2">
        <w:rPr>
          <w:noProof/>
        </w:rPr>
        <w:t>ve</w:t>
      </w:r>
      <w:r w:rsidR="00B73E3B" w:rsidRPr="00B73E3B">
        <w:rPr>
          <w:noProof/>
        </w:rPr>
        <w:t xml:space="preserve"> shown </w:t>
      </w:r>
      <w:r w:rsidR="007C6706" w:rsidRPr="00B73E3B">
        <w:rPr>
          <w:noProof/>
        </w:rPr>
        <w:t>that several epiphyses fuse after this reference</w:t>
      </w:r>
      <w:r w:rsidR="007C14EA">
        <w:rPr>
          <w:noProof/>
        </w:rPr>
        <w:t xml:space="preserve"> point</w:t>
      </w:r>
      <w:r w:rsidR="007C6706" w:rsidRPr="00B73E3B">
        <w:rPr>
          <w:noProof/>
        </w:rPr>
        <w:t>.  This does not occur in humans</w:t>
      </w:r>
      <w:r w:rsidR="0021292A" w:rsidRPr="00B73E3B">
        <w:rPr>
          <w:noProof/>
        </w:rPr>
        <w:t xml:space="preserve"> where only the medial clavicle typically fuses after third molar apical closure (Sch</w:t>
      </w:r>
      <w:r w:rsidR="00A96EDD" w:rsidRPr="00B73E3B">
        <w:rPr>
          <w:noProof/>
        </w:rPr>
        <w:t xml:space="preserve">aefer </w:t>
      </w:r>
      <w:r w:rsidR="00A96EDD" w:rsidRPr="00B73E3B">
        <w:rPr>
          <w:i/>
          <w:noProof/>
        </w:rPr>
        <w:t>et al</w:t>
      </w:r>
      <w:r w:rsidR="00A96EDD" w:rsidRPr="00B73E3B">
        <w:rPr>
          <w:noProof/>
        </w:rPr>
        <w:t>.</w:t>
      </w:r>
      <w:r w:rsidR="001F0230">
        <w:rPr>
          <w:noProof/>
        </w:rPr>
        <w:t xml:space="preserve"> </w:t>
      </w:r>
      <w:r w:rsidR="00B64125" w:rsidRPr="00B73E3B">
        <w:rPr>
          <w:noProof/>
        </w:rPr>
        <w:t>200</w:t>
      </w:r>
      <w:r w:rsidR="002F0602" w:rsidRPr="00B73E3B">
        <w:rPr>
          <w:noProof/>
        </w:rPr>
        <w:t>9</w:t>
      </w:r>
      <w:r w:rsidR="0021292A" w:rsidRPr="00B73E3B">
        <w:rPr>
          <w:noProof/>
        </w:rPr>
        <w:t>)</w:t>
      </w:r>
      <w:r w:rsidR="007C6706" w:rsidRPr="00B73E3B">
        <w:rPr>
          <w:noProof/>
        </w:rPr>
        <w:t>.</w:t>
      </w:r>
      <w:r w:rsidR="003E300D">
        <w:rPr>
          <w:noProof/>
        </w:rPr>
        <w:t xml:space="preserve">  A</w:t>
      </w:r>
      <w:r w:rsidR="00C359EC">
        <w:rPr>
          <w:noProof/>
        </w:rPr>
        <w:t xml:space="preserve">pical </w:t>
      </w:r>
      <w:r w:rsidR="000C4167">
        <w:rPr>
          <w:noProof/>
        </w:rPr>
        <w:t xml:space="preserve">root </w:t>
      </w:r>
      <w:r w:rsidR="00C359EC">
        <w:rPr>
          <w:noProof/>
        </w:rPr>
        <w:t>closure of teeth</w:t>
      </w:r>
      <w:r w:rsidR="003E300D">
        <w:rPr>
          <w:noProof/>
        </w:rPr>
        <w:t xml:space="preserve"> was chosen as a reference for </w:t>
      </w:r>
      <w:r w:rsidR="00C359EC">
        <w:rPr>
          <w:noProof/>
        </w:rPr>
        <w:t xml:space="preserve">chimpanzees and humans </w:t>
      </w:r>
      <w:r w:rsidR="003E300D">
        <w:rPr>
          <w:noProof/>
        </w:rPr>
        <w:t xml:space="preserve">and ages of attainment are </w:t>
      </w:r>
      <w:r w:rsidR="00A50295">
        <w:rPr>
          <w:noProof/>
        </w:rPr>
        <w:t>show</w:t>
      </w:r>
      <w:r w:rsidR="003F245B">
        <w:rPr>
          <w:noProof/>
        </w:rPr>
        <w:t xml:space="preserve">n in </w:t>
      </w:r>
      <w:r w:rsidR="00195A63">
        <w:rPr>
          <w:noProof/>
        </w:rPr>
        <w:t>T</w:t>
      </w:r>
      <w:r w:rsidR="003F245B">
        <w:rPr>
          <w:noProof/>
        </w:rPr>
        <w:t>able 5.</w:t>
      </w:r>
      <w:r w:rsidR="00195A63">
        <w:rPr>
          <w:noProof/>
        </w:rPr>
        <w:t>6</w:t>
      </w:r>
      <w:r w:rsidR="00A50295">
        <w:rPr>
          <w:noProof/>
        </w:rPr>
        <w:t xml:space="preserve">.  </w:t>
      </w:r>
      <w:r w:rsidR="002F0602">
        <w:rPr>
          <w:noProof/>
        </w:rPr>
        <w:t>For reference points other than complete third molar mineral</w:t>
      </w:r>
      <w:r w:rsidR="00350CEB">
        <w:rPr>
          <w:noProof/>
        </w:rPr>
        <w:t>i</w:t>
      </w:r>
      <w:r w:rsidR="002F0602">
        <w:rPr>
          <w:noProof/>
        </w:rPr>
        <w:t>zation, the choice of</w:t>
      </w:r>
      <w:r w:rsidR="00A50295">
        <w:rPr>
          <w:noProof/>
        </w:rPr>
        <w:t xml:space="preserve"> completion of tooth mineralization</w:t>
      </w:r>
      <w:r w:rsidR="005B2DC0">
        <w:rPr>
          <w:noProof/>
        </w:rPr>
        <w:t xml:space="preserve"> </w:t>
      </w:r>
      <w:r w:rsidR="00A50295">
        <w:rPr>
          <w:noProof/>
        </w:rPr>
        <w:t>is</w:t>
      </w:r>
      <w:r w:rsidR="00612ECD">
        <w:rPr>
          <w:noProof/>
        </w:rPr>
        <w:t xml:space="preserve"> </w:t>
      </w:r>
      <w:r w:rsidR="00A50295">
        <w:rPr>
          <w:noProof/>
        </w:rPr>
        <w:t>arbitrary</w:t>
      </w:r>
      <w:r w:rsidR="00830C70">
        <w:rPr>
          <w:noProof/>
        </w:rPr>
        <w:t xml:space="preserve">.  </w:t>
      </w:r>
      <w:r w:rsidR="005835CE">
        <w:rPr>
          <w:noProof/>
        </w:rPr>
        <w:t>However, i</w:t>
      </w:r>
      <w:r w:rsidR="00830C70">
        <w:rPr>
          <w:noProof/>
        </w:rPr>
        <w:t xml:space="preserve">t is </w:t>
      </w:r>
      <w:r w:rsidR="00350CEB">
        <w:rPr>
          <w:noProof/>
        </w:rPr>
        <w:t>a feature that is measureable given the data available in this study</w:t>
      </w:r>
      <w:r w:rsidR="00A50295">
        <w:rPr>
          <w:noProof/>
        </w:rPr>
        <w:t xml:space="preserve">.  </w:t>
      </w:r>
      <w:r w:rsidR="003E300D">
        <w:rPr>
          <w:noProof/>
        </w:rPr>
        <w:t>Age</w:t>
      </w:r>
      <w:r w:rsidR="00387082">
        <w:rPr>
          <w:noProof/>
        </w:rPr>
        <w:t xml:space="preserve"> </w:t>
      </w:r>
      <w:r w:rsidR="00A50295">
        <w:rPr>
          <w:noProof/>
        </w:rPr>
        <w:t>r</w:t>
      </w:r>
      <w:r w:rsidR="003F245B">
        <w:rPr>
          <w:noProof/>
        </w:rPr>
        <w:t xml:space="preserve">anges </w:t>
      </w:r>
      <w:r w:rsidR="00387082">
        <w:rPr>
          <w:noProof/>
        </w:rPr>
        <w:t xml:space="preserve">for human epiphyseal fusion closure </w:t>
      </w:r>
      <w:r w:rsidR="00AB47DD">
        <w:rPr>
          <w:noProof/>
        </w:rPr>
        <w:t>are provided in T</w:t>
      </w:r>
      <w:r w:rsidR="003F245B">
        <w:rPr>
          <w:noProof/>
        </w:rPr>
        <w:t>able 5.</w:t>
      </w:r>
      <w:r w:rsidR="005349A0">
        <w:rPr>
          <w:noProof/>
        </w:rPr>
        <w:t>7</w:t>
      </w:r>
      <w:r w:rsidR="00A50295">
        <w:rPr>
          <w:noProof/>
        </w:rPr>
        <w:t xml:space="preserve">.  This table provides ranges of fusion from a number of different studies.  No single study of </w:t>
      </w:r>
      <w:r w:rsidR="001234A1">
        <w:rPr>
          <w:noProof/>
        </w:rPr>
        <w:t xml:space="preserve">human </w:t>
      </w:r>
      <w:r w:rsidR="00A50295">
        <w:rPr>
          <w:noProof/>
        </w:rPr>
        <w:t>epiphyseal fusion considers all of the epiphyses observed in t</w:t>
      </w:r>
      <w:r w:rsidR="00AB47DD">
        <w:rPr>
          <w:noProof/>
        </w:rPr>
        <w:t>he present</w:t>
      </w:r>
      <w:r w:rsidR="00A50295">
        <w:rPr>
          <w:noProof/>
        </w:rPr>
        <w:t xml:space="preserve"> study</w:t>
      </w:r>
      <w:r w:rsidR="001234A1">
        <w:rPr>
          <w:noProof/>
        </w:rPr>
        <w:t xml:space="preserve"> for chimpanzees and bonobos</w:t>
      </w:r>
      <w:r w:rsidR="00E11EA8">
        <w:rPr>
          <w:noProof/>
        </w:rPr>
        <w:t>.</w:t>
      </w:r>
    </w:p>
    <w:p w:rsidR="003E300D" w:rsidRDefault="003E300D">
      <w:pPr>
        <w:spacing w:before="0" w:after="200" w:line="276" w:lineRule="auto"/>
        <w:jc w:val="left"/>
        <w:rPr>
          <w:noProof/>
        </w:rPr>
      </w:pPr>
      <w:r>
        <w:rPr>
          <w:noProof/>
        </w:rPr>
        <w:br w:type="page"/>
      </w:r>
    </w:p>
    <w:p w:rsidR="00BB1F7D" w:rsidRPr="00532B9A" w:rsidRDefault="00105B00" w:rsidP="008F6AD8">
      <w:pPr>
        <w:spacing w:before="120" w:after="120" w:line="240" w:lineRule="auto"/>
        <w:rPr>
          <w:noProof/>
        </w:rPr>
      </w:pPr>
      <w:bookmarkStart w:id="2539" w:name="_Toc373180182"/>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6</w:t>
      </w:r>
      <w:r w:rsidR="008943E4">
        <w:rPr>
          <w:b/>
        </w:rPr>
        <w:fldChar w:fldCharType="end"/>
      </w:r>
      <w:r w:rsidR="00A50295" w:rsidRPr="00532B9A">
        <w:rPr>
          <w:noProof/>
        </w:rPr>
        <w:t xml:space="preserve"> Human and chimpanzee dental apical closure ages and chimpanzee</w:t>
      </w:r>
      <w:bookmarkEnd w:id="2539"/>
    </w:p>
    <w:tbl>
      <w:tblPr>
        <w:tblW w:w="9572" w:type="dxa"/>
        <w:jc w:val="center"/>
        <w:tblInd w:w="93" w:type="dxa"/>
        <w:tblBorders>
          <w:top w:val="single" w:sz="4" w:space="0" w:color="auto"/>
          <w:bottom w:val="single" w:sz="4" w:space="0" w:color="auto"/>
        </w:tblBorders>
        <w:tblLook w:val="04A0" w:firstRow="1" w:lastRow="0" w:firstColumn="1" w:lastColumn="0" w:noHBand="0" w:noVBand="1"/>
      </w:tblPr>
      <w:tblGrid>
        <w:gridCol w:w="1425"/>
        <w:gridCol w:w="1890"/>
        <w:gridCol w:w="1560"/>
        <w:gridCol w:w="1842"/>
        <w:gridCol w:w="1276"/>
        <w:gridCol w:w="1579"/>
      </w:tblGrid>
      <w:tr w:rsidR="00722B93" w:rsidRPr="00703060" w:rsidTr="004047CF">
        <w:trPr>
          <w:trHeight w:val="375"/>
          <w:jc w:val="center"/>
        </w:trPr>
        <w:tc>
          <w:tcPr>
            <w:tcW w:w="1425" w:type="dxa"/>
            <w:vMerge w:val="restart"/>
            <w:tcBorders>
              <w:top w:val="single" w:sz="4" w:space="0" w:color="auto"/>
            </w:tcBorders>
            <w:shd w:val="clear" w:color="auto" w:fill="auto"/>
            <w:noWrap/>
            <w:vAlign w:val="center"/>
            <w:hideMark/>
          </w:tcPr>
          <w:p w:rsidR="00722B93" w:rsidRPr="00CA5FBB" w:rsidRDefault="004047CF" w:rsidP="00CA5FBB">
            <w:pPr>
              <w:spacing w:line="240" w:lineRule="auto"/>
              <w:jc w:val="center"/>
              <w:rPr>
                <w:rFonts w:eastAsia="Times New Roman"/>
                <w:b/>
                <w:color w:val="000000"/>
                <w:lang w:val="en-GB" w:eastAsia="en-GB"/>
              </w:rPr>
            </w:pPr>
            <w:r>
              <w:rPr>
                <w:rFonts w:eastAsia="Times New Roman"/>
                <w:b/>
                <w:color w:val="000000"/>
                <w:lang w:val="en-GB" w:eastAsia="en-GB"/>
              </w:rPr>
              <w:t>t</w:t>
            </w:r>
            <w:r w:rsidR="00722B93" w:rsidRPr="00CA5FBB">
              <w:rPr>
                <w:rFonts w:eastAsia="Times New Roman"/>
                <w:b/>
                <w:color w:val="000000"/>
                <w:lang w:val="en-GB" w:eastAsia="en-GB"/>
              </w:rPr>
              <w:t>ooth</w:t>
            </w:r>
          </w:p>
        </w:tc>
        <w:tc>
          <w:tcPr>
            <w:tcW w:w="3450" w:type="dxa"/>
            <w:gridSpan w:val="2"/>
            <w:tcBorders>
              <w:top w:val="single" w:sz="4" w:space="0" w:color="auto"/>
              <w:bottom w:val="single" w:sz="4" w:space="0" w:color="auto"/>
            </w:tcBorders>
            <w:shd w:val="clear" w:color="auto" w:fill="auto"/>
            <w:noWrap/>
            <w:vAlign w:val="center"/>
            <w:hideMark/>
          </w:tcPr>
          <w:p w:rsidR="00722B93" w:rsidRPr="00CA5FBB" w:rsidRDefault="004047CF" w:rsidP="00CA5FBB">
            <w:pPr>
              <w:spacing w:before="0" w:line="240" w:lineRule="auto"/>
              <w:jc w:val="center"/>
              <w:rPr>
                <w:rFonts w:eastAsia="Times New Roman"/>
                <w:b/>
                <w:color w:val="000000"/>
                <w:lang w:val="en-GB" w:eastAsia="en-GB"/>
              </w:rPr>
            </w:pPr>
            <w:proofErr w:type="gramStart"/>
            <w:r>
              <w:rPr>
                <w:rFonts w:eastAsia="Times New Roman"/>
                <w:b/>
                <w:color w:val="000000"/>
                <w:lang w:val="en-GB" w:eastAsia="en-GB"/>
              </w:rPr>
              <w:t>a</w:t>
            </w:r>
            <w:r w:rsidR="00722B93" w:rsidRPr="00CA5FBB">
              <w:rPr>
                <w:rFonts w:eastAsia="Times New Roman"/>
                <w:b/>
                <w:color w:val="000000"/>
                <w:lang w:val="en-GB" w:eastAsia="en-GB"/>
              </w:rPr>
              <w:t>pical</w:t>
            </w:r>
            <w:proofErr w:type="gramEnd"/>
            <w:r w:rsidR="00722B93" w:rsidRPr="00CA5FBB">
              <w:rPr>
                <w:rFonts w:eastAsia="Times New Roman"/>
                <w:b/>
                <w:color w:val="000000"/>
                <w:lang w:val="en-GB" w:eastAsia="en-GB"/>
              </w:rPr>
              <w:t xml:space="preserve"> closure in humans (years)</w:t>
            </w:r>
            <w:r w:rsidR="00722B93" w:rsidRPr="00CA5FBB">
              <w:rPr>
                <w:rFonts w:eastAsia="Times New Roman"/>
                <w:b/>
                <w:color w:val="000000"/>
                <w:vertAlign w:val="superscript"/>
                <w:lang w:val="en-GB" w:eastAsia="en-GB"/>
              </w:rPr>
              <w:t>1.</w:t>
            </w:r>
          </w:p>
        </w:tc>
        <w:tc>
          <w:tcPr>
            <w:tcW w:w="4697" w:type="dxa"/>
            <w:gridSpan w:val="3"/>
            <w:tcBorders>
              <w:top w:val="single" w:sz="4" w:space="0" w:color="auto"/>
              <w:bottom w:val="single" w:sz="4" w:space="0" w:color="auto"/>
            </w:tcBorders>
            <w:shd w:val="clear" w:color="auto" w:fill="auto"/>
            <w:noWrap/>
            <w:vAlign w:val="center"/>
            <w:hideMark/>
          </w:tcPr>
          <w:p w:rsidR="00722B93" w:rsidRPr="00CA5FBB" w:rsidRDefault="004047CF" w:rsidP="00CA5FBB">
            <w:pPr>
              <w:spacing w:before="0" w:line="240" w:lineRule="auto"/>
              <w:jc w:val="center"/>
              <w:rPr>
                <w:rFonts w:eastAsia="Times New Roman"/>
                <w:b/>
                <w:color w:val="000000"/>
                <w:lang w:val="en-GB" w:eastAsia="en-GB"/>
              </w:rPr>
            </w:pPr>
            <w:proofErr w:type="gramStart"/>
            <w:r>
              <w:rPr>
                <w:rFonts w:eastAsia="Times New Roman"/>
                <w:b/>
                <w:color w:val="000000"/>
                <w:lang w:val="en-GB" w:eastAsia="en-GB"/>
              </w:rPr>
              <w:t>a</w:t>
            </w:r>
            <w:r w:rsidR="00722B93" w:rsidRPr="00CA5FBB">
              <w:rPr>
                <w:rFonts w:eastAsia="Times New Roman"/>
                <w:b/>
                <w:color w:val="000000"/>
                <w:lang w:val="en-GB" w:eastAsia="en-GB"/>
              </w:rPr>
              <w:t>pical</w:t>
            </w:r>
            <w:proofErr w:type="gramEnd"/>
            <w:r w:rsidR="00722B93" w:rsidRPr="00CA5FBB">
              <w:rPr>
                <w:rFonts w:eastAsia="Times New Roman"/>
                <w:b/>
                <w:color w:val="000000"/>
                <w:lang w:val="en-GB" w:eastAsia="en-GB"/>
              </w:rPr>
              <w:t xml:space="preserve"> closure in chimpanzees (years)</w:t>
            </w:r>
            <w:r w:rsidR="00722B93" w:rsidRPr="00CA5FBB">
              <w:rPr>
                <w:rFonts w:eastAsia="Times New Roman"/>
                <w:b/>
                <w:color w:val="000000"/>
                <w:vertAlign w:val="superscript"/>
                <w:lang w:val="en-GB" w:eastAsia="en-GB"/>
              </w:rPr>
              <w:t>2.</w:t>
            </w:r>
          </w:p>
        </w:tc>
      </w:tr>
      <w:tr w:rsidR="00722B93" w:rsidRPr="00703060" w:rsidTr="004047CF">
        <w:trPr>
          <w:trHeight w:val="315"/>
          <w:jc w:val="center"/>
        </w:trPr>
        <w:tc>
          <w:tcPr>
            <w:tcW w:w="1425" w:type="dxa"/>
            <w:vMerge/>
            <w:tcBorders>
              <w:bottom w:val="single" w:sz="4" w:space="0" w:color="auto"/>
            </w:tcBorders>
            <w:shd w:val="clear" w:color="auto" w:fill="auto"/>
            <w:noWrap/>
            <w:vAlign w:val="center"/>
            <w:hideMark/>
          </w:tcPr>
          <w:p w:rsidR="00722B93" w:rsidRPr="00CA5FBB" w:rsidRDefault="00722B93" w:rsidP="00CA5FBB">
            <w:pPr>
              <w:spacing w:before="0" w:line="240" w:lineRule="auto"/>
              <w:jc w:val="center"/>
              <w:rPr>
                <w:rFonts w:eastAsia="Times New Roman"/>
                <w:b/>
                <w:color w:val="000000"/>
                <w:lang w:val="en-GB" w:eastAsia="en-GB"/>
              </w:rPr>
            </w:pPr>
          </w:p>
        </w:tc>
        <w:tc>
          <w:tcPr>
            <w:tcW w:w="1890" w:type="dxa"/>
            <w:tcBorders>
              <w:top w:val="single" w:sz="4" w:space="0" w:color="auto"/>
              <w:bottom w:val="single" w:sz="4" w:space="0" w:color="auto"/>
            </w:tcBorders>
            <w:shd w:val="clear" w:color="auto" w:fill="auto"/>
            <w:noWrap/>
            <w:vAlign w:val="center"/>
            <w:hideMark/>
          </w:tcPr>
          <w:p w:rsidR="00722B93" w:rsidRPr="00CA5FBB" w:rsidRDefault="00722B93"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males</w:t>
            </w:r>
          </w:p>
        </w:tc>
        <w:tc>
          <w:tcPr>
            <w:tcW w:w="1560" w:type="dxa"/>
            <w:tcBorders>
              <w:top w:val="single" w:sz="4" w:space="0" w:color="auto"/>
              <w:bottom w:val="single" w:sz="4" w:space="0" w:color="auto"/>
            </w:tcBorders>
            <w:shd w:val="clear" w:color="auto" w:fill="auto"/>
            <w:noWrap/>
            <w:vAlign w:val="center"/>
            <w:hideMark/>
          </w:tcPr>
          <w:p w:rsidR="00722B93" w:rsidRPr="00CA5FBB" w:rsidRDefault="00722B93"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females</w:t>
            </w:r>
          </w:p>
        </w:tc>
        <w:tc>
          <w:tcPr>
            <w:tcW w:w="1842" w:type="dxa"/>
            <w:tcBorders>
              <w:top w:val="single" w:sz="4" w:space="0" w:color="auto"/>
              <w:bottom w:val="single" w:sz="4" w:space="0" w:color="auto"/>
            </w:tcBorders>
            <w:shd w:val="clear" w:color="auto" w:fill="auto"/>
            <w:noWrap/>
            <w:vAlign w:val="center"/>
            <w:hideMark/>
          </w:tcPr>
          <w:p w:rsidR="00722B93" w:rsidRPr="00CA5FBB" w:rsidRDefault="00722B93"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males</w:t>
            </w:r>
          </w:p>
        </w:tc>
        <w:tc>
          <w:tcPr>
            <w:tcW w:w="1276" w:type="dxa"/>
            <w:tcBorders>
              <w:top w:val="single" w:sz="4" w:space="0" w:color="auto"/>
              <w:bottom w:val="single" w:sz="4" w:space="0" w:color="auto"/>
            </w:tcBorders>
            <w:shd w:val="clear" w:color="auto" w:fill="auto"/>
            <w:noWrap/>
            <w:vAlign w:val="center"/>
            <w:hideMark/>
          </w:tcPr>
          <w:p w:rsidR="00722B93" w:rsidRPr="00CA5FBB" w:rsidRDefault="00722B93"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females</w:t>
            </w:r>
          </w:p>
        </w:tc>
        <w:tc>
          <w:tcPr>
            <w:tcW w:w="1579" w:type="dxa"/>
            <w:tcBorders>
              <w:top w:val="single" w:sz="4" w:space="0" w:color="auto"/>
              <w:bottom w:val="single" w:sz="4" w:space="0" w:color="auto"/>
            </w:tcBorders>
            <w:shd w:val="clear" w:color="auto" w:fill="auto"/>
            <w:noWrap/>
            <w:vAlign w:val="center"/>
            <w:hideMark/>
          </w:tcPr>
          <w:p w:rsidR="00722B93" w:rsidRPr="00CA5FBB" w:rsidRDefault="00722B93"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total sample</w:t>
            </w:r>
          </w:p>
        </w:tc>
      </w:tr>
      <w:tr w:rsidR="00A50295" w:rsidRPr="00703060" w:rsidTr="004047CF">
        <w:trPr>
          <w:trHeight w:val="315"/>
          <w:jc w:val="center"/>
        </w:trPr>
        <w:tc>
          <w:tcPr>
            <w:tcW w:w="1425"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lang w:val="en-GB" w:eastAsia="en-GB"/>
              </w:rPr>
            </w:pPr>
            <w:r w:rsidRPr="00703060">
              <w:rPr>
                <w:rFonts w:eastAsia="Times New Roman"/>
                <w:color w:val="000000"/>
                <w:lang w:val="en-GB" w:eastAsia="en-GB"/>
              </w:rPr>
              <w:t>M3</w:t>
            </w:r>
          </w:p>
        </w:tc>
        <w:tc>
          <w:tcPr>
            <w:tcW w:w="1890"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20.0</w:t>
            </w:r>
          </w:p>
        </w:tc>
        <w:tc>
          <w:tcPr>
            <w:tcW w:w="1560"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20.75</w:t>
            </w:r>
          </w:p>
        </w:tc>
        <w:tc>
          <w:tcPr>
            <w:tcW w:w="1842"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w:t>
            </w:r>
            <w:r w:rsidRPr="00703060">
              <w:rPr>
                <w:rFonts w:eastAsia="Times New Roman"/>
                <w:color w:val="000000"/>
                <w:vertAlign w:val="superscript"/>
                <w:lang w:val="en-GB" w:eastAsia="en-GB"/>
              </w:rPr>
              <w:t>3.</w:t>
            </w:r>
          </w:p>
        </w:tc>
        <w:tc>
          <w:tcPr>
            <w:tcW w:w="1276"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w:t>
            </w:r>
          </w:p>
        </w:tc>
        <w:tc>
          <w:tcPr>
            <w:tcW w:w="1579"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w:t>
            </w:r>
          </w:p>
        </w:tc>
      </w:tr>
      <w:tr w:rsidR="00A50295" w:rsidRPr="00703060" w:rsidTr="004047CF">
        <w:trPr>
          <w:trHeight w:val="315"/>
          <w:jc w:val="center"/>
        </w:trPr>
        <w:tc>
          <w:tcPr>
            <w:tcW w:w="1425"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M2</w:t>
            </w:r>
          </w:p>
        </w:tc>
        <w:tc>
          <w:tcPr>
            <w:tcW w:w="189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15.4</w:t>
            </w:r>
          </w:p>
        </w:tc>
        <w:tc>
          <w:tcPr>
            <w:tcW w:w="156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15.6</w:t>
            </w:r>
          </w:p>
        </w:tc>
        <w:tc>
          <w:tcPr>
            <w:tcW w:w="184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10.73</w:t>
            </w:r>
          </w:p>
        </w:tc>
        <w:tc>
          <w:tcPr>
            <w:tcW w:w="127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w:t>
            </w:r>
          </w:p>
        </w:tc>
        <w:tc>
          <w:tcPr>
            <w:tcW w:w="157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10.73</w:t>
            </w:r>
          </w:p>
        </w:tc>
      </w:tr>
      <w:tr w:rsidR="00A50295" w:rsidRPr="00703060" w:rsidTr="004047CF">
        <w:trPr>
          <w:trHeight w:val="315"/>
          <w:jc w:val="center"/>
        </w:trPr>
        <w:tc>
          <w:tcPr>
            <w:tcW w:w="1425"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M1</w:t>
            </w:r>
          </w:p>
        </w:tc>
        <w:tc>
          <w:tcPr>
            <w:tcW w:w="189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19.3</w:t>
            </w:r>
          </w:p>
        </w:tc>
        <w:tc>
          <w:tcPr>
            <w:tcW w:w="156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16.2</w:t>
            </w:r>
          </w:p>
        </w:tc>
        <w:tc>
          <w:tcPr>
            <w:tcW w:w="184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8.57</w:t>
            </w:r>
          </w:p>
        </w:tc>
        <w:tc>
          <w:tcPr>
            <w:tcW w:w="127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7.99</w:t>
            </w:r>
          </w:p>
        </w:tc>
        <w:tc>
          <w:tcPr>
            <w:tcW w:w="157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8.14</w:t>
            </w:r>
          </w:p>
        </w:tc>
      </w:tr>
      <w:tr w:rsidR="00A50295" w:rsidRPr="00703060" w:rsidTr="004047CF">
        <w:trPr>
          <w:trHeight w:val="315"/>
          <w:jc w:val="center"/>
        </w:trPr>
        <w:tc>
          <w:tcPr>
            <w:tcW w:w="1425"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P2</w:t>
            </w:r>
          </w:p>
        </w:tc>
        <w:tc>
          <w:tcPr>
            <w:tcW w:w="189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14.4</w:t>
            </w:r>
          </w:p>
        </w:tc>
        <w:tc>
          <w:tcPr>
            <w:tcW w:w="156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14.6</w:t>
            </w:r>
          </w:p>
        </w:tc>
        <w:tc>
          <w:tcPr>
            <w:tcW w:w="184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10.74</w:t>
            </w:r>
          </w:p>
        </w:tc>
        <w:tc>
          <w:tcPr>
            <w:tcW w:w="127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8.35</w:t>
            </w:r>
          </w:p>
        </w:tc>
        <w:tc>
          <w:tcPr>
            <w:tcW w:w="157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9.69</w:t>
            </w:r>
          </w:p>
        </w:tc>
      </w:tr>
      <w:tr w:rsidR="00A50295" w:rsidRPr="00703060" w:rsidTr="004047CF">
        <w:trPr>
          <w:trHeight w:val="315"/>
          <w:jc w:val="center"/>
        </w:trPr>
        <w:tc>
          <w:tcPr>
            <w:tcW w:w="1425"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P1</w:t>
            </w:r>
          </w:p>
        </w:tc>
        <w:tc>
          <w:tcPr>
            <w:tcW w:w="189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13.5</w:t>
            </w:r>
          </w:p>
        </w:tc>
        <w:tc>
          <w:tcPr>
            <w:tcW w:w="156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14.1</w:t>
            </w:r>
          </w:p>
        </w:tc>
        <w:tc>
          <w:tcPr>
            <w:tcW w:w="184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10.73</w:t>
            </w:r>
          </w:p>
        </w:tc>
        <w:tc>
          <w:tcPr>
            <w:tcW w:w="127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8.66</w:t>
            </w:r>
          </w:p>
        </w:tc>
        <w:tc>
          <w:tcPr>
            <w:tcW w:w="157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9.69</w:t>
            </w:r>
          </w:p>
        </w:tc>
      </w:tr>
      <w:tr w:rsidR="00A50295" w:rsidRPr="00703060" w:rsidTr="004047CF">
        <w:trPr>
          <w:trHeight w:val="315"/>
          <w:jc w:val="center"/>
        </w:trPr>
        <w:tc>
          <w:tcPr>
            <w:tcW w:w="1425"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C1</w:t>
            </w:r>
          </w:p>
        </w:tc>
        <w:tc>
          <w:tcPr>
            <w:tcW w:w="189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11.9</w:t>
            </w:r>
          </w:p>
        </w:tc>
        <w:tc>
          <w:tcPr>
            <w:tcW w:w="156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12.4</w:t>
            </w:r>
          </w:p>
        </w:tc>
        <w:tc>
          <w:tcPr>
            <w:tcW w:w="184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10.12</w:t>
            </w:r>
          </w:p>
        </w:tc>
        <w:tc>
          <w:tcPr>
            <w:tcW w:w="127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no data</w:t>
            </w:r>
          </w:p>
        </w:tc>
        <w:tc>
          <w:tcPr>
            <w:tcW w:w="157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no data</w:t>
            </w:r>
          </w:p>
        </w:tc>
      </w:tr>
      <w:tr w:rsidR="00A50295" w:rsidRPr="00703060" w:rsidTr="004047CF">
        <w:trPr>
          <w:trHeight w:val="315"/>
          <w:jc w:val="center"/>
        </w:trPr>
        <w:tc>
          <w:tcPr>
            <w:tcW w:w="1425"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I2</w:t>
            </w:r>
          </w:p>
        </w:tc>
        <w:tc>
          <w:tcPr>
            <w:tcW w:w="189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13.7</w:t>
            </w:r>
          </w:p>
        </w:tc>
        <w:tc>
          <w:tcPr>
            <w:tcW w:w="156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14.2</w:t>
            </w:r>
          </w:p>
        </w:tc>
        <w:tc>
          <w:tcPr>
            <w:tcW w:w="184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10.73</w:t>
            </w:r>
          </w:p>
        </w:tc>
        <w:tc>
          <w:tcPr>
            <w:tcW w:w="127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9.02</w:t>
            </w:r>
          </w:p>
        </w:tc>
        <w:tc>
          <w:tcPr>
            <w:tcW w:w="157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9.69</w:t>
            </w:r>
          </w:p>
        </w:tc>
      </w:tr>
      <w:tr w:rsidR="00A50295" w:rsidRPr="00703060" w:rsidTr="004047CF">
        <w:trPr>
          <w:trHeight w:val="315"/>
          <w:jc w:val="center"/>
        </w:trPr>
        <w:tc>
          <w:tcPr>
            <w:tcW w:w="1425"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I1</w:t>
            </w:r>
          </w:p>
        </w:tc>
        <w:tc>
          <w:tcPr>
            <w:tcW w:w="189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11.8</w:t>
            </w:r>
          </w:p>
        </w:tc>
        <w:tc>
          <w:tcPr>
            <w:tcW w:w="1560"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12.9</w:t>
            </w:r>
          </w:p>
        </w:tc>
        <w:tc>
          <w:tcPr>
            <w:tcW w:w="184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10.12</w:t>
            </w:r>
          </w:p>
        </w:tc>
        <w:tc>
          <w:tcPr>
            <w:tcW w:w="127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8.66</w:t>
            </w:r>
          </w:p>
        </w:tc>
        <w:tc>
          <w:tcPr>
            <w:tcW w:w="157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703060">
              <w:rPr>
                <w:rFonts w:eastAsia="Times New Roman"/>
                <w:color w:val="000000"/>
                <w:lang w:val="en-GB" w:eastAsia="en-GB"/>
              </w:rPr>
              <w:t>9.55</w:t>
            </w:r>
          </w:p>
        </w:tc>
      </w:tr>
    </w:tbl>
    <w:p w:rsidR="00C60568" w:rsidRPr="00444F93" w:rsidRDefault="00C60568" w:rsidP="004047CF">
      <w:pPr>
        <w:pStyle w:val="ListParagraph"/>
        <w:numPr>
          <w:ilvl w:val="0"/>
          <w:numId w:val="31"/>
        </w:numPr>
        <w:spacing w:before="120" w:line="240" w:lineRule="auto"/>
        <w:ind w:left="714" w:hanging="357"/>
        <w:rPr>
          <w:noProof/>
          <w:sz w:val="20"/>
          <w:szCs w:val="20"/>
        </w:rPr>
      </w:pPr>
      <w:r w:rsidRPr="00444F93">
        <w:rPr>
          <w:noProof/>
          <w:sz w:val="20"/>
          <w:szCs w:val="20"/>
        </w:rPr>
        <w:t xml:space="preserve">Data from Schaefer </w:t>
      </w:r>
      <w:r w:rsidRPr="00444F93">
        <w:rPr>
          <w:i/>
          <w:noProof/>
          <w:sz w:val="20"/>
          <w:szCs w:val="20"/>
        </w:rPr>
        <w:t>et al</w:t>
      </w:r>
      <w:r w:rsidR="004047CF">
        <w:rPr>
          <w:noProof/>
          <w:sz w:val="20"/>
          <w:szCs w:val="20"/>
        </w:rPr>
        <w:t>.</w:t>
      </w:r>
      <w:r w:rsidRPr="00444F93">
        <w:rPr>
          <w:i/>
          <w:noProof/>
          <w:sz w:val="20"/>
          <w:szCs w:val="20"/>
        </w:rPr>
        <w:t xml:space="preserve"> </w:t>
      </w:r>
      <w:r w:rsidRPr="00444F93">
        <w:rPr>
          <w:noProof/>
          <w:sz w:val="20"/>
          <w:szCs w:val="20"/>
        </w:rPr>
        <w:t>(2009)</w:t>
      </w:r>
      <w:r>
        <w:rPr>
          <w:noProof/>
          <w:sz w:val="20"/>
          <w:szCs w:val="20"/>
        </w:rPr>
        <w:t xml:space="preserve"> except third molar which is from Moorrees </w:t>
      </w:r>
      <w:r>
        <w:rPr>
          <w:i/>
          <w:noProof/>
          <w:sz w:val="20"/>
          <w:szCs w:val="20"/>
        </w:rPr>
        <w:t>et al</w:t>
      </w:r>
      <w:r w:rsidR="00C201B5" w:rsidRPr="00C201B5">
        <w:rPr>
          <w:noProof/>
          <w:sz w:val="20"/>
          <w:szCs w:val="20"/>
        </w:rPr>
        <w:t>.</w:t>
      </w:r>
      <w:r>
        <w:rPr>
          <w:i/>
          <w:noProof/>
          <w:sz w:val="20"/>
          <w:szCs w:val="20"/>
        </w:rPr>
        <w:t xml:space="preserve"> </w:t>
      </w:r>
      <w:r>
        <w:rPr>
          <w:noProof/>
          <w:sz w:val="20"/>
          <w:szCs w:val="20"/>
        </w:rPr>
        <w:t>1963.</w:t>
      </w:r>
    </w:p>
    <w:p w:rsidR="00C60568" w:rsidRDefault="00C60568" w:rsidP="00C60568">
      <w:pPr>
        <w:pStyle w:val="ListParagraph"/>
        <w:numPr>
          <w:ilvl w:val="0"/>
          <w:numId w:val="31"/>
        </w:numPr>
        <w:spacing w:line="240" w:lineRule="auto"/>
        <w:rPr>
          <w:noProof/>
          <w:sz w:val="20"/>
          <w:szCs w:val="20"/>
        </w:rPr>
      </w:pPr>
      <w:r w:rsidRPr="00444F93">
        <w:rPr>
          <w:noProof/>
          <w:sz w:val="20"/>
          <w:szCs w:val="20"/>
        </w:rPr>
        <w:t>Data from Kuykendall (1996)</w:t>
      </w:r>
    </w:p>
    <w:p w:rsidR="00A35CA0" w:rsidRDefault="008943E4" w:rsidP="00CA5FBB">
      <w:pPr>
        <w:pStyle w:val="ListParagraph"/>
        <w:numPr>
          <w:ilvl w:val="0"/>
          <w:numId w:val="31"/>
        </w:numPr>
        <w:spacing w:line="240" w:lineRule="auto"/>
        <w:rPr>
          <w:noProof/>
        </w:rPr>
      </w:pPr>
      <w:r w:rsidRPr="00CA5FBB">
        <w:rPr>
          <w:noProof/>
          <w:sz w:val="20"/>
          <w:szCs w:val="20"/>
        </w:rPr>
        <w:t>Kuykendall’s data had no third molar sub-adults with apical closure.</w:t>
      </w:r>
    </w:p>
    <w:p w:rsidR="00C60568" w:rsidRDefault="00D92D08" w:rsidP="00D92D08">
      <w:pPr>
        <w:rPr>
          <w:noProof/>
        </w:rPr>
      </w:pPr>
      <w:r>
        <w:rPr>
          <w:noProof/>
        </w:rPr>
        <w:t xml:space="preserve">Age estimates of epiphyseal fusion timing for chimpanzees in this study were calculated using Kuykendall’s (1996) regression equation, which did not differentiate by sex.  The estimated ages based on regression do not exactly match the estimated ages for apical closure as estimated for each individual tooth.  Kuykendall’s (1996) estimated age for completion of the third molar (10.73 years) is older than the regression estimate based on 8 teeth (9.453 years).  The ranges of error for these estimates overlap for both means of measurement and there is no immediate solution for this ambiguity.  Using estimates for apical closures of individual teeth may shift categorization of epiphyses.  To reduce the effect of this problem, only two reference points were used in this analysis.  These were apical closure of the first and third molar.  Apical closure of the first molar provides an early-stage reference point and third molar completion may be more confidently assessed as this represents </w:t>
      </w:r>
      <w:r w:rsidR="003F35E8">
        <w:rPr>
          <w:noProof/>
        </w:rPr>
        <w:t>dental maturity</w:t>
      </w:r>
      <w:r>
        <w:rPr>
          <w:noProof/>
        </w:rPr>
        <w:t>.  The value for the first molar was derived from the median value of Kuykendall’s (1996) estimate for combined-sex Demirjian stage-8 teeth (8.14 years).  Kuykendall’s (1996) regression equation estimate for age of completion of the third molar was 9.453 years.  Epiphyses were grouped by these two apical closures.  Table 5.8 provides a list of groups for epiphyses that correspond to each range of time between the complet</w:t>
      </w:r>
      <w:r w:rsidR="00DF365A">
        <w:rPr>
          <w:noProof/>
        </w:rPr>
        <w:t>e mineralization</w:t>
      </w:r>
      <w:r>
        <w:rPr>
          <w:noProof/>
        </w:rPr>
        <w:t xml:space="preserve"> of tooth apicies.  These refer only to mid-fusion epiphyses that were observed in this study.  The epiphyses in these groups are listed below in Table 5.9.</w:t>
      </w:r>
    </w:p>
    <w:p w:rsidR="00D92D08" w:rsidRDefault="00D92D08">
      <w:pPr>
        <w:spacing w:before="0" w:after="200" w:line="276" w:lineRule="auto"/>
        <w:jc w:val="left"/>
        <w:rPr>
          <w:noProof/>
        </w:rPr>
      </w:pPr>
      <w:r>
        <w:rPr>
          <w:noProof/>
        </w:rPr>
        <w:br w:type="page"/>
      </w:r>
    </w:p>
    <w:p w:rsidR="00A50295" w:rsidRDefault="00C60568" w:rsidP="008F6AD8">
      <w:pPr>
        <w:spacing w:before="120" w:after="120" w:line="240" w:lineRule="auto"/>
        <w:rPr>
          <w:noProof/>
        </w:rPr>
      </w:pPr>
      <w:bookmarkStart w:id="2540" w:name="_Toc373180183"/>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7</w:t>
      </w:r>
      <w:r w:rsidR="008943E4">
        <w:rPr>
          <w:b/>
        </w:rPr>
        <w:fldChar w:fldCharType="end"/>
      </w:r>
      <w:r w:rsidR="00A50295">
        <w:rPr>
          <w:noProof/>
        </w:rPr>
        <w:t xml:space="preserve"> Epiphyseal fusion ranges in humans for both males and females derived from several different studies.</w:t>
      </w:r>
      <w:bookmarkEnd w:id="2540"/>
    </w:p>
    <w:tbl>
      <w:tblPr>
        <w:tblW w:w="8662" w:type="dxa"/>
        <w:tblInd w:w="93" w:type="dxa"/>
        <w:tblBorders>
          <w:top w:val="single" w:sz="4" w:space="0" w:color="auto"/>
          <w:bottom w:val="single" w:sz="4" w:space="0" w:color="auto"/>
        </w:tblBorders>
        <w:tblLook w:val="04A0" w:firstRow="1" w:lastRow="0" w:firstColumn="1" w:lastColumn="0" w:noHBand="0" w:noVBand="1"/>
      </w:tblPr>
      <w:tblGrid>
        <w:gridCol w:w="990"/>
        <w:gridCol w:w="2798"/>
        <w:gridCol w:w="2464"/>
        <w:gridCol w:w="2410"/>
      </w:tblGrid>
      <w:tr w:rsidR="00550AD8" w:rsidRPr="00550AD8" w:rsidTr="00F73C3E">
        <w:trPr>
          <w:trHeight w:val="300"/>
        </w:trPr>
        <w:tc>
          <w:tcPr>
            <w:tcW w:w="990" w:type="dxa"/>
            <w:tcBorders>
              <w:top w:val="single" w:sz="4" w:space="0" w:color="auto"/>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b/>
                <w:bCs/>
                <w:color w:val="000000"/>
                <w:lang w:val="en-GB" w:eastAsia="en-GB"/>
              </w:rPr>
            </w:pPr>
            <w:r w:rsidRPr="00550AD8">
              <w:rPr>
                <w:rFonts w:eastAsia="Times New Roman"/>
                <w:b/>
                <w:bCs/>
                <w:color w:val="000000"/>
                <w:lang w:val="en-GB" w:eastAsia="en-GB"/>
              </w:rPr>
              <w:t>region</w:t>
            </w:r>
          </w:p>
        </w:tc>
        <w:tc>
          <w:tcPr>
            <w:tcW w:w="2798" w:type="dxa"/>
            <w:tcBorders>
              <w:top w:val="single" w:sz="4" w:space="0" w:color="auto"/>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b/>
                <w:bCs/>
                <w:color w:val="000000"/>
                <w:lang w:val="en-GB" w:eastAsia="en-GB"/>
              </w:rPr>
            </w:pPr>
            <w:r w:rsidRPr="00550AD8">
              <w:rPr>
                <w:rFonts w:eastAsia="Times New Roman"/>
                <w:b/>
                <w:bCs/>
                <w:color w:val="000000"/>
                <w:lang w:val="en-GB" w:eastAsia="en-GB"/>
              </w:rPr>
              <w:t>epiphysis</w:t>
            </w:r>
          </w:p>
        </w:tc>
        <w:tc>
          <w:tcPr>
            <w:tcW w:w="2464" w:type="dxa"/>
            <w:tcBorders>
              <w:top w:val="single" w:sz="4" w:space="0" w:color="auto"/>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b/>
                <w:bCs/>
                <w:color w:val="000000"/>
                <w:lang w:val="en-GB" w:eastAsia="en-GB"/>
              </w:rPr>
            </w:pPr>
            <w:r w:rsidRPr="00550AD8">
              <w:rPr>
                <w:rFonts w:eastAsia="Times New Roman"/>
                <w:b/>
                <w:bCs/>
                <w:color w:val="000000"/>
                <w:lang w:val="en-GB" w:eastAsia="en-GB"/>
              </w:rPr>
              <w:t>humans females (years)</w:t>
            </w:r>
          </w:p>
        </w:tc>
        <w:tc>
          <w:tcPr>
            <w:tcW w:w="2410" w:type="dxa"/>
            <w:tcBorders>
              <w:top w:val="single" w:sz="4" w:space="0" w:color="auto"/>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b/>
                <w:bCs/>
                <w:color w:val="000000"/>
                <w:lang w:val="en-GB" w:eastAsia="en-GB"/>
              </w:rPr>
            </w:pPr>
            <w:r w:rsidRPr="00550AD8">
              <w:rPr>
                <w:rFonts w:eastAsia="Times New Roman"/>
                <w:b/>
                <w:bCs/>
                <w:color w:val="000000"/>
                <w:lang w:val="en-GB" w:eastAsia="en-GB"/>
              </w:rPr>
              <w:t>humans males (years)</w:t>
            </w:r>
          </w:p>
        </w:tc>
      </w:tr>
      <w:tr w:rsidR="00550AD8" w:rsidRPr="00550AD8" w:rsidTr="00F73C3E">
        <w:trPr>
          <w:trHeight w:val="300"/>
        </w:trPr>
        <w:tc>
          <w:tcPr>
            <w:tcW w:w="990" w:type="dxa"/>
            <w:vMerge w:val="restart"/>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feet</w:t>
            </w:r>
          </w:p>
        </w:tc>
        <w:tc>
          <w:tcPr>
            <w:tcW w:w="2798"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calcaneus</w:t>
            </w:r>
          </w:p>
        </w:tc>
        <w:tc>
          <w:tcPr>
            <w:tcW w:w="2464"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10-16 (1)</w:t>
            </w:r>
          </w:p>
        </w:tc>
        <w:tc>
          <w:tcPr>
            <w:tcW w:w="2410"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11-14 (1)</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talus</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not measured</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not measured</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000000" w:fill="FFFFFF"/>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distal phalanges</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11-13 (1)</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14-16 (1)</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middle phalanges</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11-13 (1)</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14-16 (1)</w:t>
            </w:r>
          </w:p>
        </w:tc>
      </w:tr>
      <w:tr w:rsidR="00550AD8" w:rsidRPr="00550AD8" w:rsidTr="00F73C3E">
        <w:trPr>
          <w:trHeight w:val="300"/>
        </w:trPr>
        <w:tc>
          <w:tcPr>
            <w:tcW w:w="990" w:type="dxa"/>
            <w:vMerge/>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tcBorders>
              <w:bottom w:val="single" w:sz="4" w:space="0" w:color="auto"/>
            </w:tcBorders>
            <w:shd w:val="clear" w:color="000000" w:fill="FFFFFF"/>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metatarsal heads 2-5 fusion</w:t>
            </w:r>
          </w:p>
        </w:tc>
        <w:tc>
          <w:tcPr>
            <w:tcW w:w="2464"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11-13 (1)</w:t>
            </w:r>
          </w:p>
        </w:tc>
        <w:tc>
          <w:tcPr>
            <w:tcW w:w="2410"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14-16 (1)</w:t>
            </w:r>
          </w:p>
        </w:tc>
      </w:tr>
      <w:tr w:rsidR="00550AD8" w:rsidRPr="00550AD8" w:rsidTr="00F73C3E">
        <w:trPr>
          <w:trHeight w:val="300"/>
        </w:trPr>
        <w:tc>
          <w:tcPr>
            <w:tcW w:w="990" w:type="dxa"/>
            <w:vMerge w:val="restart"/>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hands</w:t>
            </w:r>
          </w:p>
        </w:tc>
        <w:tc>
          <w:tcPr>
            <w:tcW w:w="2798" w:type="dxa"/>
            <w:tcBorders>
              <w:top w:val="single" w:sz="4" w:space="0" w:color="auto"/>
            </w:tcBorders>
            <w:shd w:val="clear" w:color="000000" w:fill="FFFFFF"/>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proximal phalanges</w:t>
            </w:r>
          </w:p>
        </w:tc>
        <w:tc>
          <w:tcPr>
            <w:tcW w:w="2464"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13-15 (1)</w:t>
            </w:r>
          </w:p>
        </w:tc>
        <w:tc>
          <w:tcPr>
            <w:tcW w:w="2410"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16-18 (1)</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000000" w:fill="FFFFFF"/>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base of metatarsal 1</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13-15 (1)</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16-18 (1)</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distal phalanges</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13.5 (1)</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 (1)</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base of metacarpal 1</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14-14.5 (1)</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16.5 (1)</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proximal and middle phalanges</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14-14.5 (1)</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16.5 (1)</w:t>
            </w:r>
          </w:p>
        </w:tc>
      </w:tr>
      <w:tr w:rsidR="00550AD8" w:rsidRPr="00550AD8" w:rsidTr="00F73C3E">
        <w:trPr>
          <w:trHeight w:val="300"/>
        </w:trPr>
        <w:tc>
          <w:tcPr>
            <w:tcW w:w="990" w:type="dxa"/>
            <w:vMerge/>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heads of metacarpals 2-5</w:t>
            </w:r>
          </w:p>
        </w:tc>
        <w:tc>
          <w:tcPr>
            <w:tcW w:w="2464"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14.5-15 (1)</w:t>
            </w:r>
          </w:p>
        </w:tc>
        <w:tc>
          <w:tcPr>
            <w:tcW w:w="2410"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16.5 (1)</w:t>
            </w:r>
          </w:p>
        </w:tc>
      </w:tr>
      <w:tr w:rsidR="00550AD8" w:rsidRPr="00550AD8" w:rsidTr="00F73C3E">
        <w:trPr>
          <w:trHeight w:hRule="exact" w:val="300"/>
        </w:trPr>
        <w:tc>
          <w:tcPr>
            <w:tcW w:w="990" w:type="dxa"/>
            <w:tcBorders>
              <w:top w:val="single" w:sz="4" w:space="0" w:color="auto"/>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clavicle</w:t>
            </w:r>
          </w:p>
        </w:tc>
        <w:tc>
          <w:tcPr>
            <w:tcW w:w="2798" w:type="dxa"/>
            <w:tcBorders>
              <w:top w:val="single" w:sz="4" w:space="0" w:color="auto"/>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medial clavicle</w:t>
            </w:r>
          </w:p>
        </w:tc>
        <w:tc>
          <w:tcPr>
            <w:tcW w:w="2464" w:type="dxa"/>
            <w:tcBorders>
              <w:top w:val="single" w:sz="4" w:space="0" w:color="auto"/>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17-33, closed after 21 (4)</w:t>
            </w:r>
          </w:p>
        </w:tc>
        <w:tc>
          <w:tcPr>
            <w:tcW w:w="2410" w:type="dxa"/>
            <w:tcBorders>
              <w:top w:val="single" w:sz="4" w:space="0" w:color="auto"/>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17-29, closed after 21(4)</w:t>
            </w:r>
          </w:p>
        </w:tc>
      </w:tr>
      <w:tr w:rsidR="00550AD8" w:rsidRPr="00550AD8" w:rsidTr="00F73C3E">
        <w:trPr>
          <w:trHeight w:val="300"/>
        </w:trPr>
        <w:tc>
          <w:tcPr>
            <w:tcW w:w="990" w:type="dxa"/>
            <w:vMerge w:val="restart"/>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scapula</w:t>
            </w:r>
          </w:p>
        </w:tc>
        <w:tc>
          <w:tcPr>
            <w:tcW w:w="2798"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coracoid</w:t>
            </w:r>
          </w:p>
        </w:tc>
        <w:tc>
          <w:tcPr>
            <w:tcW w:w="2464"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11 to 17 (3)</w:t>
            </w:r>
          </w:p>
        </w:tc>
        <w:tc>
          <w:tcPr>
            <w:tcW w:w="2410"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15-22 (3)</w:t>
            </w:r>
          </w:p>
        </w:tc>
      </w:tr>
      <w:tr w:rsidR="00550AD8" w:rsidRPr="00550AD8" w:rsidTr="00F73C3E">
        <w:trPr>
          <w:trHeight w:hRule="exac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sub-coracoid and glenoid</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11-17 (3)</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15-18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acromium</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17-20 (4)</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17-21 (3)</w:t>
            </w:r>
          </w:p>
        </w:tc>
      </w:tr>
      <w:tr w:rsidR="00550AD8" w:rsidRPr="00550AD8" w:rsidTr="00F73C3E">
        <w:trPr>
          <w:trHeight w:val="300"/>
        </w:trPr>
        <w:tc>
          <w:tcPr>
            <w:tcW w:w="990" w:type="dxa"/>
            <w:vMerge/>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medial border</w:t>
            </w:r>
          </w:p>
        </w:tc>
        <w:tc>
          <w:tcPr>
            <w:tcW w:w="2464"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w:t>
            </w:r>
          </w:p>
        </w:tc>
        <w:tc>
          <w:tcPr>
            <w:tcW w:w="2410"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18-22 (4)</w:t>
            </w:r>
          </w:p>
        </w:tc>
      </w:tr>
      <w:tr w:rsidR="00550AD8" w:rsidRPr="00550AD8" w:rsidTr="00F73C3E">
        <w:trPr>
          <w:trHeight w:hRule="exact" w:val="315"/>
        </w:trPr>
        <w:tc>
          <w:tcPr>
            <w:tcW w:w="990" w:type="dxa"/>
            <w:vMerge w:val="restart"/>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upper limb</w:t>
            </w:r>
          </w:p>
        </w:tc>
        <w:tc>
          <w:tcPr>
            <w:tcW w:w="2798"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proximal humerus</w:t>
            </w:r>
          </w:p>
        </w:tc>
        <w:tc>
          <w:tcPr>
            <w:tcW w:w="2464"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17-23 (3)</w:t>
            </w:r>
          </w:p>
        </w:tc>
        <w:tc>
          <w:tcPr>
            <w:tcW w:w="2410"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19-23 (3)</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FB5ED4" w:rsidP="00F73C3E">
            <w:pPr>
              <w:spacing w:before="0" w:line="240" w:lineRule="auto"/>
              <w:jc w:val="center"/>
              <w:rPr>
                <w:rFonts w:eastAsia="Times New Roman"/>
                <w:color w:val="000000"/>
                <w:lang w:val="en-GB" w:eastAsia="en-GB"/>
              </w:rPr>
            </w:pPr>
            <w:r>
              <w:rPr>
                <w:rFonts w:eastAsia="Times New Roman"/>
                <w:color w:val="000000"/>
                <w:lang w:val="en-GB" w:eastAsia="en-GB"/>
              </w:rPr>
              <w:t>distal humerus</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15-18 (3)</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approx 12 (3)</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2E7A39" w:rsidP="00F73C3E">
            <w:pPr>
              <w:spacing w:before="0" w:line="240" w:lineRule="auto"/>
              <w:jc w:val="center"/>
              <w:rPr>
                <w:rFonts w:eastAsia="Times New Roman"/>
                <w:color w:val="000000"/>
                <w:lang w:val="en-GB" w:eastAsia="en-GB"/>
              </w:rPr>
            </w:pPr>
            <w:r>
              <w:rPr>
                <w:rFonts w:eastAsia="Times New Roman"/>
                <w:color w:val="000000"/>
                <w:lang w:val="en-GB" w:eastAsia="en-GB"/>
              </w:rPr>
              <w:t xml:space="preserve">humeral </w:t>
            </w:r>
            <w:r w:rsidR="00550AD8" w:rsidRPr="00550AD8">
              <w:rPr>
                <w:rFonts w:eastAsia="Times New Roman"/>
                <w:color w:val="000000"/>
                <w:lang w:val="en-GB" w:eastAsia="en-GB"/>
              </w:rPr>
              <w:t>medial epicondyle</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12-14 (5)</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16-18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proximal radius</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12-17 (3)</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15-18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distal radius</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17-22 (C&amp;W)</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proximal ulna</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14-18 (5)</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15-18 (4)</w:t>
            </w:r>
          </w:p>
        </w:tc>
      </w:tr>
      <w:tr w:rsidR="00550AD8" w:rsidRPr="00550AD8" w:rsidTr="00F73C3E">
        <w:trPr>
          <w:trHeight w:val="300"/>
        </w:trPr>
        <w:tc>
          <w:tcPr>
            <w:tcW w:w="990" w:type="dxa"/>
            <w:vMerge/>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distal ulna</w:t>
            </w:r>
          </w:p>
        </w:tc>
        <w:tc>
          <w:tcPr>
            <w:tcW w:w="2464"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17-21 (3)</w:t>
            </w:r>
          </w:p>
        </w:tc>
        <w:tc>
          <w:tcPr>
            <w:tcW w:w="2410"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17-20 (4)</w:t>
            </w:r>
          </w:p>
        </w:tc>
      </w:tr>
      <w:tr w:rsidR="00550AD8" w:rsidRPr="00550AD8" w:rsidTr="00F73C3E">
        <w:trPr>
          <w:trHeight w:hRule="exact" w:val="300"/>
        </w:trPr>
        <w:tc>
          <w:tcPr>
            <w:tcW w:w="990" w:type="dxa"/>
            <w:vMerge w:val="restart"/>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lower limb</w:t>
            </w:r>
          </w:p>
        </w:tc>
        <w:tc>
          <w:tcPr>
            <w:tcW w:w="2798"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femoral head</w:t>
            </w:r>
          </w:p>
        </w:tc>
        <w:tc>
          <w:tcPr>
            <w:tcW w:w="2464"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14-16 (2)</w:t>
            </w:r>
          </w:p>
        </w:tc>
        <w:tc>
          <w:tcPr>
            <w:tcW w:w="2410" w:type="dxa"/>
            <w:tcBorders>
              <w:top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greater trochanter</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13-16 (2)</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lesser trochanter</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13-16 (2)</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distal femur</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14-19 (2)</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proximal tibia</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14-19 (2)</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distal tibia</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14-16 (2)</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16-18 (4)</w:t>
            </w:r>
          </w:p>
        </w:tc>
      </w:tr>
      <w:tr w:rsidR="00550AD8" w:rsidRPr="00550AD8" w:rsidTr="00F73C3E">
        <w:trPr>
          <w:trHeight w:val="300"/>
        </w:trPr>
        <w:tc>
          <w:tcPr>
            <w:tcW w:w="990" w:type="dxa"/>
            <w:vMerge/>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proximal fibula</w:t>
            </w:r>
          </w:p>
        </w:tc>
        <w:tc>
          <w:tcPr>
            <w:tcW w:w="2464"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14-17 (2), 17-19 (3)</w:t>
            </w:r>
          </w:p>
        </w:tc>
        <w:tc>
          <w:tcPr>
            <w:tcW w:w="2410" w:type="dxa"/>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r w:rsidR="00550AD8" w:rsidRPr="00550AD8" w:rsidTr="00F73C3E">
        <w:trPr>
          <w:trHeight w:val="300"/>
        </w:trPr>
        <w:tc>
          <w:tcPr>
            <w:tcW w:w="990" w:type="dxa"/>
            <w:vMerge/>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distal fibula</w:t>
            </w:r>
          </w:p>
        </w:tc>
        <w:tc>
          <w:tcPr>
            <w:tcW w:w="2464"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14-16 (2) 17-21 (3)</w:t>
            </w:r>
          </w:p>
        </w:tc>
        <w:tc>
          <w:tcPr>
            <w:tcW w:w="2410" w:type="dxa"/>
            <w:tcBorders>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r w:rsidR="00550AD8" w:rsidRPr="00550AD8" w:rsidTr="00F73C3E">
        <w:trPr>
          <w:trHeight w:val="300"/>
        </w:trPr>
        <w:tc>
          <w:tcPr>
            <w:tcW w:w="990" w:type="dxa"/>
            <w:vMerge w:val="restart"/>
            <w:tcBorders>
              <w:top w:val="single" w:sz="4" w:space="0" w:color="auto"/>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pelvis</w:t>
            </w:r>
          </w:p>
        </w:tc>
        <w:tc>
          <w:tcPr>
            <w:tcW w:w="2798" w:type="dxa"/>
            <w:tcBorders>
              <w:top w:val="single" w:sz="4" w:space="0" w:color="auto"/>
              <w:bottom w:val="nil"/>
            </w:tcBorders>
            <w:shd w:val="clear" w:color="000000" w:fill="FFFFFF"/>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triradiate</w:t>
            </w:r>
          </w:p>
        </w:tc>
        <w:tc>
          <w:tcPr>
            <w:tcW w:w="2464" w:type="dxa"/>
            <w:tcBorders>
              <w:top w:val="single" w:sz="4" w:space="0" w:color="auto"/>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11-16 (2)</w:t>
            </w:r>
          </w:p>
        </w:tc>
        <w:tc>
          <w:tcPr>
            <w:tcW w:w="2410" w:type="dxa"/>
            <w:tcBorders>
              <w:top w:val="single" w:sz="4" w:space="0" w:color="auto"/>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11-18 (2)</w:t>
            </w:r>
          </w:p>
        </w:tc>
      </w:tr>
      <w:tr w:rsidR="00550AD8" w:rsidRPr="00550AD8" w:rsidTr="00F73C3E">
        <w:trPr>
          <w:trHeight w:val="300"/>
        </w:trPr>
        <w:tc>
          <w:tcPr>
            <w:tcW w:w="990" w:type="dxa"/>
            <w:vMerge/>
            <w:tcBorders>
              <w:top w:val="nil"/>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tcBorders>
              <w:top w:val="nil"/>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anterior inferior iliac spine</w:t>
            </w:r>
          </w:p>
        </w:tc>
        <w:tc>
          <w:tcPr>
            <w:tcW w:w="2464" w:type="dxa"/>
            <w:tcBorders>
              <w:top w:val="nil"/>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14-19 (3)</w:t>
            </w:r>
          </w:p>
        </w:tc>
        <w:tc>
          <w:tcPr>
            <w:tcW w:w="2410" w:type="dxa"/>
            <w:tcBorders>
              <w:top w:val="nil"/>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16-18 (4)</w:t>
            </w:r>
          </w:p>
        </w:tc>
      </w:tr>
      <w:tr w:rsidR="00550AD8" w:rsidRPr="00550AD8" w:rsidTr="00F73C3E">
        <w:trPr>
          <w:trHeight w:val="300"/>
        </w:trPr>
        <w:tc>
          <w:tcPr>
            <w:tcW w:w="990" w:type="dxa"/>
            <w:vMerge/>
            <w:tcBorders>
              <w:top w:val="nil"/>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tcBorders>
              <w:top w:val="nil"/>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iliac crest</w:t>
            </w:r>
          </w:p>
        </w:tc>
        <w:tc>
          <w:tcPr>
            <w:tcW w:w="2464" w:type="dxa"/>
            <w:tcBorders>
              <w:top w:val="nil"/>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14-21 (2)</w:t>
            </w:r>
          </w:p>
        </w:tc>
        <w:tc>
          <w:tcPr>
            <w:tcW w:w="2410" w:type="dxa"/>
            <w:tcBorders>
              <w:top w:val="nil"/>
              <w:bottom w:val="nil"/>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17-21 (4)</w:t>
            </w:r>
          </w:p>
        </w:tc>
      </w:tr>
      <w:tr w:rsidR="00550AD8" w:rsidRPr="00550AD8" w:rsidTr="00F73C3E">
        <w:trPr>
          <w:trHeight w:val="300"/>
        </w:trPr>
        <w:tc>
          <w:tcPr>
            <w:tcW w:w="990" w:type="dxa"/>
            <w:vMerge/>
            <w:tcBorders>
              <w:top w:val="nil"/>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p>
        </w:tc>
        <w:tc>
          <w:tcPr>
            <w:tcW w:w="2798" w:type="dxa"/>
            <w:tcBorders>
              <w:top w:val="nil"/>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ischium</w:t>
            </w:r>
          </w:p>
        </w:tc>
        <w:tc>
          <w:tcPr>
            <w:tcW w:w="2464" w:type="dxa"/>
            <w:tcBorders>
              <w:top w:val="nil"/>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14-19 (2)</w:t>
            </w:r>
          </w:p>
        </w:tc>
        <w:tc>
          <w:tcPr>
            <w:tcW w:w="2410" w:type="dxa"/>
            <w:tcBorders>
              <w:top w:val="nil"/>
              <w:bottom w:val="single" w:sz="4" w:space="0" w:color="auto"/>
            </w:tcBorders>
            <w:shd w:val="clear" w:color="auto" w:fill="auto"/>
            <w:noWrap/>
            <w:vAlign w:val="center"/>
            <w:hideMark/>
          </w:tcPr>
          <w:p w:rsidR="00550AD8" w:rsidRPr="00550AD8" w:rsidRDefault="00550AD8" w:rsidP="00F73C3E">
            <w:pPr>
              <w:spacing w:before="0" w:line="240" w:lineRule="auto"/>
              <w:jc w:val="center"/>
              <w:rPr>
                <w:rFonts w:eastAsia="Times New Roman"/>
                <w:color w:val="000000"/>
                <w:lang w:val="en-GB" w:eastAsia="en-GB"/>
              </w:rPr>
            </w:pPr>
            <w:r w:rsidRPr="00550AD8">
              <w:rPr>
                <w:rFonts w:eastAsia="Times New Roman"/>
                <w:color w:val="000000"/>
                <w:lang w:val="en-GB" w:eastAsia="en-GB"/>
              </w:rPr>
              <w:t>16-20 (4)</w:t>
            </w:r>
          </w:p>
        </w:tc>
      </w:tr>
    </w:tbl>
    <w:p w:rsidR="00A35CA0" w:rsidRDefault="005F2771" w:rsidP="00CA5FBB">
      <w:pPr>
        <w:pStyle w:val="ListParagraph"/>
        <w:numPr>
          <w:ilvl w:val="0"/>
          <w:numId w:val="36"/>
        </w:numPr>
        <w:spacing w:before="0" w:line="240" w:lineRule="auto"/>
        <w:rPr>
          <w:noProof/>
          <w:sz w:val="20"/>
          <w:szCs w:val="20"/>
        </w:rPr>
      </w:pPr>
      <w:r w:rsidRPr="006B2A93">
        <w:rPr>
          <w:rFonts w:eastAsia="Times New Roman"/>
          <w:color w:val="000000"/>
          <w:sz w:val="20"/>
          <w:szCs w:val="20"/>
          <w:lang w:val="en-GB" w:eastAsia="en-GB"/>
        </w:rPr>
        <w:t xml:space="preserve">Schaefer </w:t>
      </w:r>
      <w:r w:rsidRPr="006B2A93">
        <w:rPr>
          <w:rFonts w:eastAsia="Times New Roman"/>
          <w:i/>
          <w:iCs/>
          <w:color w:val="000000"/>
          <w:sz w:val="20"/>
          <w:szCs w:val="20"/>
          <w:lang w:val="en-GB" w:eastAsia="en-GB"/>
        </w:rPr>
        <w:t>et al</w:t>
      </w:r>
      <w:r w:rsidRPr="003F1141">
        <w:rPr>
          <w:rFonts w:eastAsia="Times New Roman"/>
          <w:iCs/>
          <w:color w:val="000000"/>
          <w:sz w:val="20"/>
          <w:szCs w:val="20"/>
          <w:lang w:val="en-GB" w:eastAsia="en-GB"/>
        </w:rPr>
        <w:t>.</w:t>
      </w:r>
      <w:r w:rsidRPr="006B2A93">
        <w:rPr>
          <w:rFonts w:eastAsia="Times New Roman"/>
          <w:i/>
          <w:iCs/>
          <w:color w:val="000000"/>
          <w:sz w:val="20"/>
          <w:szCs w:val="20"/>
          <w:lang w:val="en-GB" w:eastAsia="en-GB"/>
        </w:rPr>
        <w:t xml:space="preserve"> </w:t>
      </w:r>
      <w:r w:rsidRPr="006B2A93">
        <w:rPr>
          <w:rFonts w:eastAsia="Times New Roman"/>
          <w:color w:val="000000"/>
          <w:sz w:val="20"/>
          <w:szCs w:val="20"/>
          <w:lang w:val="en-GB" w:eastAsia="en-GB"/>
        </w:rPr>
        <w:t>2009</w:t>
      </w:r>
    </w:p>
    <w:p w:rsidR="005F2771" w:rsidRPr="006B2A93" w:rsidRDefault="005F2771" w:rsidP="005F2771">
      <w:pPr>
        <w:pStyle w:val="ListParagraph"/>
        <w:numPr>
          <w:ilvl w:val="0"/>
          <w:numId w:val="36"/>
        </w:numPr>
        <w:spacing w:line="240" w:lineRule="auto"/>
        <w:rPr>
          <w:noProof/>
          <w:sz w:val="20"/>
          <w:szCs w:val="20"/>
        </w:rPr>
      </w:pPr>
      <w:r w:rsidRPr="006B2A93">
        <w:rPr>
          <w:noProof/>
          <w:sz w:val="20"/>
          <w:szCs w:val="20"/>
        </w:rPr>
        <w:t>Cardoso 2008</w:t>
      </w:r>
    </w:p>
    <w:p w:rsidR="005F2771" w:rsidRPr="006B2A93" w:rsidRDefault="005F2771" w:rsidP="005F2771">
      <w:pPr>
        <w:pStyle w:val="ListParagraph"/>
        <w:numPr>
          <w:ilvl w:val="0"/>
          <w:numId w:val="36"/>
        </w:numPr>
        <w:spacing w:line="240" w:lineRule="auto"/>
        <w:rPr>
          <w:noProof/>
          <w:sz w:val="20"/>
          <w:szCs w:val="20"/>
        </w:rPr>
      </w:pPr>
      <w:r w:rsidRPr="006B2A93">
        <w:rPr>
          <w:rFonts w:eastAsia="Times New Roman"/>
          <w:color w:val="000000"/>
          <w:sz w:val="20"/>
          <w:szCs w:val="20"/>
          <w:lang w:val="en-GB" w:eastAsia="en-GB"/>
        </w:rPr>
        <w:t>Coqueugniot and Weaver 2007</w:t>
      </w:r>
    </w:p>
    <w:p w:rsidR="005F2771" w:rsidRPr="006B2A93" w:rsidRDefault="005F2771" w:rsidP="005F2771">
      <w:pPr>
        <w:pStyle w:val="ListParagraph"/>
        <w:numPr>
          <w:ilvl w:val="0"/>
          <w:numId w:val="36"/>
        </w:numPr>
        <w:spacing w:line="240" w:lineRule="auto"/>
        <w:rPr>
          <w:noProof/>
          <w:sz w:val="20"/>
          <w:szCs w:val="20"/>
        </w:rPr>
      </w:pPr>
      <w:r w:rsidRPr="006B2A93">
        <w:rPr>
          <w:rFonts w:eastAsia="Times New Roman"/>
          <w:color w:val="000000"/>
          <w:sz w:val="20"/>
          <w:szCs w:val="20"/>
          <w:lang w:val="en-GB" w:eastAsia="en-GB"/>
        </w:rPr>
        <w:t>Schaefer 2008</w:t>
      </w:r>
    </w:p>
    <w:p w:rsidR="005F2771" w:rsidRPr="000A76CC" w:rsidRDefault="005F2771" w:rsidP="005F2771">
      <w:pPr>
        <w:pStyle w:val="ListParagraph"/>
        <w:numPr>
          <w:ilvl w:val="0"/>
          <w:numId w:val="36"/>
        </w:numPr>
        <w:spacing w:line="240" w:lineRule="auto"/>
        <w:rPr>
          <w:noProof/>
          <w:sz w:val="20"/>
          <w:szCs w:val="20"/>
        </w:rPr>
      </w:pPr>
      <w:r w:rsidRPr="006B2A93">
        <w:rPr>
          <w:rFonts w:eastAsia="Times New Roman"/>
          <w:color w:val="000000"/>
          <w:sz w:val="20"/>
          <w:szCs w:val="20"/>
          <w:lang w:val="en-GB" w:eastAsia="en-GB"/>
        </w:rPr>
        <w:t>Sahni and Jit 1995</w:t>
      </w:r>
    </w:p>
    <w:p w:rsidR="00A50295" w:rsidRDefault="00E54668" w:rsidP="0079670E">
      <w:pPr>
        <w:tabs>
          <w:tab w:val="right" w:pos="9026"/>
        </w:tabs>
        <w:spacing w:before="120" w:after="120" w:line="240" w:lineRule="auto"/>
        <w:rPr>
          <w:noProof/>
        </w:rPr>
      </w:pPr>
      <w:bookmarkStart w:id="2541" w:name="_Toc373180184"/>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8</w:t>
      </w:r>
      <w:r w:rsidR="008943E4">
        <w:rPr>
          <w:b/>
        </w:rPr>
        <w:fldChar w:fldCharType="end"/>
      </w:r>
      <w:r>
        <w:rPr>
          <w:noProof/>
        </w:rPr>
        <w:t xml:space="preserve"> </w:t>
      </w:r>
      <w:r w:rsidR="00A50295">
        <w:rPr>
          <w:noProof/>
        </w:rPr>
        <w:t>Chimpanzee fusion events after apical closures estimated from Kuykendall (1996)</w:t>
      </w:r>
      <w:bookmarkEnd w:id="2541"/>
    </w:p>
    <w:tbl>
      <w:tblPr>
        <w:tblW w:w="8804" w:type="dxa"/>
        <w:jc w:val="center"/>
        <w:tblInd w:w="93" w:type="dxa"/>
        <w:tblBorders>
          <w:top w:val="single" w:sz="4" w:space="0" w:color="auto"/>
          <w:bottom w:val="single" w:sz="4" w:space="0" w:color="auto"/>
        </w:tblBorders>
        <w:tblLook w:val="04A0" w:firstRow="1" w:lastRow="0" w:firstColumn="1" w:lastColumn="0" w:noHBand="0" w:noVBand="1"/>
      </w:tblPr>
      <w:tblGrid>
        <w:gridCol w:w="2142"/>
        <w:gridCol w:w="3260"/>
        <w:gridCol w:w="1701"/>
        <w:gridCol w:w="1701"/>
      </w:tblGrid>
      <w:tr w:rsidR="00F968F4" w:rsidRPr="00F968F4" w:rsidTr="00A10D7E">
        <w:trPr>
          <w:trHeight w:val="390"/>
          <w:jc w:val="center"/>
        </w:trPr>
        <w:tc>
          <w:tcPr>
            <w:tcW w:w="2142" w:type="dxa"/>
            <w:tcBorders>
              <w:top w:val="single" w:sz="4" w:space="0" w:color="auto"/>
              <w:bottom w:val="single" w:sz="4" w:space="0" w:color="auto"/>
            </w:tcBorders>
            <w:shd w:val="clear" w:color="auto" w:fill="auto"/>
            <w:noWrap/>
            <w:vAlign w:val="center"/>
            <w:hideMark/>
          </w:tcPr>
          <w:p w:rsidR="00A35CA0" w:rsidRDefault="00A10D7E" w:rsidP="00CA5FBB">
            <w:pPr>
              <w:spacing w:before="0" w:line="240" w:lineRule="auto"/>
              <w:jc w:val="center"/>
              <w:rPr>
                <w:rFonts w:eastAsia="Times New Roman"/>
                <w:b/>
                <w:bCs/>
                <w:color w:val="000000"/>
                <w:sz w:val="28"/>
                <w:szCs w:val="28"/>
                <w:lang w:val="en-GB" w:eastAsia="en-GB"/>
              </w:rPr>
            </w:pPr>
            <w:r>
              <w:rPr>
                <w:rFonts w:eastAsia="Times New Roman"/>
                <w:b/>
                <w:color w:val="000000"/>
                <w:lang w:val="en-GB" w:eastAsia="en-GB"/>
              </w:rPr>
              <w:t>t</w:t>
            </w:r>
            <w:r w:rsidR="00F968F4" w:rsidRPr="00F968F4">
              <w:rPr>
                <w:rFonts w:eastAsia="Times New Roman"/>
                <w:b/>
                <w:color w:val="000000"/>
                <w:lang w:val="en-GB" w:eastAsia="en-GB"/>
              </w:rPr>
              <w:t>ooth</w:t>
            </w:r>
          </w:p>
        </w:tc>
        <w:tc>
          <w:tcPr>
            <w:tcW w:w="3260" w:type="dxa"/>
            <w:tcBorders>
              <w:top w:val="single" w:sz="4" w:space="0" w:color="auto"/>
              <w:bottom w:val="single" w:sz="4" w:space="0" w:color="auto"/>
            </w:tcBorders>
            <w:shd w:val="clear" w:color="auto" w:fill="auto"/>
            <w:noWrap/>
            <w:vAlign w:val="center"/>
            <w:hideMark/>
          </w:tcPr>
          <w:p w:rsidR="00A35CA0" w:rsidRDefault="00A10D7E" w:rsidP="00CA5FBB">
            <w:pPr>
              <w:spacing w:before="0" w:line="240" w:lineRule="auto"/>
              <w:jc w:val="center"/>
              <w:rPr>
                <w:rFonts w:eastAsia="Times New Roman"/>
                <w:b/>
                <w:bCs/>
                <w:color w:val="000000"/>
                <w:sz w:val="28"/>
                <w:szCs w:val="28"/>
                <w:lang w:val="en-GB" w:eastAsia="en-GB"/>
              </w:rPr>
            </w:pPr>
            <w:proofErr w:type="gramStart"/>
            <w:r>
              <w:rPr>
                <w:rFonts w:eastAsia="Times New Roman"/>
                <w:b/>
                <w:color w:val="000000"/>
                <w:lang w:val="en-GB" w:eastAsia="en-GB"/>
              </w:rPr>
              <w:t>m</w:t>
            </w:r>
            <w:r w:rsidR="00F968F4" w:rsidRPr="00F968F4">
              <w:rPr>
                <w:rFonts w:eastAsia="Times New Roman"/>
                <w:b/>
                <w:color w:val="000000"/>
                <w:lang w:val="en-GB" w:eastAsia="en-GB"/>
              </w:rPr>
              <w:t>id-fusion</w:t>
            </w:r>
            <w:proofErr w:type="gramEnd"/>
            <w:r w:rsidR="00F968F4" w:rsidRPr="00F968F4">
              <w:rPr>
                <w:rFonts w:eastAsia="Times New Roman"/>
                <w:b/>
                <w:color w:val="000000"/>
                <w:lang w:val="en-GB" w:eastAsia="en-GB"/>
              </w:rPr>
              <w:t xml:space="preserve"> mean after age (years)</w:t>
            </w:r>
            <w:r w:rsidR="00F968F4" w:rsidRPr="00F968F4">
              <w:rPr>
                <w:rFonts w:eastAsia="Times New Roman"/>
                <w:b/>
                <w:color w:val="000000"/>
                <w:vertAlign w:val="superscript"/>
                <w:lang w:val="en-GB" w:eastAsia="en-GB"/>
              </w:rPr>
              <w:t>1.</w:t>
            </w:r>
          </w:p>
        </w:tc>
        <w:tc>
          <w:tcPr>
            <w:tcW w:w="1701" w:type="dxa"/>
            <w:tcBorders>
              <w:top w:val="single" w:sz="4" w:space="0" w:color="auto"/>
              <w:bottom w:val="single" w:sz="4" w:space="0" w:color="auto"/>
            </w:tcBorders>
            <w:shd w:val="clear" w:color="auto" w:fill="auto"/>
            <w:noWrap/>
            <w:vAlign w:val="center"/>
            <w:hideMark/>
          </w:tcPr>
          <w:p w:rsidR="00A35CA0" w:rsidRDefault="00A10D7E" w:rsidP="00CA5FBB">
            <w:pPr>
              <w:spacing w:before="0" w:line="240" w:lineRule="auto"/>
              <w:jc w:val="center"/>
              <w:rPr>
                <w:rFonts w:eastAsia="Times New Roman"/>
                <w:b/>
                <w:bCs/>
                <w:color w:val="000000"/>
                <w:sz w:val="28"/>
                <w:szCs w:val="28"/>
                <w:lang w:val="en-GB" w:eastAsia="en-GB"/>
              </w:rPr>
            </w:pPr>
            <w:r>
              <w:rPr>
                <w:rFonts w:eastAsia="Times New Roman"/>
                <w:b/>
                <w:color w:val="000000"/>
                <w:lang w:val="en-GB" w:eastAsia="en-GB"/>
              </w:rPr>
              <w:t>f</w:t>
            </w:r>
            <w:r w:rsidR="00F968F4" w:rsidRPr="00F968F4">
              <w:rPr>
                <w:rFonts w:eastAsia="Times New Roman"/>
                <w:b/>
                <w:color w:val="000000"/>
                <w:lang w:val="en-GB" w:eastAsia="en-GB"/>
              </w:rPr>
              <w:t>emale groups</w:t>
            </w:r>
          </w:p>
        </w:tc>
        <w:tc>
          <w:tcPr>
            <w:tcW w:w="1701" w:type="dxa"/>
            <w:tcBorders>
              <w:top w:val="single" w:sz="4" w:space="0" w:color="auto"/>
              <w:bottom w:val="single" w:sz="4" w:space="0" w:color="auto"/>
            </w:tcBorders>
            <w:shd w:val="clear" w:color="auto" w:fill="auto"/>
            <w:noWrap/>
            <w:vAlign w:val="center"/>
            <w:hideMark/>
          </w:tcPr>
          <w:p w:rsidR="00A35CA0" w:rsidRDefault="00A10D7E" w:rsidP="00CA5FBB">
            <w:pPr>
              <w:spacing w:before="0" w:line="240" w:lineRule="auto"/>
              <w:jc w:val="center"/>
              <w:rPr>
                <w:rFonts w:eastAsia="Times New Roman"/>
                <w:b/>
                <w:bCs/>
                <w:color w:val="000000"/>
                <w:sz w:val="28"/>
                <w:szCs w:val="28"/>
                <w:lang w:val="en-GB" w:eastAsia="en-GB"/>
              </w:rPr>
            </w:pPr>
            <w:r>
              <w:rPr>
                <w:rFonts w:eastAsia="Times New Roman"/>
                <w:b/>
                <w:color w:val="000000"/>
                <w:lang w:val="en-GB" w:eastAsia="en-GB"/>
              </w:rPr>
              <w:t>m</w:t>
            </w:r>
            <w:r w:rsidR="00F968F4" w:rsidRPr="00F968F4">
              <w:rPr>
                <w:rFonts w:eastAsia="Times New Roman"/>
                <w:b/>
                <w:color w:val="000000"/>
                <w:lang w:val="en-GB" w:eastAsia="en-GB"/>
              </w:rPr>
              <w:t>ale groups</w:t>
            </w:r>
          </w:p>
        </w:tc>
      </w:tr>
      <w:tr w:rsidR="00F968F4" w:rsidRPr="00F968F4" w:rsidTr="00A10D7E">
        <w:trPr>
          <w:trHeight w:val="283"/>
          <w:jc w:val="center"/>
        </w:trPr>
        <w:tc>
          <w:tcPr>
            <w:tcW w:w="2142" w:type="dxa"/>
            <w:tcBorders>
              <w:top w:val="single" w:sz="4" w:space="0" w:color="auto"/>
            </w:tcBorders>
            <w:shd w:val="clear" w:color="auto" w:fill="auto"/>
            <w:noWrap/>
            <w:vAlign w:val="center"/>
            <w:hideMark/>
          </w:tcPr>
          <w:p w:rsidR="00A35CA0" w:rsidRDefault="00F968F4" w:rsidP="00CA5FBB">
            <w:pPr>
              <w:spacing w:before="0" w:line="240" w:lineRule="auto"/>
              <w:jc w:val="center"/>
              <w:rPr>
                <w:rFonts w:eastAsia="Times New Roman"/>
                <w:b/>
                <w:bCs/>
                <w:color w:val="000000"/>
                <w:sz w:val="28"/>
                <w:szCs w:val="28"/>
                <w:lang w:val="en-GB" w:eastAsia="en-GB"/>
              </w:rPr>
            </w:pPr>
            <w:r w:rsidRPr="00F968F4">
              <w:rPr>
                <w:rFonts w:eastAsia="Times New Roman"/>
                <w:color w:val="000000"/>
                <w:lang w:val="en-GB" w:eastAsia="en-GB"/>
              </w:rPr>
              <w:t>before M1</w:t>
            </w:r>
          </w:p>
        </w:tc>
        <w:tc>
          <w:tcPr>
            <w:tcW w:w="3260" w:type="dxa"/>
            <w:tcBorders>
              <w:top w:val="single" w:sz="4" w:space="0" w:color="auto"/>
            </w:tcBorders>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&lt;</w:t>
            </w:r>
            <w:r w:rsidR="00A10D7E">
              <w:rPr>
                <w:rFonts w:eastAsia="Times New Roman"/>
                <w:color w:val="000000"/>
                <w:lang w:val="en-GB" w:eastAsia="en-GB"/>
              </w:rPr>
              <w:t xml:space="preserve"> </w:t>
            </w:r>
            <w:r w:rsidRPr="00F968F4">
              <w:rPr>
                <w:rFonts w:eastAsia="Times New Roman"/>
                <w:color w:val="000000"/>
                <w:lang w:val="en-GB" w:eastAsia="en-GB"/>
              </w:rPr>
              <w:t>8.14</w:t>
            </w:r>
          </w:p>
        </w:tc>
        <w:tc>
          <w:tcPr>
            <w:tcW w:w="1701" w:type="dxa"/>
            <w:tcBorders>
              <w:top w:val="single" w:sz="4" w:space="0" w:color="auto"/>
            </w:tcBorders>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A</w:t>
            </w:r>
          </w:p>
        </w:tc>
        <w:tc>
          <w:tcPr>
            <w:tcW w:w="1701" w:type="dxa"/>
            <w:tcBorders>
              <w:top w:val="single" w:sz="4" w:space="0" w:color="auto"/>
            </w:tcBorders>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D</w:t>
            </w:r>
          </w:p>
        </w:tc>
      </w:tr>
      <w:tr w:rsidR="00F968F4" w:rsidRPr="00F968F4" w:rsidTr="00A10D7E">
        <w:trPr>
          <w:trHeight w:val="283"/>
          <w:jc w:val="center"/>
        </w:trPr>
        <w:tc>
          <w:tcPr>
            <w:tcW w:w="2142" w:type="dxa"/>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between M1 and M3</w:t>
            </w:r>
          </w:p>
        </w:tc>
        <w:tc>
          <w:tcPr>
            <w:tcW w:w="3260" w:type="dxa"/>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8.14</w:t>
            </w:r>
            <w:r w:rsidR="00A10D7E">
              <w:rPr>
                <w:rFonts w:eastAsia="Times New Roman"/>
                <w:color w:val="000000"/>
                <w:lang w:val="en-GB" w:eastAsia="en-GB"/>
              </w:rPr>
              <w:t xml:space="preserve"> </w:t>
            </w:r>
            <w:r w:rsidRPr="00F968F4">
              <w:rPr>
                <w:rFonts w:eastAsia="Times New Roman"/>
                <w:color w:val="000000"/>
                <w:lang w:val="en-GB" w:eastAsia="en-GB"/>
              </w:rPr>
              <w:t>&lt;</w:t>
            </w:r>
            <w:r w:rsidR="00A1234E" w:rsidRPr="009C2841">
              <w:rPr>
                <w:rFonts w:eastAsia="Times New Roman"/>
                <w:i/>
                <w:color w:val="000000"/>
                <w:lang w:val="en-GB" w:eastAsia="en-GB"/>
              </w:rPr>
              <w:t xml:space="preserve"> x</w:t>
            </w:r>
            <w:r w:rsidR="00A1234E" w:rsidRPr="00F968F4">
              <w:rPr>
                <w:rFonts w:eastAsia="Times New Roman"/>
                <w:color w:val="000000"/>
                <w:lang w:val="en-GB" w:eastAsia="en-GB"/>
              </w:rPr>
              <w:t xml:space="preserve"> </w:t>
            </w:r>
            <w:r w:rsidRPr="00F968F4">
              <w:rPr>
                <w:rFonts w:eastAsia="Times New Roman"/>
                <w:color w:val="000000"/>
                <w:lang w:val="en-GB" w:eastAsia="en-GB"/>
              </w:rPr>
              <w:t>&lt;</w:t>
            </w:r>
            <w:r w:rsidR="00A10D7E">
              <w:rPr>
                <w:rFonts w:eastAsia="Times New Roman"/>
                <w:color w:val="000000"/>
                <w:lang w:val="en-GB" w:eastAsia="en-GB"/>
              </w:rPr>
              <w:t xml:space="preserve"> </w:t>
            </w:r>
            <w:r w:rsidRPr="00F968F4">
              <w:rPr>
                <w:rFonts w:eastAsia="Times New Roman"/>
                <w:color w:val="000000"/>
                <w:lang w:val="en-GB" w:eastAsia="en-GB"/>
              </w:rPr>
              <w:t>9.453</w:t>
            </w:r>
          </w:p>
        </w:tc>
        <w:tc>
          <w:tcPr>
            <w:tcW w:w="1701" w:type="dxa"/>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B</w:t>
            </w:r>
          </w:p>
        </w:tc>
        <w:tc>
          <w:tcPr>
            <w:tcW w:w="1701" w:type="dxa"/>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E</w:t>
            </w:r>
          </w:p>
        </w:tc>
      </w:tr>
      <w:tr w:rsidR="00F968F4" w:rsidRPr="00F968F4" w:rsidTr="00A10D7E">
        <w:trPr>
          <w:trHeight w:val="283"/>
          <w:jc w:val="center"/>
        </w:trPr>
        <w:tc>
          <w:tcPr>
            <w:tcW w:w="2142" w:type="dxa"/>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After M3</w:t>
            </w:r>
          </w:p>
        </w:tc>
        <w:tc>
          <w:tcPr>
            <w:tcW w:w="3260" w:type="dxa"/>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&gt;</w:t>
            </w:r>
            <w:r w:rsidR="00A10D7E">
              <w:rPr>
                <w:rFonts w:eastAsia="Times New Roman"/>
                <w:color w:val="000000"/>
                <w:lang w:val="en-GB" w:eastAsia="en-GB"/>
              </w:rPr>
              <w:t xml:space="preserve"> </w:t>
            </w:r>
            <w:r w:rsidRPr="00F968F4">
              <w:rPr>
                <w:rFonts w:eastAsia="Times New Roman"/>
                <w:color w:val="000000"/>
                <w:lang w:val="en-GB" w:eastAsia="en-GB"/>
              </w:rPr>
              <w:t>9.453</w:t>
            </w:r>
          </w:p>
        </w:tc>
        <w:tc>
          <w:tcPr>
            <w:tcW w:w="1701" w:type="dxa"/>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C</w:t>
            </w:r>
          </w:p>
        </w:tc>
        <w:tc>
          <w:tcPr>
            <w:tcW w:w="1701" w:type="dxa"/>
            <w:shd w:val="clear" w:color="auto" w:fill="auto"/>
            <w:noWrap/>
            <w:vAlign w:val="center"/>
            <w:hideMark/>
          </w:tcPr>
          <w:p w:rsidR="00A35CA0" w:rsidRDefault="00F968F4" w:rsidP="00CA5FBB">
            <w:pPr>
              <w:spacing w:before="0" w:line="240" w:lineRule="auto"/>
              <w:jc w:val="center"/>
              <w:rPr>
                <w:rFonts w:eastAsia="Times New Roman"/>
                <w:b/>
                <w:bCs/>
                <w:color w:val="000000"/>
                <w:sz w:val="24"/>
                <w:szCs w:val="24"/>
                <w:lang w:val="en-GB" w:eastAsia="en-GB"/>
              </w:rPr>
            </w:pPr>
            <w:r w:rsidRPr="00F968F4">
              <w:rPr>
                <w:rFonts w:eastAsia="Times New Roman"/>
                <w:color w:val="000000"/>
                <w:lang w:val="en-GB" w:eastAsia="en-GB"/>
              </w:rPr>
              <w:t>F</w:t>
            </w:r>
          </w:p>
        </w:tc>
      </w:tr>
    </w:tbl>
    <w:p w:rsidR="00A50295" w:rsidRDefault="00E54668" w:rsidP="00564D77">
      <w:pPr>
        <w:spacing w:before="120" w:after="120" w:line="240" w:lineRule="auto"/>
        <w:rPr>
          <w:noProof/>
        </w:rPr>
      </w:pPr>
      <w:bookmarkStart w:id="2542" w:name="_Toc373180185"/>
      <w:proofErr w:type="gramStart"/>
      <w:r w:rsidRPr="00997A01">
        <w:rPr>
          <w:b/>
        </w:rPr>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9</w:t>
      </w:r>
      <w:r w:rsidR="008943E4">
        <w:rPr>
          <w:b/>
        </w:rPr>
        <w:fldChar w:fldCharType="end"/>
      </w:r>
      <w:r w:rsidR="00A50295">
        <w:rPr>
          <w:noProof/>
        </w:rPr>
        <w:t xml:space="preserve"> Epiphysis groups for dental apical age ranges in chimpanzees.</w:t>
      </w:r>
      <w:bookmarkEnd w:id="2542"/>
    </w:p>
    <w:tbl>
      <w:tblPr>
        <w:tblW w:w="9357" w:type="dxa"/>
        <w:jc w:val="center"/>
        <w:tblInd w:w="-318" w:type="dxa"/>
        <w:tblLook w:val="04A0" w:firstRow="1" w:lastRow="0" w:firstColumn="1" w:lastColumn="0" w:noHBand="0" w:noVBand="1"/>
      </w:tblPr>
      <w:tblGrid>
        <w:gridCol w:w="993"/>
        <w:gridCol w:w="2835"/>
        <w:gridCol w:w="2835"/>
        <w:gridCol w:w="2694"/>
      </w:tblGrid>
      <w:tr w:rsidR="00E54668" w:rsidRPr="0073452B" w:rsidTr="00CA5FBB">
        <w:trPr>
          <w:trHeight w:val="315"/>
          <w:jc w:val="center"/>
        </w:trPr>
        <w:tc>
          <w:tcPr>
            <w:tcW w:w="993" w:type="dxa"/>
            <w:vMerge w:val="restart"/>
            <w:tcBorders>
              <w:top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group A</w:t>
            </w:r>
          </w:p>
        </w:tc>
        <w:tc>
          <w:tcPr>
            <w:tcW w:w="2835" w:type="dxa"/>
            <w:tcBorders>
              <w:top w:val="single" w:sz="4" w:space="0" w:color="auto"/>
            </w:tcBorders>
            <w:shd w:val="clear" w:color="auto" w:fill="auto"/>
            <w:noWrap/>
            <w:vAlign w:val="center"/>
            <w:hideMark/>
          </w:tcPr>
          <w:p w:rsidR="00A35CA0" w:rsidRDefault="00FB5ED4" w:rsidP="00CA5FBB">
            <w:pPr>
              <w:spacing w:before="0" w:line="240" w:lineRule="auto"/>
              <w:jc w:val="center"/>
              <w:rPr>
                <w:rFonts w:eastAsia="Times New Roman"/>
                <w:color w:val="000000"/>
                <w:lang w:val="en-GB" w:eastAsia="en-GB"/>
              </w:rPr>
            </w:pPr>
            <w:r>
              <w:rPr>
                <w:rFonts w:eastAsia="Times New Roman"/>
                <w:color w:val="000000"/>
                <w:lang w:val="en-GB" w:eastAsia="en-GB"/>
              </w:rPr>
              <w:t>distal humerus</w:t>
            </w:r>
          </w:p>
        </w:tc>
        <w:tc>
          <w:tcPr>
            <w:tcW w:w="2835" w:type="dxa"/>
            <w:tcBorders>
              <w:top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lang w:val="en-GB" w:eastAsia="en-GB"/>
              </w:rPr>
            </w:pPr>
            <w:r w:rsidRPr="0073452B">
              <w:rPr>
                <w:rFonts w:eastAsia="Times New Roman"/>
                <w:color w:val="000000"/>
                <w:lang w:val="en-GB" w:eastAsia="en-GB"/>
              </w:rPr>
              <w:t>talus</w:t>
            </w:r>
          </w:p>
        </w:tc>
        <w:tc>
          <w:tcPr>
            <w:tcW w:w="2694" w:type="dxa"/>
            <w:tcBorders>
              <w:top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lang w:val="en-GB" w:eastAsia="en-GB"/>
              </w:rPr>
            </w:pPr>
            <w:r w:rsidRPr="0073452B">
              <w:rPr>
                <w:rFonts w:eastAsia="Times New Roman"/>
                <w:color w:val="000000"/>
                <w:lang w:val="en-GB" w:eastAsia="en-GB"/>
              </w:rPr>
              <w:t>sub-coracoid and glenoid</w:t>
            </w:r>
          </w:p>
        </w:tc>
      </w:tr>
      <w:tr w:rsidR="00E54668" w:rsidRPr="0073452B" w:rsidTr="00CA5FBB">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ulna</w:t>
            </w: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triradiate</w:t>
            </w:r>
          </w:p>
        </w:tc>
        <w:tc>
          <w:tcPr>
            <w:tcW w:w="2694" w:type="dxa"/>
            <w:shd w:val="clear" w:color="auto" w:fill="auto"/>
            <w:noWrap/>
            <w:vAlign w:val="center"/>
            <w:hideMark/>
          </w:tcPr>
          <w:p w:rsidR="00A35CA0" w:rsidRDefault="002E7A39"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E54668" w:rsidRPr="0073452B">
              <w:rPr>
                <w:rFonts w:eastAsia="Times New Roman"/>
                <w:color w:val="000000"/>
                <w:lang w:val="en-GB" w:eastAsia="en-GB"/>
              </w:rPr>
              <w:t>medial epicondyle</w:t>
            </w:r>
          </w:p>
        </w:tc>
      </w:tr>
      <w:tr w:rsidR="00E54668" w:rsidRPr="0073452B" w:rsidTr="00CA5FBB">
        <w:trPr>
          <w:trHeight w:val="315"/>
          <w:jc w:val="center"/>
        </w:trPr>
        <w:tc>
          <w:tcPr>
            <w:tcW w:w="993" w:type="dxa"/>
            <w:vMerge/>
            <w:tcBorders>
              <w:bottom w:val="single" w:sz="4" w:space="0" w:color="auto"/>
            </w:tcBorders>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tcBorders>
              <w:bottom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phalanges (hand)</w:t>
            </w:r>
          </w:p>
        </w:tc>
        <w:tc>
          <w:tcPr>
            <w:tcW w:w="2835" w:type="dxa"/>
            <w:tcBorders>
              <w:bottom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anterior inferior iliac spine</w:t>
            </w:r>
          </w:p>
        </w:tc>
        <w:tc>
          <w:tcPr>
            <w:tcW w:w="2694" w:type="dxa"/>
            <w:tcBorders>
              <w:bottom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 </w:t>
            </w:r>
          </w:p>
        </w:tc>
      </w:tr>
      <w:tr w:rsidR="00E54668" w:rsidRPr="0073452B" w:rsidTr="00564D77">
        <w:trPr>
          <w:trHeight w:val="375"/>
          <w:jc w:val="center"/>
        </w:trPr>
        <w:tc>
          <w:tcPr>
            <w:tcW w:w="993" w:type="dxa"/>
            <w:vMerge w:val="restart"/>
            <w:tcBorders>
              <w:top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group B</w:t>
            </w:r>
          </w:p>
        </w:tc>
        <w:tc>
          <w:tcPr>
            <w:tcW w:w="2835" w:type="dxa"/>
            <w:tcBorders>
              <w:top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radius</w:t>
            </w:r>
          </w:p>
        </w:tc>
        <w:tc>
          <w:tcPr>
            <w:tcW w:w="2835" w:type="dxa"/>
            <w:tcBorders>
              <w:top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lesser trochanter</w:t>
            </w:r>
          </w:p>
        </w:tc>
        <w:tc>
          <w:tcPr>
            <w:tcW w:w="2694" w:type="dxa"/>
            <w:tcBorders>
              <w:top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middle phalanges (foot)</w:t>
            </w:r>
          </w:p>
        </w:tc>
      </w:tr>
      <w:tr w:rsidR="00E54668"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base of metacarpal 1</w:t>
            </w: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tibia</w:t>
            </w:r>
          </w:p>
        </w:tc>
        <w:tc>
          <w:tcPr>
            <w:tcW w:w="2694"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metatarsal heads (2-5)</w:t>
            </w:r>
          </w:p>
        </w:tc>
      </w:tr>
      <w:tr w:rsidR="00E54668" w:rsidRPr="0073452B" w:rsidTr="00564D77">
        <w:trPr>
          <w:trHeight w:val="31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and middle phalanges (hand)</w:t>
            </w: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tibia</w:t>
            </w:r>
          </w:p>
        </w:tc>
        <w:tc>
          <w:tcPr>
            <w:tcW w:w="2694"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base of metatarsal 1</w:t>
            </w:r>
          </w:p>
        </w:tc>
      </w:tr>
      <w:tr w:rsidR="00E54668"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metacarpal heads 2-5</w:t>
            </w: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fibula</w:t>
            </w:r>
          </w:p>
        </w:tc>
        <w:tc>
          <w:tcPr>
            <w:tcW w:w="2694"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phalanges (foot)</w:t>
            </w:r>
          </w:p>
        </w:tc>
      </w:tr>
      <w:tr w:rsidR="00E54668" w:rsidRPr="0073452B" w:rsidTr="00564D77">
        <w:trPr>
          <w:trHeight w:val="31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femoral head</w:t>
            </w: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fibula</w:t>
            </w:r>
          </w:p>
        </w:tc>
        <w:tc>
          <w:tcPr>
            <w:tcW w:w="2694"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lateral clavicle</w:t>
            </w:r>
          </w:p>
        </w:tc>
      </w:tr>
      <w:tr w:rsidR="00E54668"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greater trochanter</w:t>
            </w:r>
          </w:p>
        </w:tc>
        <w:tc>
          <w:tcPr>
            <w:tcW w:w="2835"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calcaneus</w:t>
            </w:r>
          </w:p>
        </w:tc>
        <w:tc>
          <w:tcPr>
            <w:tcW w:w="2694" w:type="dxa"/>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coracoid</w:t>
            </w:r>
          </w:p>
        </w:tc>
      </w:tr>
      <w:tr w:rsidR="00E54668" w:rsidRPr="0073452B" w:rsidTr="00564D77">
        <w:trPr>
          <w:trHeight w:val="375"/>
          <w:jc w:val="center"/>
        </w:trPr>
        <w:tc>
          <w:tcPr>
            <w:tcW w:w="993" w:type="dxa"/>
            <w:vMerge/>
            <w:tcBorders>
              <w:bottom w:val="single" w:sz="4" w:space="0" w:color="auto"/>
            </w:tcBorders>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tcBorders>
              <w:bottom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 </w:t>
            </w:r>
          </w:p>
        </w:tc>
        <w:tc>
          <w:tcPr>
            <w:tcW w:w="2835" w:type="dxa"/>
            <w:tcBorders>
              <w:bottom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phalanges (foot)</w:t>
            </w:r>
          </w:p>
        </w:tc>
        <w:tc>
          <w:tcPr>
            <w:tcW w:w="2694" w:type="dxa"/>
            <w:tcBorders>
              <w:bottom w:val="single" w:sz="4" w:space="0" w:color="auto"/>
            </w:tcBorders>
            <w:shd w:val="clear" w:color="auto" w:fill="auto"/>
            <w:noWrap/>
            <w:vAlign w:val="center"/>
            <w:hideMark/>
          </w:tcPr>
          <w:p w:rsidR="00A35CA0" w:rsidRDefault="00E54668"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 </w:t>
            </w:r>
          </w:p>
        </w:tc>
      </w:tr>
      <w:tr w:rsidR="00490D6F" w:rsidRPr="0073452B" w:rsidTr="00564D77">
        <w:trPr>
          <w:trHeight w:val="375"/>
          <w:jc w:val="center"/>
        </w:trPr>
        <w:tc>
          <w:tcPr>
            <w:tcW w:w="993" w:type="dxa"/>
            <w:vMerge w:val="restart"/>
            <w:tcBorders>
              <w:top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group C</w:t>
            </w:r>
          </w:p>
        </w:tc>
        <w:tc>
          <w:tcPr>
            <w:tcW w:w="2835" w:type="dxa"/>
            <w:tcBorders>
              <w:top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acromium</w:t>
            </w:r>
          </w:p>
        </w:tc>
        <w:tc>
          <w:tcPr>
            <w:tcW w:w="2835" w:type="dxa"/>
            <w:tcBorders>
              <w:top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ischia epiphysis</w:t>
            </w:r>
          </w:p>
        </w:tc>
        <w:tc>
          <w:tcPr>
            <w:tcW w:w="2694" w:type="dxa"/>
            <w:tcBorders>
              <w:top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ulna</w:t>
            </w:r>
          </w:p>
        </w:tc>
      </w:tr>
      <w:tr w:rsidR="00490D6F"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medial border</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medial clavicle</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radius</w:t>
            </w:r>
          </w:p>
        </w:tc>
      </w:tr>
      <w:tr w:rsidR="00490D6F" w:rsidRPr="0073452B" w:rsidTr="00564D77">
        <w:trPr>
          <w:trHeight w:val="375"/>
          <w:jc w:val="center"/>
        </w:trPr>
        <w:tc>
          <w:tcPr>
            <w:tcW w:w="993" w:type="dxa"/>
            <w:vMerge/>
            <w:tcBorders>
              <w:bottom w:val="single" w:sz="4" w:space="0" w:color="auto"/>
            </w:tcBorders>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tcBorders>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iliac crest</w:t>
            </w:r>
          </w:p>
        </w:tc>
        <w:tc>
          <w:tcPr>
            <w:tcW w:w="2835" w:type="dxa"/>
            <w:tcBorders>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femur</w:t>
            </w:r>
          </w:p>
        </w:tc>
        <w:tc>
          <w:tcPr>
            <w:tcW w:w="2694" w:type="dxa"/>
            <w:tcBorders>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 </w:t>
            </w:r>
          </w:p>
        </w:tc>
      </w:tr>
      <w:tr w:rsidR="00490D6F" w:rsidRPr="0073452B" w:rsidTr="00564D77">
        <w:trPr>
          <w:trHeight w:val="375"/>
          <w:jc w:val="center"/>
        </w:trPr>
        <w:tc>
          <w:tcPr>
            <w:tcW w:w="993" w:type="dxa"/>
            <w:tcBorders>
              <w:top w:val="single" w:sz="4" w:space="0" w:color="auto"/>
              <w:bottom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group D</w:t>
            </w:r>
          </w:p>
        </w:tc>
        <w:tc>
          <w:tcPr>
            <w:tcW w:w="2835" w:type="dxa"/>
            <w:tcBorders>
              <w:top w:val="single" w:sz="4" w:space="0" w:color="auto"/>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phalanges (hand)</w:t>
            </w:r>
          </w:p>
        </w:tc>
        <w:tc>
          <w:tcPr>
            <w:tcW w:w="2835" w:type="dxa"/>
            <w:tcBorders>
              <w:top w:val="single" w:sz="4" w:space="0" w:color="auto"/>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anterior inferior iliac spine</w:t>
            </w:r>
          </w:p>
        </w:tc>
        <w:tc>
          <w:tcPr>
            <w:tcW w:w="2694" w:type="dxa"/>
            <w:tcBorders>
              <w:top w:val="single" w:sz="4" w:space="0" w:color="auto"/>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lateral clavicle</w:t>
            </w:r>
          </w:p>
        </w:tc>
      </w:tr>
      <w:tr w:rsidR="00490D6F" w:rsidRPr="0073452B" w:rsidTr="00564D77">
        <w:trPr>
          <w:trHeight w:val="375"/>
          <w:jc w:val="center"/>
        </w:trPr>
        <w:tc>
          <w:tcPr>
            <w:tcW w:w="993" w:type="dxa"/>
            <w:vMerge w:val="restart"/>
            <w:tcBorders>
              <w:top w:val="single" w:sz="4" w:space="0" w:color="auto"/>
            </w:tcBorders>
            <w:shd w:val="clear" w:color="auto" w:fill="auto"/>
            <w:noWrap/>
            <w:vAlign w:val="center"/>
            <w:hideMark/>
          </w:tcPr>
          <w:p w:rsidR="00A35CA0" w:rsidRPr="00CA5FBB" w:rsidRDefault="008943E4"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group E</w:t>
            </w:r>
          </w:p>
        </w:tc>
        <w:tc>
          <w:tcPr>
            <w:tcW w:w="2835" w:type="dxa"/>
            <w:tcBorders>
              <w:top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humerus</w:t>
            </w:r>
          </w:p>
        </w:tc>
        <w:tc>
          <w:tcPr>
            <w:tcW w:w="2835" w:type="dxa"/>
            <w:tcBorders>
              <w:top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greater trochanter</w:t>
            </w:r>
          </w:p>
        </w:tc>
        <w:tc>
          <w:tcPr>
            <w:tcW w:w="2694" w:type="dxa"/>
            <w:tcBorders>
              <w:top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middle phalanges (foot)</w:t>
            </w:r>
          </w:p>
        </w:tc>
      </w:tr>
      <w:tr w:rsidR="00490D6F"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lesser trochanter</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metatarsal heads (2-5)</w:t>
            </w:r>
          </w:p>
        </w:tc>
      </w:tr>
      <w:tr w:rsidR="00490D6F"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2E7A39"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490D6F" w:rsidRPr="0073452B">
              <w:rPr>
                <w:rFonts w:eastAsia="Times New Roman"/>
                <w:color w:val="000000"/>
                <w:lang w:val="en-GB" w:eastAsia="en-GB"/>
              </w:rPr>
              <w:t>medial epicondyle</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femur</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base of metatarsal 1</w:t>
            </w:r>
          </w:p>
        </w:tc>
      </w:tr>
      <w:tr w:rsidR="00490D6F"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radius</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tibia</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phalanges (foot)</w:t>
            </w:r>
          </w:p>
        </w:tc>
      </w:tr>
      <w:tr w:rsidR="00490D6F" w:rsidRPr="0073452B" w:rsidTr="00564D77">
        <w:trPr>
          <w:trHeight w:val="31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radius</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tibia</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triradiate</w:t>
            </w:r>
          </w:p>
        </w:tc>
      </w:tr>
      <w:tr w:rsidR="00490D6F"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ulna</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fibula</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ischia epiphysis</w:t>
            </w:r>
          </w:p>
        </w:tc>
      </w:tr>
      <w:tr w:rsidR="00490D6F" w:rsidRPr="0073452B" w:rsidTr="00564D77">
        <w:trPr>
          <w:trHeight w:val="31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base of metacarpal 1</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fibula</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coracoid</w:t>
            </w:r>
          </w:p>
        </w:tc>
      </w:tr>
      <w:tr w:rsidR="00490D6F" w:rsidRPr="0073452B" w:rsidTr="00564D77">
        <w:trPr>
          <w:trHeight w:val="37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proximal and middle phalanges (hand)</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calcaneus</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sub-coracoid and glenoid</w:t>
            </w:r>
          </w:p>
        </w:tc>
      </w:tr>
      <w:tr w:rsidR="00490D6F" w:rsidRPr="0073452B" w:rsidTr="00564D77">
        <w:trPr>
          <w:trHeight w:val="315"/>
          <w:jc w:val="center"/>
        </w:trPr>
        <w:tc>
          <w:tcPr>
            <w:tcW w:w="993" w:type="dxa"/>
            <w:vMerge/>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metacarpal heads 2-5</w:t>
            </w:r>
          </w:p>
        </w:tc>
        <w:tc>
          <w:tcPr>
            <w:tcW w:w="2835"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distal phalanges (foot)</w:t>
            </w:r>
          </w:p>
        </w:tc>
        <w:tc>
          <w:tcPr>
            <w:tcW w:w="2694" w:type="dxa"/>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acromium</w:t>
            </w:r>
          </w:p>
        </w:tc>
      </w:tr>
      <w:tr w:rsidR="00490D6F" w:rsidRPr="0073452B" w:rsidTr="00564D77">
        <w:trPr>
          <w:trHeight w:val="375"/>
          <w:jc w:val="center"/>
        </w:trPr>
        <w:tc>
          <w:tcPr>
            <w:tcW w:w="993" w:type="dxa"/>
            <w:vMerge/>
            <w:tcBorders>
              <w:bottom w:val="single" w:sz="4" w:space="0" w:color="auto"/>
            </w:tcBorders>
            <w:shd w:val="clear" w:color="auto" w:fill="auto"/>
            <w:noWrap/>
            <w:vAlign w:val="center"/>
            <w:hideMark/>
          </w:tcPr>
          <w:p w:rsidR="00A35CA0" w:rsidRPr="00CA5FBB" w:rsidRDefault="00A35CA0" w:rsidP="00CA5FBB">
            <w:pPr>
              <w:spacing w:before="0" w:line="240" w:lineRule="auto"/>
              <w:jc w:val="center"/>
              <w:rPr>
                <w:rFonts w:eastAsia="Times New Roman"/>
                <w:b/>
                <w:color w:val="000000"/>
                <w:lang w:val="en-GB" w:eastAsia="en-GB"/>
              </w:rPr>
            </w:pPr>
          </w:p>
        </w:tc>
        <w:tc>
          <w:tcPr>
            <w:tcW w:w="2835" w:type="dxa"/>
            <w:tcBorders>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femoral head</w:t>
            </w:r>
          </w:p>
        </w:tc>
        <w:tc>
          <w:tcPr>
            <w:tcW w:w="2835" w:type="dxa"/>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sz w:val="24"/>
                <w:szCs w:val="24"/>
                <w:lang w:val="en-GB" w:eastAsia="en-GB"/>
              </w:rPr>
            </w:pPr>
          </w:p>
        </w:tc>
        <w:tc>
          <w:tcPr>
            <w:tcW w:w="2694" w:type="dxa"/>
            <w:tcBorders>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 </w:t>
            </w:r>
          </w:p>
        </w:tc>
      </w:tr>
      <w:tr w:rsidR="00490D6F" w:rsidRPr="0073452B" w:rsidTr="00564D77">
        <w:trPr>
          <w:trHeight w:val="375"/>
          <w:jc w:val="center"/>
        </w:trPr>
        <w:tc>
          <w:tcPr>
            <w:tcW w:w="993" w:type="dxa"/>
            <w:tcBorders>
              <w:top w:val="single" w:sz="4" w:space="0" w:color="auto"/>
              <w:bottom w:val="single" w:sz="4" w:space="0" w:color="auto"/>
            </w:tcBorders>
            <w:shd w:val="clear" w:color="auto" w:fill="auto"/>
            <w:noWrap/>
            <w:vAlign w:val="center"/>
            <w:hideMark/>
          </w:tcPr>
          <w:p w:rsidR="00A35CA0" w:rsidRPr="00CA5FBB" w:rsidRDefault="00490D6F" w:rsidP="00CA5FBB">
            <w:pPr>
              <w:spacing w:before="0" w:line="240" w:lineRule="auto"/>
              <w:jc w:val="center"/>
              <w:rPr>
                <w:rFonts w:eastAsia="Times New Roman"/>
                <w:b/>
                <w:color w:val="000000"/>
                <w:lang w:val="en-GB" w:eastAsia="en-GB"/>
              </w:rPr>
            </w:pPr>
            <w:r>
              <w:rPr>
                <w:rFonts w:eastAsia="Times New Roman"/>
                <w:b/>
                <w:color w:val="000000"/>
                <w:lang w:val="en-GB" w:eastAsia="en-GB"/>
              </w:rPr>
              <w:t>g</w:t>
            </w:r>
            <w:r w:rsidR="008943E4" w:rsidRPr="00CA5FBB">
              <w:rPr>
                <w:rFonts w:eastAsia="Times New Roman"/>
                <w:b/>
                <w:color w:val="000000"/>
                <w:lang w:val="en-GB" w:eastAsia="en-GB"/>
              </w:rPr>
              <w:t>roup F</w:t>
            </w:r>
          </w:p>
        </w:tc>
        <w:tc>
          <w:tcPr>
            <w:tcW w:w="2835" w:type="dxa"/>
            <w:tcBorders>
              <w:top w:val="single" w:sz="4" w:space="0" w:color="auto"/>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iliac crest</w:t>
            </w:r>
          </w:p>
        </w:tc>
        <w:tc>
          <w:tcPr>
            <w:tcW w:w="2835" w:type="dxa"/>
            <w:tcBorders>
              <w:top w:val="single" w:sz="4" w:space="0" w:color="auto"/>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medial clavicle</w:t>
            </w:r>
          </w:p>
        </w:tc>
        <w:tc>
          <w:tcPr>
            <w:tcW w:w="2694" w:type="dxa"/>
            <w:tcBorders>
              <w:top w:val="single" w:sz="4" w:space="0" w:color="auto"/>
              <w:bottom w:val="single" w:sz="4" w:space="0" w:color="auto"/>
            </w:tcBorders>
            <w:shd w:val="clear" w:color="auto" w:fill="auto"/>
            <w:noWrap/>
            <w:vAlign w:val="center"/>
            <w:hideMark/>
          </w:tcPr>
          <w:p w:rsidR="00A35CA0" w:rsidRDefault="00490D6F" w:rsidP="00CA5FBB">
            <w:pPr>
              <w:spacing w:before="0" w:line="240" w:lineRule="auto"/>
              <w:jc w:val="center"/>
              <w:rPr>
                <w:rFonts w:eastAsia="Times New Roman"/>
                <w:color w:val="000000"/>
                <w:sz w:val="24"/>
                <w:szCs w:val="24"/>
                <w:lang w:val="en-GB" w:eastAsia="en-GB"/>
              </w:rPr>
            </w:pPr>
            <w:r w:rsidRPr="0073452B">
              <w:rPr>
                <w:rFonts w:eastAsia="Times New Roman"/>
                <w:color w:val="000000"/>
                <w:lang w:val="en-GB" w:eastAsia="en-GB"/>
              </w:rPr>
              <w:t>medial border</w:t>
            </w:r>
          </w:p>
        </w:tc>
      </w:tr>
    </w:tbl>
    <w:p w:rsidR="00490D6F" w:rsidRDefault="00490D6F">
      <w:pPr>
        <w:spacing w:before="0" w:after="200" w:line="276" w:lineRule="auto"/>
        <w:jc w:val="left"/>
        <w:rPr>
          <w:noProof/>
        </w:rPr>
      </w:pPr>
      <w:r>
        <w:rPr>
          <w:noProof/>
        </w:rPr>
        <w:br w:type="page"/>
      </w:r>
    </w:p>
    <w:p w:rsidR="00A35CA0" w:rsidRDefault="00A50295" w:rsidP="00CA5FBB">
      <w:pPr>
        <w:rPr>
          <w:noProof/>
        </w:rPr>
      </w:pPr>
      <w:r>
        <w:rPr>
          <w:noProof/>
        </w:rPr>
        <w:lastRenderedPageBreak/>
        <w:t>Male and female chimpanzees differ</w:t>
      </w:r>
      <w:r w:rsidR="00EC2C69">
        <w:rPr>
          <w:noProof/>
        </w:rPr>
        <w:t>ed</w:t>
      </w:r>
      <w:r>
        <w:rPr>
          <w:noProof/>
        </w:rPr>
        <w:t xml:space="preserve"> somewhat in terms of which epiphyses </w:t>
      </w:r>
      <w:r w:rsidR="00094161">
        <w:rPr>
          <w:noProof/>
        </w:rPr>
        <w:t>we</w:t>
      </w:r>
      <w:r>
        <w:rPr>
          <w:noProof/>
        </w:rPr>
        <w:t>re included in</w:t>
      </w:r>
      <w:r w:rsidR="00C018DB">
        <w:rPr>
          <w:noProof/>
        </w:rPr>
        <w:t>to</w:t>
      </w:r>
      <w:r>
        <w:rPr>
          <w:noProof/>
        </w:rPr>
        <w:t xml:space="preserve"> which groups.  The majority</w:t>
      </w:r>
      <w:r w:rsidR="00427136">
        <w:rPr>
          <w:noProof/>
        </w:rPr>
        <w:t xml:space="preserve"> of epiphyses f</w:t>
      </w:r>
      <w:r w:rsidR="00BD6C85">
        <w:rPr>
          <w:noProof/>
        </w:rPr>
        <w:t>e</w:t>
      </w:r>
      <w:r w:rsidR="00427136">
        <w:rPr>
          <w:noProof/>
        </w:rPr>
        <w:t>ll into groups B</w:t>
      </w:r>
      <w:r>
        <w:rPr>
          <w:noProof/>
        </w:rPr>
        <w:t xml:space="preserve"> and </w:t>
      </w:r>
      <w:r w:rsidR="00427136">
        <w:rPr>
          <w:noProof/>
        </w:rPr>
        <w:t>E</w:t>
      </w:r>
      <w:r>
        <w:rPr>
          <w:noProof/>
        </w:rPr>
        <w:t>.</w:t>
      </w:r>
      <w:r w:rsidR="00E767FF">
        <w:rPr>
          <w:noProof/>
        </w:rPr>
        <w:t xml:space="preserve">  The smaller number of males in groups D and F when compared to female </w:t>
      </w:r>
      <w:r w:rsidR="00BC13FE">
        <w:rPr>
          <w:noProof/>
        </w:rPr>
        <w:t>groups A and C implies that male</w:t>
      </w:r>
      <w:r w:rsidR="00E767FF">
        <w:rPr>
          <w:noProof/>
        </w:rPr>
        <w:t xml:space="preserve">s undergo fusion more closely within the range of </w:t>
      </w:r>
      <w:r w:rsidR="00A93F48">
        <w:rPr>
          <w:noProof/>
        </w:rPr>
        <w:t>the developing dentition</w:t>
      </w:r>
      <w:r>
        <w:rPr>
          <w:noProof/>
        </w:rPr>
        <w:t>.</w:t>
      </w:r>
      <w:r w:rsidR="00E767FF">
        <w:rPr>
          <w:noProof/>
        </w:rPr>
        <w:t xml:space="preserve">  However, </w:t>
      </w:r>
      <w:r w:rsidR="00BC13FE">
        <w:rPr>
          <w:noProof/>
        </w:rPr>
        <w:t>certaint</w:t>
      </w:r>
      <w:r w:rsidR="00D34EAF">
        <w:rPr>
          <w:noProof/>
        </w:rPr>
        <w:t xml:space="preserve">y </w:t>
      </w:r>
      <w:r w:rsidR="00452C9E">
        <w:rPr>
          <w:noProof/>
        </w:rPr>
        <w:t xml:space="preserve">about exact number of epiphyses in each group </w:t>
      </w:r>
      <w:r w:rsidR="00D34EAF">
        <w:rPr>
          <w:noProof/>
        </w:rPr>
        <w:t xml:space="preserve">is not assured </w:t>
      </w:r>
      <w:r w:rsidR="008A6DD3">
        <w:rPr>
          <w:noProof/>
        </w:rPr>
        <w:t>for at least two reasons.  First, male sample sizes were smaller leading to greater variability in estimated ages, although there is no reason to expect this w</w:t>
      </w:r>
      <w:r w:rsidR="00534AE1">
        <w:rPr>
          <w:noProof/>
        </w:rPr>
        <w:t xml:space="preserve">ould </w:t>
      </w:r>
      <w:r w:rsidR="008A6DD3">
        <w:rPr>
          <w:noProof/>
        </w:rPr>
        <w:t>necessar</w:t>
      </w:r>
      <w:r w:rsidR="008A1256">
        <w:rPr>
          <w:noProof/>
        </w:rPr>
        <w:t>i</w:t>
      </w:r>
      <w:r w:rsidR="008A6DD3">
        <w:rPr>
          <w:noProof/>
        </w:rPr>
        <w:t>ly produce a trend towards moving fusion events closer together.</w:t>
      </w:r>
      <w:r w:rsidR="006A1F48">
        <w:rPr>
          <w:noProof/>
        </w:rPr>
        <w:t xml:space="preserve">  </w:t>
      </w:r>
      <w:r w:rsidR="000E3297">
        <w:rPr>
          <w:noProof/>
        </w:rPr>
        <w:t>In any case</w:t>
      </w:r>
      <w:r w:rsidR="006A1F48">
        <w:rPr>
          <w:noProof/>
        </w:rPr>
        <w:t xml:space="preserve"> </w:t>
      </w:r>
      <w:r w:rsidR="00BC13FE">
        <w:rPr>
          <w:noProof/>
        </w:rPr>
        <w:t xml:space="preserve">such </w:t>
      </w:r>
      <w:r w:rsidR="006A1F48">
        <w:rPr>
          <w:noProof/>
        </w:rPr>
        <w:t xml:space="preserve">variation could easily move </w:t>
      </w:r>
      <w:r w:rsidR="000E3297">
        <w:rPr>
          <w:noProof/>
        </w:rPr>
        <w:t xml:space="preserve">epiphyses across </w:t>
      </w:r>
      <w:r w:rsidR="006A1F48">
        <w:rPr>
          <w:noProof/>
        </w:rPr>
        <w:t>boundaries.</w:t>
      </w:r>
      <w:r w:rsidR="008A6DD3">
        <w:rPr>
          <w:noProof/>
        </w:rPr>
        <w:t xml:space="preserve">  Second, t</w:t>
      </w:r>
      <w:r w:rsidR="00E767FF">
        <w:rPr>
          <w:noProof/>
        </w:rPr>
        <w:t xml:space="preserve">he error range </w:t>
      </w:r>
      <w:r w:rsidR="003C4CC4">
        <w:rPr>
          <w:noProof/>
        </w:rPr>
        <w:t>for Kuykendall’s</w:t>
      </w:r>
      <w:r w:rsidR="00E767FF">
        <w:rPr>
          <w:noProof/>
        </w:rPr>
        <w:t xml:space="preserve"> regression </w:t>
      </w:r>
      <w:r w:rsidR="003C4CC4">
        <w:rPr>
          <w:noProof/>
        </w:rPr>
        <w:t xml:space="preserve">equation </w:t>
      </w:r>
      <w:r w:rsidR="00E767FF">
        <w:rPr>
          <w:noProof/>
        </w:rPr>
        <w:t>(+/- 0.92 years)</w:t>
      </w:r>
      <w:r w:rsidR="00C2619D">
        <w:rPr>
          <w:noProof/>
        </w:rPr>
        <w:t xml:space="preserve"> meant there wa</w:t>
      </w:r>
      <w:r w:rsidR="00195D91">
        <w:rPr>
          <w:noProof/>
        </w:rPr>
        <w:t>s less certainty for epiphyses very near the cut-off point</w:t>
      </w:r>
      <w:r w:rsidR="00F83AFC">
        <w:rPr>
          <w:noProof/>
        </w:rPr>
        <w:t>s for groupings</w:t>
      </w:r>
      <w:r w:rsidR="007465C1">
        <w:rPr>
          <w:noProof/>
        </w:rPr>
        <w:t xml:space="preserve">.  </w:t>
      </w:r>
      <w:r w:rsidR="00D365FE">
        <w:rPr>
          <w:noProof/>
        </w:rPr>
        <w:t xml:space="preserve">There were 5 </w:t>
      </w:r>
      <w:r w:rsidR="007465C1">
        <w:rPr>
          <w:noProof/>
        </w:rPr>
        <w:t xml:space="preserve">epiphyses </w:t>
      </w:r>
      <w:r w:rsidR="00D365FE">
        <w:rPr>
          <w:noProof/>
        </w:rPr>
        <w:t xml:space="preserve">for </w:t>
      </w:r>
      <w:r w:rsidR="007465C1">
        <w:rPr>
          <w:noProof/>
        </w:rPr>
        <w:t>males</w:t>
      </w:r>
      <w:r w:rsidR="00D365FE">
        <w:rPr>
          <w:noProof/>
        </w:rPr>
        <w:t xml:space="preserve"> that</w:t>
      </w:r>
      <w:r w:rsidR="007465C1">
        <w:rPr>
          <w:noProof/>
        </w:rPr>
        <w:t xml:space="preserve"> had</w:t>
      </w:r>
      <w:r w:rsidR="00A36413">
        <w:rPr>
          <w:noProof/>
        </w:rPr>
        <w:t xml:space="preserve"> </w:t>
      </w:r>
      <w:r w:rsidR="00DF6352">
        <w:rPr>
          <w:noProof/>
        </w:rPr>
        <w:t xml:space="preserve">a </w:t>
      </w:r>
      <w:r w:rsidR="00A36413">
        <w:rPr>
          <w:noProof/>
        </w:rPr>
        <w:t>median</w:t>
      </w:r>
      <w:r w:rsidR="007465C1">
        <w:rPr>
          <w:noProof/>
        </w:rPr>
        <w:t xml:space="preserve"> dental score</w:t>
      </w:r>
      <w:r w:rsidR="00DF6352">
        <w:rPr>
          <w:noProof/>
        </w:rPr>
        <w:t xml:space="preserve"> of</w:t>
      </w:r>
      <w:r w:rsidR="007465C1">
        <w:rPr>
          <w:noProof/>
        </w:rPr>
        <w:t xml:space="preserve"> 58, which represents</w:t>
      </w:r>
      <w:r w:rsidR="00E767FF">
        <w:rPr>
          <w:noProof/>
        </w:rPr>
        <w:t xml:space="preserve"> 8.217 years.</w:t>
      </w:r>
      <w:r w:rsidR="003741F0">
        <w:rPr>
          <w:noProof/>
        </w:rPr>
        <w:t xml:space="preserve">  This is very close to the cutoff of 8.14 </w:t>
      </w:r>
      <w:r w:rsidR="00A457B1">
        <w:rPr>
          <w:noProof/>
        </w:rPr>
        <w:t xml:space="preserve">years </w:t>
      </w:r>
      <w:r w:rsidR="003741F0">
        <w:rPr>
          <w:noProof/>
        </w:rPr>
        <w:t>and well within the error range</w:t>
      </w:r>
      <w:r w:rsidR="008A4690">
        <w:rPr>
          <w:noProof/>
        </w:rPr>
        <w:t xml:space="preserve"> of </w:t>
      </w:r>
      <w:r w:rsidR="00566DCF">
        <w:rPr>
          <w:noProof/>
        </w:rPr>
        <w:t xml:space="preserve">Kuykendall’s (1996) </w:t>
      </w:r>
      <w:r w:rsidR="008A4690">
        <w:rPr>
          <w:noProof/>
        </w:rPr>
        <w:t>regression analysis</w:t>
      </w:r>
      <w:r w:rsidR="003741F0">
        <w:rPr>
          <w:noProof/>
        </w:rPr>
        <w:t xml:space="preserve">.  </w:t>
      </w:r>
      <w:r w:rsidR="00250D3E">
        <w:rPr>
          <w:noProof/>
        </w:rPr>
        <w:t>Several of the female estimated ages which were below this thres</w:t>
      </w:r>
      <w:r w:rsidR="00200633">
        <w:rPr>
          <w:noProof/>
        </w:rPr>
        <w:t>hold were also equally close.</w:t>
      </w:r>
      <w:r w:rsidR="005D28C5">
        <w:rPr>
          <w:noProof/>
        </w:rPr>
        <w:t xml:space="preserve">  </w:t>
      </w:r>
      <w:r w:rsidR="00200633">
        <w:rPr>
          <w:noProof/>
        </w:rPr>
        <w:t xml:space="preserve">As a general observation, the majority of epiphyses fused between apical root closure of the first </w:t>
      </w:r>
      <w:r w:rsidR="000B2321">
        <w:rPr>
          <w:noProof/>
        </w:rPr>
        <w:t>and last adult tooth</w:t>
      </w:r>
      <w:r w:rsidR="00200633">
        <w:rPr>
          <w:noProof/>
        </w:rPr>
        <w:t>.</w:t>
      </w:r>
      <w:r w:rsidR="000B2321">
        <w:rPr>
          <w:noProof/>
        </w:rPr>
        <w:t xml:space="preserve">  There was a</w:t>
      </w:r>
      <w:r w:rsidR="00200633">
        <w:rPr>
          <w:noProof/>
        </w:rPr>
        <w:t xml:space="preserve"> consistent</w:t>
      </w:r>
      <w:r w:rsidR="000B2321">
        <w:rPr>
          <w:noProof/>
        </w:rPr>
        <w:t xml:space="preserve"> pattern of a small number of </w:t>
      </w:r>
      <w:r w:rsidR="00200633">
        <w:rPr>
          <w:noProof/>
        </w:rPr>
        <w:t xml:space="preserve">epiphyses fusing before </w:t>
      </w:r>
      <w:r w:rsidR="00337E93">
        <w:rPr>
          <w:noProof/>
        </w:rPr>
        <w:t>and after these teeth.</w:t>
      </w:r>
    </w:p>
    <w:p w:rsidR="00A35CA0" w:rsidRDefault="005F6286" w:rsidP="00CA5FBB">
      <w:pPr>
        <w:rPr>
          <w:noProof/>
        </w:rPr>
      </w:pPr>
      <w:r>
        <w:rPr>
          <w:noProof/>
        </w:rPr>
        <w:t>Humans</w:t>
      </w:r>
      <w:r w:rsidR="008A6B19">
        <w:rPr>
          <w:noProof/>
        </w:rPr>
        <w:t xml:space="preserve"> epiphyseal fusion grouping</w:t>
      </w:r>
      <w:r>
        <w:rPr>
          <w:noProof/>
        </w:rPr>
        <w:t xml:space="preserve"> </w:t>
      </w:r>
      <w:r w:rsidR="004B594E">
        <w:rPr>
          <w:noProof/>
        </w:rPr>
        <w:t>are</w:t>
      </w:r>
      <w:r w:rsidR="0077658F">
        <w:rPr>
          <w:noProof/>
        </w:rPr>
        <w:t xml:space="preserve"> now</w:t>
      </w:r>
      <w:r>
        <w:rPr>
          <w:noProof/>
        </w:rPr>
        <w:t xml:space="preserve"> considered.  </w:t>
      </w:r>
      <w:r w:rsidR="00A50295">
        <w:rPr>
          <w:noProof/>
        </w:rPr>
        <w:t>The definition of human mid-fusion varies from study to study.  The ranges of fusion also vary markedly.  It is possible to provide approximate</w:t>
      </w:r>
      <w:r w:rsidR="0077658F">
        <w:rPr>
          <w:noProof/>
        </w:rPr>
        <w:t>ly</w:t>
      </w:r>
      <w:r w:rsidR="00A50295">
        <w:rPr>
          <w:noProof/>
        </w:rPr>
        <w:t xml:space="preserve"> equivalent</w:t>
      </w:r>
      <w:r w:rsidR="0077658F">
        <w:rPr>
          <w:noProof/>
        </w:rPr>
        <w:t xml:space="preserve"> data</w:t>
      </w:r>
      <w:r w:rsidR="00A50295">
        <w:rPr>
          <w:noProof/>
        </w:rPr>
        <w:t xml:space="preserve"> to t</w:t>
      </w:r>
      <w:r w:rsidR="00863279">
        <w:rPr>
          <w:noProof/>
        </w:rPr>
        <w:t>h</w:t>
      </w:r>
      <w:r w:rsidR="00326C17">
        <w:rPr>
          <w:noProof/>
        </w:rPr>
        <w:t>at</w:t>
      </w:r>
      <w:r w:rsidR="00863279">
        <w:rPr>
          <w:noProof/>
        </w:rPr>
        <w:t xml:space="preserve"> </w:t>
      </w:r>
      <w:r w:rsidR="00326C17">
        <w:rPr>
          <w:noProof/>
        </w:rPr>
        <w:t xml:space="preserve">considered </w:t>
      </w:r>
      <w:r w:rsidR="00863279">
        <w:rPr>
          <w:noProof/>
        </w:rPr>
        <w:t>above</w:t>
      </w:r>
      <w:r w:rsidR="00326C17">
        <w:rPr>
          <w:noProof/>
        </w:rPr>
        <w:t xml:space="preserve"> for chimpanzees</w:t>
      </w:r>
      <w:r w:rsidR="00863279">
        <w:rPr>
          <w:noProof/>
        </w:rPr>
        <w:t>.  Table 5.</w:t>
      </w:r>
      <w:r w:rsidR="008A6B19">
        <w:rPr>
          <w:noProof/>
        </w:rPr>
        <w:t>10</w:t>
      </w:r>
      <w:r w:rsidR="00A50295">
        <w:rPr>
          <w:noProof/>
        </w:rPr>
        <w:t xml:space="preserve"> provides groupings of epiphyse</w:t>
      </w:r>
      <w:r w:rsidR="00326C17">
        <w:rPr>
          <w:noProof/>
        </w:rPr>
        <w:t>s</w:t>
      </w:r>
      <w:r w:rsidR="00A50295">
        <w:rPr>
          <w:noProof/>
        </w:rPr>
        <w:t xml:space="preserve"> for human females.</w:t>
      </w:r>
      <w:r w:rsidR="005D28C5">
        <w:rPr>
          <w:noProof/>
        </w:rPr>
        <w:t xml:space="preserve">  </w:t>
      </w:r>
      <w:r w:rsidR="00AB2E83">
        <w:rPr>
          <w:noProof/>
        </w:rPr>
        <w:t xml:space="preserve">It is notable that the first tooth to complete apical closure in humans is the first incisor as opposed to the first molar.  For humans, there are also a small number of epiphyses that fuse before the apical root closure of the first tooth.  </w:t>
      </w:r>
      <w:r w:rsidR="00323639">
        <w:rPr>
          <w:noProof/>
        </w:rPr>
        <w:t>T</w:t>
      </w:r>
      <w:r w:rsidR="00AB2E83">
        <w:rPr>
          <w:noProof/>
        </w:rPr>
        <w:t xml:space="preserve">he epiphyses that fuse before the apical closure of the first tooth are not necessarily the same set when comparing chimpanzees </w:t>
      </w:r>
      <w:r w:rsidR="001170D4">
        <w:rPr>
          <w:noProof/>
        </w:rPr>
        <w:t>to</w:t>
      </w:r>
      <w:r w:rsidR="00AB2E83">
        <w:rPr>
          <w:noProof/>
        </w:rPr>
        <w:t xml:space="preserve"> humans.  When considering the comparison of fusion sequences in the previous section, it would seem likely that these differences are consequent of small changes in order for heavily overlapping fusion centres.  The earliest epiphyses in this grouping (e.g., the </w:t>
      </w:r>
      <w:r w:rsidR="00FB5ED4">
        <w:rPr>
          <w:rFonts w:eastAsia="Times New Roman"/>
          <w:color w:val="000000"/>
          <w:lang w:val="en-GB" w:eastAsia="en-GB"/>
        </w:rPr>
        <w:t>distal humerus</w:t>
      </w:r>
      <w:r w:rsidR="00AB2E83">
        <w:rPr>
          <w:noProof/>
        </w:rPr>
        <w:t xml:space="preserve"> and the</w:t>
      </w:r>
      <w:r w:rsidR="002E7A39" w:rsidRPr="002E7A39">
        <w:rPr>
          <w:rFonts w:eastAsia="Times New Roman"/>
          <w:color w:val="000000"/>
          <w:lang w:val="en-GB" w:eastAsia="en-GB"/>
        </w:rPr>
        <w:t xml:space="preserve"> </w:t>
      </w:r>
      <w:r w:rsidR="002E7A39">
        <w:rPr>
          <w:rFonts w:eastAsia="Times New Roman"/>
          <w:color w:val="000000"/>
          <w:lang w:val="en-GB" w:eastAsia="en-GB"/>
        </w:rPr>
        <w:t>humeral</w:t>
      </w:r>
      <w:r w:rsidR="00AB2E83">
        <w:rPr>
          <w:noProof/>
        </w:rPr>
        <w:t xml:space="preserve"> medial epicondyle) are always present, suggesting that at least at earlier stages the pattern is always the same.  With respect to third molar maturatio</w:t>
      </w:r>
      <w:r w:rsidR="0013243D">
        <w:rPr>
          <w:noProof/>
        </w:rPr>
        <w:t>n</w:t>
      </w:r>
      <w:r w:rsidR="00AB2E83">
        <w:rPr>
          <w:noProof/>
        </w:rPr>
        <w:t>, unlike chimpanzees there is only one epiphysis that fuses after the completion of the third molar root in humans.</w:t>
      </w:r>
    </w:p>
    <w:p w:rsidR="00AB2E83" w:rsidRDefault="00AB2E83">
      <w:pPr>
        <w:spacing w:before="0" w:after="200" w:line="276" w:lineRule="auto"/>
        <w:jc w:val="left"/>
        <w:rPr>
          <w:noProof/>
        </w:rPr>
      </w:pPr>
      <w:r>
        <w:rPr>
          <w:noProof/>
        </w:rPr>
        <w:br w:type="page"/>
      </w:r>
    </w:p>
    <w:p w:rsidR="00A50295" w:rsidRDefault="007E16EA" w:rsidP="0081085A">
      <w:pPr>
        <w:spacing w:before="120" w:after="120" w:line="240" w:lineRule="auto"/>
        <w:rPr>
          <w:noProof/>
        </w:rPr>
      </w:pPr>
      <w:bookmarkStart w:id="2543" w:name="_Toc373180186"/>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proofErr w:type="gramStart"/>
      <w:r w:rsidR="00795735">
        <w:rPr>
          <w:b/>
          <w:noProof/>
        </w:rPr>
        <w:t>10</w:t>
      </w:r>
      <w:r w:rsidR="008943E4">
        <w:rPr>
          <w:b/>
        </w:rPr>
        <w:fldChar w:fldCharType="end"/>
      </w:r>
      <w:r w:rsidR="00A50295">
        <w:rPr>
          <w:noProof/>
        </w:rPr>
        <w:t xml:space="preserve"> Groupings of mid-fusion epiphyses by dental apical closure for human females.</w:t>
      </w:r>
      <w:bookmarkEnd w:id="2543"/>
      <w:proofErr w:type="gramEnd"/>
    </w:p>
    <w:tbl>
      <w:tblPr>
        <w:tblW w:w="8725" w:type="dxa"/>
        <w:jc w:val="center"/>
        <w:tblInd w:w="-318" w:type="dxa"/>
        <w:tblBorders>
          <w:top w:val="single" w:sz="4" w:space="0" w:color="auto"/>
          <w:bottom w:val="single" w:sz="4" w:space="0" w:color="auto"/>
        </w:tblBorders>
        <w:tblLook w:val="04A0" w:firstRow="1" w:lastRow="0" w:firstColumn="1" w:lastColumn="0" w:noHBand="0" w:noVBand="1"/>
      </w:tblPr>
      <w:tblGrid>
        <w:gridCol w:w="3246"/>
        <w:gridCol w:w="2798"/>
        <w:gridCol w:w="2681"/>
      </w:tblGrid>
      <w:tr w:rsidR="007E16EA" w:rsidRPr="004C71BE" w:rsidTr="002E7A39">
        <w:trPr>
          <w:trHeight w:val="315"/>
          <w:jc w:val="center"/>
        </w:trPr>
        <w:tc>
          <w:tcPr>
            <w:tcW w:w="3246" w:type="dxa"/>
            <w:tcBorders>
              <w:top w:val="single" w:sz="4" w:space="0" w:color="auto"/>
              <w:bottom w:val="single" w:sz="4" w:space="0" w:color="auto"/>
            </w:tcBorders>
            <w:shd w:val="clear" w:color="auto" w:fill="auto"/>
            <w:noWrap/>
            <w:vAlign w:val="center"/>
            <w:hideMark/>
          </w:tcPr>
          <w:p w:rsidR="00A35CA0" w:rsidRPr="00CA5FBB" w:rsidRDefault="0081085A" w:rsidP="00CA5FBB">
            <w:pPr>
              <w:spacing w:before="0" w:line="240" w:lineRule="auto"/>
              <w:jc w:val="center"/>
              <w:rPr>
                <w:rFonts w:eastAsia="Times New Roman"/>
                <w:b/>
                <w:color w:val="000000"/>
                <w:lang w:val="en-GB" w:eastAsia="en-GB"/>
              </w:rPr>
            </w:pPr>
            <w:r>
              <w:rPr>
                <w:rFonts w:eastAsia="Times New Roman"/>
                <w:b/>
                <w:color w:val="000000"/>
                <w:lang w:val="en-GB" w:eastAsia="en-GB"/>
              </w:rPr>
              <w:t>t</w:t>
            </w:r>
            <w:r w:rsidR="008943E4" w:rsidRPr="00CA5FBB">
              <w:rPr>
                <w:rFonts w:eastAsia="Times New Roman"/>
                <w:b/>
                <w:color w:val="000000"/>
                <w:lang w:val="en-GB" w:eastAsia="en-GB"/>
              </w:rPr>
              <w:t>eeth completing apical closure</w:t>
            </w:r>
          </w:p>
        </w:tc>
        <w:tc>
          <w:tcPr>
            <w:tcW w:w="5479" w:type="dxa"/>
            <w:gridSpan w:val="2"/>
            <w:tcBorders>
              <w:top w:val="single" w:sz="4" w:space="0" w:color="auto"/>
              <w:bottom w:val="single" w:sz="4" w:space="0" w:color="auto"/>
            </w:tcBorders>
            <w:shd w:val="clear" w:color="auto" w:fill="auto"/>
            <w:noWrap/>
            <w:vAlign w:val="center"/>
            <w:hideMark/>
          </w:tcPr>
          <w:p w:rsidR="00A35CA0" w:rsidRPr="00CA5FBB" w:rsidRDefault="0081085A" w:rsidP="00CA5FBB">
            <w:pPr>
              <w:spacing w:before="0" w:line="240" w:lineRule="auto"/>
              <w:jc w:val="center"/>
              <w:rPr>
                <w:rFonts w:eastAsia="Times New Roman"/>
                <w:b/>
                <w:color w:val="000000"/>
                <w:lang w:val="en-GB" w:eastAsia="en-GB"/>
              </w:rPr>
            </w:pPr>
            <w:r>
              <w:rPr>
                <w:rFonts w:eastAsia="Times New Roman"/>
                <w:b/>
                <w:color w:val="000000"/>
                <w:lang w:val="en-GB" w:eastAsia="en-GB"/>
              </w:rPr>
              <w:t>e</w:t>
            </w:r>
            <w:r w:rsidR="008943E4" w:rsidRPr="00CA5FBB">
              <w:rPr>
                <w:rFonts w:eastAsia="Times New Roman"/>
                <w:b/>
                <w:color w:val="000000"/>
                <w:lang w:val="en-GB" w:eastAsia="en-GB"/>
              </w:rPr>
              <w:t>piphyses</w:t>
            </w:r>
          </w:p>
        </w:tc>
      </w:tr>
      <w:tr w:rsidR="007E16EA" w:rsidRPr="004C71BE" w:rsidTr="002E7A39">
        <w:trPr>
          <w:trHeight w:val="315"/>
          <w:jc w:val="center"/>
        </w:trPr>
        <w:tc>
          <w:tcPr>
            <w:tcW w:w="3246" w:type="dxa"/>
            <w:vMerge w:val="restart"/>
            <w:tcBorders>
              <w:top w:val="single" w:sz="4" w:space="0" w:color="auto"/>
            </w:tcBorders>
            <w:shd w:val="clear" w:color="auto" w:fill="auto"/>
            <w:noWrap/>
            <w:vAlign w:val="center"/>
            <w:hideMark/>
          </w:tcPr>
          <w:p w:rsidR="007E16EA" w:rsidRPr="004C71BE" w:rsidRDefault="007E16EA" w:rsidP="007E16EA">
            <w:pPr>
              <w:spacing w:before="0" w:line="240" w:lineRule="auto"/>
              <w:jc w:val="center"/>
              <w:rPr>
                <w:rFonts w:eastAsia="Times New Roman"/>
                <w:color w:val="000000"/>
                <w:lang w:val="en-GB" w:eastAsia="en-GB"/>
              </w:rPr>
            </w:pPr>
            <w:r w:rsidRPr="004C71BE">
              <w:rPr>
                <w:rFonts w:eastAsia="Times New Roman"/>
                <w:color w:val="000000"/>
                <w:lang w:val="en-GB" w:eastAsia="en-GB"/>
              </w:rPr>
              <w:t>Near completion of I1 and C</w:t>
            </w:r>
          </w:p>
          <w:p w:rsidR="00A35CA0" w:rsidRDefault="007E16EA" w:rsidP="00CA5FBB">
            <w:pPr>
              <w:spacing w:before="0" w:line="240" w:lineRule="auto"/>
              <w:jc w:val="center"/>
              <w:rPr>
                <w:rFonts w:eastAsia="Times New Roman"/>
                <w:color w:val="000000"/>
                <w:lang w:val="en-GB" w:eastAsia="en-GB"/>
              </w:rPr>
            </w:pPr>
            <w:r w:rsidRPr="004C71BE">
              <w:rPr>
                <w:rFonts w:eastAsia="Times New Roman"/>
                <w:color w:val="000000"/>
                <w:lang w:val="en-GB" w:eastAsia="en-GB"/>
              </w:rPr>
              <w:t xml:space="preserve"> (up to ~13 years)</w:t>
            </w:r>
          </w:p>
        </w:tc>
        <w:tc>
          <w:tcPr>
            <w:tcW w:w="2798" w:type="dxa"/>
            <w:tcBorders>
              <w:top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calcaneus</w:t>
            </w:r>
          </w:p>
        </w:tc>
        <w:tc>
          <w:tcPr>
            <w:tcW w:w="2681" w:type="dxa"/>
            <w:tcBorders>
              <w:top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distal phalanges</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000000" w:fill="FFFFFF"/>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distal phalanges</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coracoid</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middle phalanges</w:t>
            </w:r>
          </w:p>
        </w:tc>
        <w:tc>
          <w:tcPr>
            <w:tcW w:w="2681" w:type="dxa"/>
            <w:shd w:val="clear" w:color="auto" w:fill="auto"/>
            <w:noWrap/>
            <w:vAlign w:val="center"/>
            <w:hideMark/>
          </w:tcPr>
          <w:p w:rsidR="00A35CA0" w:rsidRDefault="00FB5ED4"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distal humerus</w:t>
            </w:r>
          </w:p>
        </w:tc>
      </w:tr>
      <w:tr w:rsidR="007E16EA" w:rsidRPr="004C71BE" w:rsidTr="002E7A39">
        <w:trPr>
          <w:trHeight w:val="315"/>
          <w:jc w:val="center"/>
        </w:trPr>
        <w:tc>
          <w:tcPr>
            <w:tcW w:w="3246"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tcBorders>
              <w:bottom w:val="single" w:sz="4" w:space="0" w:color="auto"/>
            </w:tcBorders>
            <w:shd w:val="clear" w:color="000000" w:fill="FFFFFF"/>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metatarsal heads 2-5 fusion</w:t>
            </w:r>
          </w:p>
        </w:tc>
        <w:tc>
          <w:tcPr>
            <w:tcW w:w="2681" w:type="dxa"/>
            <w:tcBorders>
              <w:bottom w:val="single" w:sz="4" w:space="0" w:color="auto"/>
            </w:tcBorders>
            <w:shd w:val="clear" w:color="auto" w:fill="auto"/>
            <w:noWrap/>
            <w:vAlign w:val="center"/>
            <w:hideMark/>
          </w:tcPr>
          <w:p w:rsidR="00A35CA0" w:rsidRDefault="002E7A39"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 xml:space="preserve">humeral </w:t>
            </w:r>
            <w:r w:rsidR="007E16EA" w:rsidRPr="004C71BE">
              <w:rPr>
                <w:rFonts w:eastAsia="Times New Roman"/>
                <w:color w:val="000000"/>
                <w:lang w:val="en-GB" w:eastAsia="en-GB"/>
              </w:rPr>
              <w:t>medial epicondyle</w:t>
            </w:r>
          </w:p>
        </w:tc>
      </w:tr>
      <w:tr w:rsidR="007E16EA" w:rsidRPr="004C71BE" w:rsidTr="002E7A39">
        <w:trPr>
          <w:trHeight w:val="315"/>
          <w:jc w:val="center"/>
        </w:trPr>
        <w:tc>
          <w:tcPr>
            <w:tcW w:w="3246" w:type="dxa"/>
            <w:vMerge w:val="restart"/>
            <w:tcBorders>
              <w:top w:val="single" w:sz="4" w:space="0" w:color="auto"/>
            </w:tcBorders>
            <w:shd w:val="clear" w:color="auto" w:fill="auto"/>
            <w:noWrap/>
            <w:vAlign w:val="center"/>
            <w:hideMark/>
          </w:tcPr>
          <w:p w:rsidR="007E16EA" w:rsidRPr="004C71BE" w:rsidRDefault="007E16EA" w:rsidP="007E16EA">
            <w:pPr>
              <w:spacing w:before="0" w:line="240" w:lineRule="auto"/>
              <w:jc w:val="center"/>
              <w:rPr>
                <w:rFonts w:eastAsia="Times New Roman"/>
                <w:color w:val="000000"/>
                <w:lang w:val="en-GB" w:eastAsia="en-GB"/>
              </w:rPr>
            </w:pPr>
            <w:r w:rsidRPr="004C71BE">
              <w:rPr>
                <w:rFonts w:eastAsia="Times New Roman"/>
                <w:color w:val="000000"/>
                <w:lang w:val="en-GB" w:eastAsia="en-GB"/>
              </w:rPr>
              <w:t xml:space="preserve">Near completion of P1,I2, P2 </w:t>
            </w:r>
          </w:p>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(~14-15 years)</w:t>
            </w:r>
          </w:p>
        </w:tc>
        <w:tc>
          <w:tcPr>
            <w:tcW w:w="2798" w:type="dxa"/>
            <w:tcBorders>
              <w:top w:val="single" w:sz="4" w:space="0" w:color="auto"/>
            </w:tcBorders>
            <w:shd w:val="clear" w:color="000000" w:fill="FFFFFF"/>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proximal phalanges</w:t>
            </w:r>
          </w:p>
        </w:tc>
        <w:tc>
          <w:tcPr>
            <w:tcW w:w="2681" w:type="dxa"/>
            <w:tcBorders>
              <w:top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femoral head</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000000" w:fill="FFFFFF"/>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base of metatarsal 1</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greater trochanter</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base of metacarpal 1</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lesser trochanter</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proximal and middle phalanges</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distal tibia</w:t>
            </w:r>
          </w:p>
        </w:tc>
      </w:tr>
      <w:tr w:rsidR="007E16EA" w:rsidRPr="004C71BE" w:rsidTr="002E7A39">
        <w:trPr>
          <w:trHeight w:val="315"/>
          <w:jc w:val="center"/>
        </w:trPr>
        <w:tc>
          <w:tcPr>
            <w:tcW w:w="3246"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tcBorders>
              <w:bottom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heads of metacarpals 2-5</w:t>
            </w:r>
          </w:p>
        </w:tc>
        <w:tc>
          <w:tcPr>
            <w:tcW w:w="2681" w:type="dxa"/>
            <w:tcBorders>
              <w:bottom w:val="single" w:sz="4" w:space="0" w:color="auto"/>
            </w:tcBorders>
            <w:shd w:val="clear" w:color="000000" w:fill="FFFFFF"/>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triradiate</w:t>
            </w:r>
          </w:p>
        </w:tc>
      </w:tr>
      <w:tr w:rsidR="007E16EA" w:rsidRPr="004C71BE" w:rsidTr="002E7A39">
        <w:trPr>
          <w:trHeight w:val="315"/>
          <w:jc w:val="center"/>
        </w:trPr>
        <w:tc>
          <w:tcPr>
            <w:tcW w:w="3246" w:type="dxa"/>
            <w:vMerge w:val="restart"/>
            <w:tcBorders>
              <w:top w:val="single" w:sz="4" w:space="0" w:color="auto"/>
            </w:tcBorders>
            <w:shd w:val="clear" w:color="auto" w:fill="auto"/>
            <w:noWrap/>
            <w:vAlign w:val="center"/>
            <w:hideMark/>
          </w:tcPr>
          <w:p w:rsidR="007E16EA" w:rsidRPr="004C71BE" w:rsidRDefault="007E16EA" w:rsidP="007E16EA">
            <w:pPr>
              <w:spacing w:before="0" w:line="240" w:lineRule="auto"/>
              <w:jc w:val="center"/>
              <w:rPr>
                <w:rFonts w:eastAsia="Times New Roman"/>
                <w:color w:val="000000"/>
                <w:lang w:val="en-GB" w:eastAsia="en-GB"/>
              </w:rPr>
            </w:pPr>
            <w:r w:rsidRPr="004C71BE">
              <w:rPr>
                <w:rFonts w:eastAsia="Times New Roman"/>
                <w:color w:val="000000"/>
                <w:lang w:val="en-GB" w:eastAsia="en-GB"/>
              </w:rPr>
              <w:t>Near completion of M2 and M1</w:t>
            </w:r>
          </w:p>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(~16-19 years)</w:t>
            </w:r>
          </w:p>
        </w:tc>
        <w:tc>
          <w:tcPr>
            <w:tcW w:w="2798" w:type="dxa"/>
            <w:tcBorders>
              <w:top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sub-coracoid and glenoid</w:t>
            </w:r>
          </w:p>
        </w:tc>
        <w:tc>
          <w:tcPr>
            <w:tcW w:w="2681" w:type="dxa"/>
            <w:tcBorders>
              <w:top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distal ulna</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acromium</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distal femur</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 xml:space="preserve">medial border </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proximal tibia</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proximal humerus</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proximal fibula</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proximal radius</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distal fibula</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distal radius</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anterior inferior iliac spine</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proximal ulna</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iliac crest</w:t>
            </w:r>
          </w:p>
        </w:tc>
      </w:tr>
      <w:tr w:rsidR="007E16EA" w:rsidRPr="004C71BE" w:rsidTr="002E7A39">
        <w:trPr>
          <w:trHeight w:val="315"/>
          <w:jc w:val="center"/>
        </w:trPr>
        <w:tc>
          <w:tcPr>
            <w:tcW w:w="3246" w:type="dxa"/>
            <w:vMerge/>
            <w:tcBorders>
              <w:bottom w:val="single" w:sz="4" w:space="0" w:color="auto"/>
            </w:tcBorders>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tcBorders>
              <w:bottom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ischium</w:t>
            </w:r>
          </w:p>
        </w:tc>
        <w:tc>
          <w:tcPr>
            <w:tcW w:w="2681" w:type="dxa"/>
            <w:tcBorders>
              <w:bottom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 </w:t>
            </w:r>
          </w:p>
        </w:tc>
      </w:tr>
      <w:tr w:rsidR="007E16EA" w:rsidRPr="004C71BE" w:rsidTr="002E7A39">
        <w:trPr>
          <w:trHeight w:val="315"/>
          <w:jc w:val="center"/>
        </w:trPr>
        <w:tc>
          <w:tcPr>
            <w:tcW w:w="3246" w:type="dxa"/>
            <w:vMerge w:val="restart"/>
            <w:tcBorders>
              <w:top w:val="single" w:sz="4" w:space="0" w:color="auto"/>
            </w:tcBorders>
            <w:shd w:val="clear" w:color="auto" w:fill="auto"/>
            <w:noWrap/>
            <w:vAlign w:val="center"/>
            <w:hideMark/>
          </w:tcPr>
          <w:p w:rsidR="007E16EA" w:rsidRPr="004C71BE" w:rsidRDefault="007E16EA" w:rsidP="007E16EA">
            <w:pPr>
              <w:spacing w:before="0" w:line="240" w:lineRule="auto"/>
              <w:jc w:val="center"/>
              <w:rPr>
                <w:rFonts w:eastAsia="Times New Roman"/>
                <w:color w:val="000000"/>
                <w:lang w:val="en-GB" w:eastAsia="en-GB"/>
              </w:rPr>
            </w:pPr>
            <w:r w:rsidRPr="004C71BE">
              <w:rPr>
                <w:rFonts w:eastAsia="Times New Roman"/>
                <w:color w:val="000000"/>
                <w:lang w:val="en-GB" w:eastAsia="en-GB"/>
              </w:rPr>
              <w:t>after completion of third molar</w:t>
            </w:r>
          </w:p>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(~21-22 years)</w:t>
            </w:r>
          </w:p>
        </w:tc>
        <w:tc>
          <w:tcPr>
            <w:tcW w:w="2798" w:type="dxa"/>
            <w:tcBorders>
              <w:top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medial clavicle</w:t>
            </w:r>
          </w:p>
        </w:tc>
        <w:tc>
          <w:tcPr>
            <w:tcW w:w="2681" w:type="dxa"/>
            <w:tcBorders>
              <w:top w:val="single" w:sz="4" w:space="0" w:color="auto"/>
            </w:tcBorders>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 </w:t>
            </w:r>
          </w:p>
        </w:tc>
      </w:tr>
      <w:tr w:rsidR="007E16EA" w:rsidRPr="004C71BE" w:rsidTr="002E7A39">
        <w:trPr>
          <w:trHeight w:val="315"/>
          <w:jc w:val="center"/>
        </w:trPr>
        <w:tc>
          <w:tcPr>
            <w:tcW w:w="3246" w:type="dxa"/>
            <w:vMerge/>
            <w:shd w:val="clear" w:color="auto" w:fill="auto"/>
            <w:noWrap/>
            <w:vAlign w:val="center"/>
            <w:hideMark/>
          </w:tcPr>
          <w:p w:rsidR="00A35CA0" w:rsidRDefault="00A35CA0" w:rsidP="00CA5FBB">
            <w:pPr>
              <w:spacing w:before="0" w:line="240" w:lineRule="auto"/>
              <w:jc w:val="center"/>
              <w:rPr>
                <w:rFonts w:eastAsia="Times New Roman"/>
                <w:color w:val="000000"/>
                <w:lang w:val="en-GB" w:eastAsia="en-GB"/>
              </w:rPr>
            </w:pPr>
          </w:p>
        </w:tc>
        <w:tc>
          <w:tcPr>
            <w:tcW w:w="2798"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 </w:t>
            </w:r>
          </w:p>
        </w:tc>
        <w:tc>
          <w:tcPr>
            <w:tcW w:w="2681" w:type="dxa"/>
            <w:shd w:val="clear" w:color="auto" w:fill="auto"/>
            <w:noWrap/>
            <w:vAlign w:val="center"/>
            <w:hideMark/>
          </w:tcPr>
          <w:p w:rsidR="00A35CA0" w:rsidRDefault="007E16EA" w:rsidP="00CA5FBB">
            <w:pPr>
              <w:spacing w:before="0" w:line="240" w:lineRule="auto"/>
              <w:jc w:val="center"/>
              <w:rPr>
                <w:rFonts w:eastAsia="Times New Roman"/>
                <w:color w:val="000000"/>
                <w:sz w:val="24"/>
                <w:szCs w:val="24"/>
                <w:lang w:val="en-GB" w:eastAsia="en-GB"/>
              </w:rPr>
            </w:pPr>
            <w:r w:rsidRPr="004C71BE">
              <w:rPr>
                <w:rFonts w:eastAsia="Times New Roman"/>
                <w:color w:val="000000"/>
                <w:lang w:val="en-GB" w:eastAsia="en-GB"/>
              </w:rPr>
              <w:t> </w:t>
            </w:r>
          </w:p>
        </w:tc>
      </w:tr>
    </w:tbl>
    <w:p w:rsidR="008A6B19" w:rsidRPr="008A6B19" w:rsidRDefault="00C86861" w:rsidP="008A6B19">
      <w:pPr>
        <w:rPr>
          <w:noProof/>
        </w:rPr>
      </w:pPr>
      <w:r>
        <w:rPr>
          <w:noProof/>
        </w:rPr>
        <w:t>For</w:t>
      </w:r>
      <w:r w:rsidR="008A6B19" w:rsidRPr="008A6B19">
        <w:rPr>
          <w:noProof/>
        </w:rPr>
        <w:t xml:space="preserve"> humans</w:t>
      </w:r>
      <w:r>
        <w:rPr>
          <w:noProof/>
        </w:rPr>
        <w:t>,</w:t>
      </w:r>
      <w:r w:rsidR="008A6B19" w:rsidRPr="008A6B19">
        <w:rPr>
          <w:noProof/>
        </w:rPr>
        <w:t xml:space="preserve"> the thi</w:t>
      </w:r>
      <w:r w:rsidR="00A7782F">
        <w:rPr>
          <w:noProof/>
        </w:rPr>
        <w:t>rd molar is a potential outlier</w:t>
      </w:r>
      <w:r w:rsidR="008A6B19" w:rsidRPr="008A6B19">
        <w:rPr>
          <w:noProof/>
        </w:rPr>
        <w:t xml:space="preserve"> even if the pattern is scaled to a longer period of maturity.  The human second molar is complete at approximately age 16 according to Chaillet and Demirjian (2004).  Kuykendall’s (1996) regression suggests that the third molar and second molar in chimpanzees likely mature within at most a year of each other.  Anemone </w:t>
      </w:r>
      <w:r w:rsidR="008A6B19" w:rsidRPr="008A6B19">
        <w:rPr>
          <w:i/>
          <w:noProof/>
        </w:rPr>
        <w:t>et al</w:t>
      </w:r>
      <w:r w:rsidR="008A6B19" w:rsidRPr="008A6B19">
        <w:rPr>
          <w:noProof/>
        </w:rPr>
        <w:t>.’s (1991</w:t>
      </w:r>
      <w:r w:rsidR="00BD0971">
        <w:rPr>
          <w:noProof/>
        </w:rPr>
        <w:t>, 1996</w:t>
      </w:r>
      <w:r w:rsidR="003F443E">
        <w:rPr>
          <w:noProof/>
        </w:rPr>
        <w:t xml:space="preserve">) </w:t>
      </w:r>
      <w:r w:rsidR="008A6B19" w:rsidRPr="008A6B19">
        <w:rPr>
          <w:noProof/>
        </w:rPr>
        <w:t xml:space="preserve">data also confirm this.  As a proportion of time spent during growth (the time prior to full skeletal maturity) the chimpanzee ratio of M2:M3 completion of approximately 10:11 years is </w:t>
      </w:r>
      <w:r w:rsidR="003F443E">
        <w:rPr>
          <w:noProof/>
        </w:rPr>
        <w:t xml:space="preserve">a </w:t>
      </w:r>
      <w:r w:rsidR="008A6B19" w:rsidRPr="008A6B19">
        <w:rPr>
          <w:noProof/>
        </w:rPr>
        <w:t xml:space="preserve">higher </w:t>
      </w:r>
      <w:r w:rsidR="003F443E">
        <w:rPr>
          <w:noProof/>
        </w:rPr>
        <w:t xml:space="preserve">ratio </w:t>
      </w:r>
      <w:r w:rsidR="008A6B19" w:rsidRPr="008A6B19">
        <w:rPr>
          <w:noProof/>
        </w:rPr>
        <w:t>than the human values for these teeth which are 16:20 years if the middle of the 18-22 range from Scheuer and Black (2004) is taken.  A delay is observed in human dental maturation for the third molar.  This delay is more pronounced relative to skeletal maturation in terms of the epiphyses that fuse after third molar completion.</w:t>
      </w:r>
    </w:p>
    <w:p w:rsidR="00A35CA0" w:rsidRDefault="00A50295" w:rsidP="00CA5FBB">
      <w:pPr>
        <w:rPr>
          <w:noProof/>
        </w:rPr>
      </w:pPr>
      <w:r>
        <w:rPr>
          <w:noProof/>
        </w:rPr>
        <w:t>Th</w:t>
      </w:r>
      <w:r w:rsidR="008A6B19">
        <w:rPr>
          <w:noProof/>
        </w:rPr>
        <w:t xml:space="preserve">e observations </w:t>
      </w:r>
      <w:r w:rsidR="00515B7C">
        <w:rPr>
          <w:noProof/>
        </w:rPr>
        <w:t xml:space="preserve">found for </w:t>
      </w:r>
      <w:r w:rsidR="001F5FA5">
        <w:rPr>
          <w:noProof/>
        </w:rPr>
        <w:t xml:space="preserve">comparisons of </w:t>
      </w:r>
      <w:r w:rsidR="00515B7C">
        <w:rPr>
          <w:noProof/>
        </w:rPr>
        <w:t>dental and epiphyseal fusion sequence</w:t>
      </w:r>
      <w:r w:rsidR="001F5FA5">
        <w:rPr>
          <w:noProof/>
        </w:rPr>
        <w:t>s</w:t>
      </w:r>
      <w:r w:rsidR="00515B7C">
        <w:rPr>
          <w:noProof/>
        </w:rPr>
        <w:t xml:space="preserve"> </w:t>
      </w:r>
      <w:r w:rsidR="008A6B19">
        <w:rPr>
          <w:noProof/>
        </w:rPr>
        <w:t>add</w:t>
      </w:r>
      <w:r>
        <w:rPr>
          <w:noProof/>
        </w:rPr>
        <w:t xml:space="preserve"> to the general conclusions </w:t>
      </w:r>
      <w:r w:rsidR="008C643C">
        <w:rPr>
          <w:noProof/>
        </w:rPr>
        <w:t xml:space="preserve">regarding </w:t>
      </w:r>
      <w:r>
        <w:rPr>
          <w:noProof/>
        </w:rPr>
        <w:t>comparisons of skeletal and dental development.  It has been established by comparing dental</w:t>
      </w:r>
      <w:r w:rsidR="00380C03">
        <w:rPr>
          <w:noProof/>
        </w:rPr>
        <w:t xml:space="preserve"> score to epiphyseal fusion in C</w:t>
      </w:r>
      <w:r>
        <w:rPr>
          <w:noProof/>
        </w:rPr>
        <w:t xml:space="preserve">hapter 4 that many epiphyses may begin fusion after the completion of the third molar root.  </w:t>
      </w:r>
      <w:r w:rsidR="00497CF1">
        <w:rPr>
          <w:noProof/>
        </w:rPr>
        <w:t>The</w:t>
      </w:r>
      <w:r w:rsidR="00C74D40">
        <w:rPr>
          <w:noProof/>
        </w:rPr>
        <w:t xml:space="preserve"> analysis here</w:t>
      </w:r>
      <w:r w:rsidR="00380C03">
        <w:rPr>
          <w:noProof/>
        </w:rPr>
        <w:t xml:space="preserve"> suggests that </w:t>
      </w:r>
      <w:r w:rsidR="00760250">
        <w:rPr>
          <w:noProof/>
        </w:rPr>
        <w:t xml:space="preserve">the </w:t>
      </w:r>
      <w:r w:rsidR="003F443E">
        <w:rPr>
          <w:noProof/>
        </w:rPr>
        <w:t>earlier stages</w:t>
      </w:r>
      <w:r w:rsidR="00760250">
        <w:rPr>
          <w:noProof/>
        </w:rPr>
        <w:t xml:space="preserve"> of skeletal and dental maturity do not markedly differ between </w:t>
      </w:r>
      <w:r w:rsidR="00380C03">
        <w:rPr>
          <w:noProof/>
        </w:rPr>
        <w:t>humans and chimpanzees</w:t>
      </w:r>
      <w:r w:rsidR="00BB17D4">
        <w:rPr>
          <w:noProof/>
        </w:rPr>
        <w:t>.</w:t>
      </w:r>
      <w:r w:rsidR="00B43B40">
        <w:rPr>
          <w:noProof/>
        </w:rPr>
        <w:t xml:space="preserve">  </w:t>
      </w:r>
      <w:r w:rsidR="00543938">
        <w:rPr>
          <w:noProof/>
        </w:rPr>
        <w:t xml:space="preserve">Kuykendall’s (1996) </w:t>
      </w:r>
      <w:r w:rsidR="00D5295F">
        <w:rPr>
          <w:noProof/>
        </w:rPr>
        <w:lastRenderedPageBreak/>
        <w:t xml:space="preserve">regression </w:t>
      </w:r>
      <w:r w:rsidR="00543938">
        <w:rPr>
          <w:noProof/>
        </w:rPr>
        <w:t>suggest</w:t>
      </w:r>
      <w:r w:rsidR="00093389">
        <w:rPr>
          <w:noProof/>
        </w:rPr>
        <w:t>s</w:t>
      </w:r>
      <w:r w:rsidR="00543938">
        <w:rPr>
          <w:noProof/>
        </w:rPr>
        <w:t xml:space="preserve"> that the third molar completes apical closure very </w:t>
      </w:r>
      <w:r w:rsidR="00F555A8">
        <w:rPr>
          <w:noProof/>
        </w:rPr>
        <w:t xml:space="preserve">close in time </w:t>
      </w:r>
      <w:r w:rsidR="00543938">
        <w:rPr>
          <w:noProof/>
        </w:rPr>
        <w:t>after the second</w:t>
      </w:r>
      <w:r w:rsidR="00D5295F">
        <w:rPr>
          <w:noProof/>
        </w:rPr>
        <w:t xml:space="preserve"> </w:t>
      </w:r>
      <w:r w:rsidR="001D05CE">
        <w:rPr>
          <w:noProof/>
        </w:rPr>
        <w:t>molar</w:t>
      </w:r>
      <w:r w:rsidR="00CE1298">
        <w:rPr>
          <w:noProof/>
        </w:rPr>
        <w:t>.  A</w:t>
      </w:r>
      <w:r w:rsidR="00D5295F">
        <w:rPr>
          <w:noProof/>
        </w:rPr>
        <w:t xml:space="preserve">s stated previously, Anemone </w:t>
      </w:r>
      <w:r w:rsidR="00D5295F">
        <w:rPr>
          <w:i/>
          <w:noProof/>
        </w:rPr>
        <w:t>et al</w:t>
      </w:r>
      <w:r w:rsidR="00D5295F">
        <w:rPr>
          <w:noProof/>
        </w:rPr>
        <w:t>.’s (</w:t>
      </w:r>
      <w:r w:rsidR="00BD0971">
        <w:rPr>
          <w:noProof/>
        </w:rPr>
        <w:t xml:space="preserve">1991, </w:t>
      </w:r>
      <w:r w:rsidR="00D5295F">
        <w:rPr>
          <w:noProof/>
        </w:rPr>
        <w:t xml:space="preserve">1996) data </w:t>
      </w:r>
      <w:r w:rsidR="00A17FA7">
        <w:rPr>
          <w:noProof/>
        </w:rPr>
        <w:t>using complete m</w:t>
      </w:r>
      <w:r w:rsidR="00CE1298">
        <w:rPr>
          <w:noProof/>
        </w:rPr>
        <w:t>inerali</w:t>
      </w:r>
      <w:r w:rsidR="00A17FA7">
        <w:rPr>
          <w:noProof/>
        </w:rPr>
        <w:t xml:space="preserve">zation data </w:t>
      </w:r>
      <w:r w:rsidR="00D5295F">
        <w:rPr>
          <w:noProof/>
        </w:rPr>
        <w:t>agree</w:t>
      </w:r>
      <w:r w:rsidR="00CE1298">
        <w:rPr>
          <w:noProof/>
        </w:rPr>
        <w:t>s</w:t>
      </w:r>
      <w:r w:rsidR="00D5295F">
        <w:rPr>
          <w:noProof/>
        </w:rPr>
        <w:t xml:space="preserve"> with this </w:t>
      </w:r>
      <w:r w:rsidR="00326356">
        <w:rPr>
          <w:noProof/>
        </w:rPr>
        <w:t>observation</w:t>
      </w:r>
      <w:r w:rsidR="00F555A8">
        <w:rPr>
          <w:noProof/>
        </w:rPr>
        <w:t>.  I</w:t>
      </w:r>
      <w:r w:rsidR="00FD5523">
        <w:rPr>
          <w:noProof/>
        </w:rPr>
        <w:t>n humans</w:t>
      </w:r>
      <w:r w:rsidR="00543938">
        <w:rPr>
          <w:noProof/>
        </w:rPr>
        <w:t xml:space="preserve"> third molar </w:t>
      </w:r>
      <w:r w:rsidR="00553985">
        <w:rPr>
          <w:noProof/>
        </w:rPr>
        <w:t xml:space="preserve">mineralization </w:t>
      </w:r>
      <w:r w:rsidR="000F61E2">
        <w:rPr>
          <w:noProof/>
        </w:rPr>
        <w:t>completes much later</w:t>
      </w:r>
      <w:r w:rsidR="00543938">
        <w:rPr>
          <w:noProof/>
        </w:rPr>
        <w:t>.  This implies that there is a shift in dental developmental</w:t>
      </w:r>
      <w:r w:rsidR="00433E91">
        <w:rPr>
          <w:noProof/>
        </w:rPr>
        <w:t xml:space="preserve"> relative to skeletal development</w:t>
      </w:r>
      <w:r w:rsidR="00543938">
        <w:rPr>
          <w:noProof/>
        </w:rPr>
        <w:t xml:space="preserve"> </w:t>
      </w:r>
      <w:r w:rsidR="00614125">
        <w:rPr>
          <w:noProof/>
        </w:rPr>
        <w:t xml:space="preserve">towards the </w:t>
      </w:r>
      <w:r w:rsidR="00543938">
        <w:rPr>
          <w:noProof/>
        </w:rPr>
        <w:t>end of maturation.</w:t>
      </w:r>
    </w:p>
    <w:p w:rsidR="00A35CA0" w:rsidRDefault="005B70D2" w:rsidP="00CA5FBB">
      <w:pPr>
        <w:pStyle w:val="Heading2"/>
      </w:pPr>
      <w:bookmarkStart w:id="2544" w:name="_Toc372916588"/>
      <w:bookmarkStart w:id="2545" w:name="_Toc372916842"/>
      <w:bookmarkStart w:id="2546" w:name="_Toc372917063"/>
      <w:bookmarkStart w:id="2547" w:name="_Toc372917279"/>
      <w:bookmarkStart w:id="2548" w:name="_Toc372917493"/>
      <w:bookmarkStart w:id="2549" w:name="_Toc372917703"/>
      <w:bookmarkStart w:id="2550" w:name="_Toc372917912"/>
      <w:bookmarkStart w:id="2551" w:name="_Toc372918121"/>
      <w:bookmarkStart w:id="2552" w:name="_Toc372918330"/>
      <w:bookmarkStart w:id="2553" w:name="_Toc372918533"/>
      <w:bookmarkStart w:id="2554" w:name="_Toc372918736"/>
      <w:bookmarkStart w:id="2555" w:name="_Toc372918941"/>
      <w:bookmarkStart w:id="2556" w:name="_Toc372919146"/>
      <w:bookmarkStart w:id="2557" w:name="_Toc372919347"/>
      <w:bookmarkStart w:id="2558" w:name="_Toc372919641"/>
      <w:bookmarkStart w:id="2559" w:name="_Toc372919838"/>
      <w:bookmarkStart w:id="2560" w:name="_Toc372920035"/>
      <w:bookmarkStart w:id="2561" w:name="_Toc372920232"/>
      <w:bookmarkStart w:id="2562" w:name="_Toc372920430"/>
      <w:bookmarkStart w:id="2563" w:name="_Toc372920627"/>
      <w:bookmarkStart w:id="2564" w:name="_Toc372920823"/>
      <w:bookmarkStart w:id="2565" w:name="_Toc372921019"/>
      <w:bookmarkStart w:id="2566" w:name="_Toc372921215"/>
      <w:bookmarkStart w:id="2567" w:name="_Toc372921411"/>
      <w:bookmarkStart w:id="2568" w:name="_Toc372921613"/>
      <w:bookmarkStart w:id="2569" w:name="_Toc372921809"/>
      <w:bookmarkStart w:id="2570" w:name="_Toc372922005"/>
      <w:bookmarkStart w:id="2571" w:name="_Toc372928285"/>
      <w:bookmarkStart w:id="2572" w:name="_Toc372928589"/>
      <w:bookmarkStart w:id="2573" w:name="_Toc372928785"/>
      <w:bookmarkStart w:id="2574" w:name="_Toc372981788"/>
      <w:bookmarkStart w:id="2575" w:name="_Toc373072015"/>
      <w:bookmarkStart w:id="2576" w:name="_Toc373147332"/>
      <w:bookmarkStart w:id="2577" w:name="_Toc373477868"/>
      <w:bookmarkStart w:id="2578" w:name="_Toc373480866"/>
      <w:bookmarkStart w:id="2579" w:name="_Toc372916589"/>
      <w:bookmarkStart w:id="2580" w:name="_Toc372916843"/>
      <w:bookmarkStart w:id="2581" w:name="_Toc372917064"/>
      <w:bookmarkStart w:id="2582" w:name="_Toc372917280"/>
      <w:bookmarkStart w:id="2583" w:name="_Toc372917494"/>
      <w:bookmarkStart w:id="2584" w:name="_Toc372917704"/>
      <w:bookmarkStart w:id="2585" w:name="_Toc372917913"/>
      <w:bookmarkStart w:id="2586" w:name="_Toc372918122"/>
      <w:bookmarkStart w:id="2587" w:name="_Toc372918331"/>
      <w:bookmarkStart w:id="2588" w:name="_Toc372918534"/>
      <w:bookmarkStart w:id="2589" w:name="_Toc372918737"/>
      <w:bookmarkStart w:id="2590" w:name="_Toc372918942"/>
      <w:bookmarkStart w:id="2591" w:name="_Toc372919147"/>
      <w:bookmarkStart w:id="2592" w:name="_Toc372919348"/>
      <w:bookmarkStart w:id="2593" w:name="_Toc372919642"/>
      <w:bookmarkStart w:id="2594" w:name="_Toc372919839"/>
      <w:bookmarkStart w:id="2595" w:name="_Toc372920036"/>
      <w:bookmarkStart w:id="2596" w:name="_Toc372920233"/>
      <w:bookmarkStart w:id="2597" w:name="_Toc372920431"/>
      <w:bookmarkStart w:id="2598" w:name="_Toc372920628"/>
      <w:bookmarkStart w:id="2599" w:name="_Toc372920824"/>
      <w:bookmarkStart w:id="2600" w:name="_Toc372921020"/>
      <w:bookmarkStart w:id="2601" w:name="_Toc372921216"/>
      <w:bookmarkStart w:id="2602" w:name="_Toc372921412"/>
      <w:bookmarkStart w:id="2603" w:name="_Toc372921614"/>
      <w:bookmarkStart w:id="2604" w:name="_Toc372921810"/>
      <w:bookmarkStart w:id="2605" w:name="_Toc372922006"/>
      <w:bookmarkStart w:id="2606" w:name="_Toc372928286"/>
      <w:bookmarkStart w:id="2607" w:name="_Toc372928590"/>
      <w:bookmarkStart w:id="2608" w:name="_Toc372928786"/>
      <w:bookmarkStart w:id="2609" w:name="_Toc372981789"/>
      <w:bookmarkStart w:id="2610" w:name="_Toc373072016"/>
      <w:bookmarkStart w:id="2611" w:name="_Toc373147333"/>
      <w:bookmarkStart w:id="2612" w:name="_Toc373477869"/>
      <w:bookmarkStart w:id="2613" w:name="_Toc373480867"/>
      <w:bookmarkStart w:id="2614" w:name="_Toc373477870"/>
      <w:bookmarkStart w:id="2615" w:name="_Toc373480868"/>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r>
        <w:t>Epiphyseal fusion as a proportion of l</w:t>
      </w:r>
      <w:r w:rsidR="00A50295" w:rsidRPr="00BB637A">
        <w:t>ong</w:t>
      </w:r>
      <w:r w:rsidR="00A50295" w:rsidRPr="001301E8">
        <w:t>-bone length</w:t>
      </w:r>
      <w:bookmarkEnd w:id="2614"/>
      <w:bookmarkEnd w:id="2615"/>
    </w:p>
    <w:p w:rsidR="00A35CA0" w:rsidRDefault="00DE24EB" w:rsidP="00CA5FBB">
      <w:pPr>
        <w:rPr>
          <w:noProof/>
          <w:color w:val="000000" w:themeColor="text1"/>
        </w:rPr>
      </w:pPr>
      <w:r>
        <w:rPr>
          <w:noProof/>
        </w:rPr>
        <w:t>It has been established that d</w:t>
      </w:r>
      <w:r w:rsidR="00A50295" w:rsidRPr="00BE3B3A">
        <w:rPr>
          <w:noProof/>
        </w:rPr>
        <w:t>ental development</w:t>
      </w:r>
      <w:r w:rsidR="00896449" w:rsidRPr="00BE3B3A">
        <w:rPr>
          <w:noProof/>
        </w:rPr>
        <w:t>al sequence differ</w:t>
      </w:r>
      <w:r>
        <w:rPr>
          <w:noProof/>
        </w:rPr>
        <w:t>s</w:t>
      </w:r>
      <w:r w:rsidR="00A50295" w:rsidRPr="00BE3B3A">
        <w:rPr>
          <w:noProof/>
        </w:rPr>
        <w:t xml:space="preserve"> relative to skeletal fusion sequence</w:t>
      </w:r>
      <w:r>
        <w:rPr>
          <w:noProof/>
        </w:rPr>
        <w:t xml:space="preserve"> between chimpanzees and humans.  This means that this system is an inappropriate maturational reference from which to base comparisons of fusion timing as a function of long-bone growth in length between </w:t>
      </w:r>
      <w:r w:rsidR="00321F5C">
        <w:rPr>
          <w:noProof/>
        </w:rPr>
        <w:t>the two species</w:t>
      </w:r>
      <w:r w:rsidR="00A50295" w:rsidRPr="00BE3B3A">
        <w:rPr>
          <w:noProof/>
        </w:rPr>
        <w:t>.</w:t>
      </w:r>
      <w:r w:rsidR="003B4921">
        <w:rPr>
          <w:noProof/>
        </w:rPr>
        <w:t xml:space="preserve">  </w:t>
      </w:r>
      <w:r w:rsidR="00A50295" w:rsidRPr="00812740">
        <w:rPr>
          <w:noProof/>
        </w:rPr>
        <w:t xml:space="preserve">Another way in which </w:t>
      </w:r>
      <w:r w:rsidR="00A50295">
        <w:rPr>
          <w:noProof/>
        </w:rPr>
        <w:t xml:space="preserve">growth and epiphyseal fusion can be </w:t>
      </w:r>
      <w:r w:rsidR="00274979">
        <w:rPr>
          <w:noProof/>
        </w:rPr>
        <w:t xml:space="preserve">considered </w:t>
      </w:r>
      <w:r w:rsidR="00A50295">
        <w:rPr>
          <w:noProof/>
        </w:rPr>
        <w:t>is as</w:t>
      </w:r>
      <w:r w:rsidR="00A50295" w:rsidRPr="00812740">
        <w:rPr>
          <w:noProof/>
        </w:rPr>
        <w:t xml:space="preserve"> percentage of growth in length.  </w:t>
      </w:r>
      <w:r w:rsidR="00A50295">
        <w:rPr>
          <w:noProof/>
        </w:rPr>
        <w:t xml:space="preserve">By doing this, </w:t>
      </w:r>
      <w:r w:rsidR="003B4921">
        <w:rPr>
          <w:noProof/>
        </w:rPr>
        <w:t xml:space="preserve">neither </w:t>
      </w:r>
      <w:r w:rsidR="00A50295">
        <w:rPr>
          <w:noProof/>
        </w:rPr>
        <w:t>rate of growth no</w:t>
      </w:r>
      <w:r w:rsidR="003B4921">
        <w:rPr>
          <w:noProof/>
        </w:rPr>
        <w:t>r other maturational indicators influence</w:t>
      </w:r>
      <w:r w:rsidR="0027185B">
        <w:rPr>
          <w:noProof/>
        </w:rPr>
        <w:t xml:space="preserve"> comparisons</w:t>
      </w:r>
      <w:r w:rsidR="00A50295">
        <w:rPr>
          <w:noProof/>
        </w:rPr>
        <w:t xml:space="preserve">.  This permits the observation of </w:t>
      </w:r>
      <w:r w:rsidR="00A50295" w:rsidRPr="00812740">
        <w:rPr>
          <w:noProof/>
        </w:rPr>
        <w:t>the point of growth in length of a bone at which an ep</w:t>
      </w:r>
      <w:r w:rsidR="00543097">
        <w:rPr>
          <w:noProof/>
        </w:rPr>
        <w:t>iphysis is no longer able to contribute to growth</w:t>
      </w:r>
      <w:r w:rsidR="00A50295" w:rsidRPr="00812740">
        <w:rPr>
          <w:noProof/>
        </w:rPr>
        <w:t xml:space="preserve">.  This </w:t>
      </w:r>
      <w:r w:rsidR="00A50295">
        <w:rPr>
          <w:noProof/>
        </w:rPr>
        <w:t>type of data is easily found</w:t>
      </w:r>
      <w:r w:rsidR="00A50295" w:rsidRPr="00812740">
        <w:rPr>
          <w:noProof/>
        </w:rPr>
        <w:t xml:space="preserve"> for humans by using data on long-bone length and epiphyseal fusion from </w:t>
      </w:r>
      <w:r w:rsidR="00A50295">
        <w:rPr>
          <w:noProof/>
        </w:rPr>
        <w:t xml:space="preserve">multiple studies.  </w:t>
      </w:r>
      <w:r w:rsidR="003619B8">
        <w:rPr>
          <w:noProof/>
        </w:rPr>
        <w:t xml:space="preserve">Long-bone length data from </w:t>
      </w:r>
      <w:r w:rsidR="00A50295" w:rsidRPr="00812740">
        <w:rPr>
          <w:noProof/>
        </w:rPr>
        <w:t>Maresh (1970)</w:t>
      </w:r>
      <w:r w:rsidR="003619B8">
        <w:rPr>
          <w:noProof/>
        </w:rPr>
        <w:t xml:space="preserve"> was used</w:t>
      </w:r>
      <w:r w:rsidR="00A50295" w:rsidRPr="00812740">
        <w:rPr>
          <w:noProof/>
        </w:rPr>
        <w:t xml:space="preserve"> and epiphyseal fusion data </w:t>
      </w:r>
      <w:r w:rsidR="003619B8">
        <w:rPr>
          <w:noProof/>
        </w:rPr>
        <w:t xml:space="preserve">derived from </w:t>
      </w:r>
      <w:r w:rsidR="00A50295" w:rsidRPr="00812740">
        <w:rPr>
          <w:noProof/>
        </w:rPr>
        <w:t>Cardoso (2007)</w:t>
      </w:r>
      <w:r w:rsidR="003619B8">
        <w:rPr>
          <w:noProof/>
        </w:rPr>
        <w:t>, Coqeuegnoit and Weaver (2007)</w:t>
      </w:r>
      <w:r w:rsidR="00A50295" w:rsidRPr="00812740">
        <w:rPr>
          <w:noProof/>
        </w:rPr>
        <w:t xml:space="preserve"> and Shaefer (2008).</w:t>
      </w:r>
    </w:p>
    <w:p w:rsidR="00A35CA0" w:rsidRDefault="00A50295" w:rsidP="00CA5FBB">
      <w:pPr>
        <w:rPr>
          <w:noProof/>
        </w:rPr>
      </w:pPr>
      <w:r>
        <w:rPr>
          <w:noProof/>
        </w:rPr>
        <w:t>In order to use chimpanzee an</w:t>
      </w:r>
      <w:r w:rsidR="0084385B">
        <w:rPr>
          <w:noProof/>
        </w:rPr>
        <w:t>d bonobo data from the present</w:t>
      </w:r>
      <w:r>
        <w:rPr>
          <w:noProof/>
        </w:rPr>
        <w:t xml:space="preserve"> study, final adult length </w:t>
      </w:r>
      <w:r w:rsidR="0084385B">
        <w:rPr>
          <w:noProof/>
        </w:rPr>
        <w:t xml:space="preserve">needed to </w:t>
      </w:r>
      <w:r>
        <w:rPr>
          <w:noProof/>
        </w:rPr>
        <w:t>be determined.  Complete fusion lengths provide</w:t>
      </w:r>
      <w:r w:rsidR="00DA7629">
        <w:rPr>
          <w:noProof/>
        </w:rPr>
        <w:t>d</w:t>
      </w:r>
      <w:r w:rsidR="000C61C4">
        <w:rPr>
          <w:noProof/>
        </w:rPr>
        <w:t xml:space="preserve"> this type of data and values wer</w:t>
      </w:r>
      <w:r>
        <w:rPr>
          <w:noProof/>
        </w:rPr>
        <w:t>e available for all long-bones.  Mid-fusion values for bones in</w:t>
      </w:r>
      <w:r w:rsidR="000C61C4">
        <w:rPr>
          <w:noProof/>
        </w:rPr>
        <w:t xml:space="preserve"> which the last epiphysis</w:t>
      </w:r>
      <w:r w:rsidR="00624BEC">
        <w:rPr>
          <w:noProof/>
        </w:rPr>
        <w:t xml:space="preserve"> (terminal epiphysis)</w:t>
      </w:r>
      <w:r w:rsidR="000C61C4">
        <w:rPr>
          <w:noProof/>
        </w:rPr>
        <w:t xml:space="preserve"> began to fuse we</w:t>
      </w:r>
      <w:r>
        <w:rPr>
          <w:noProof/>
        </w:rPr>
        <w:t>re also acceptable f</w:t>
      </w:r>
      <w:r w:rsidR="0027185B">
        <w:rPr>
          <w:noProof/>
        </w:rPr>
        <w:t xml:space="preserve">or inclusion </w:t>
      </w:r>
      <w:r w:rsidR="000C61C4">
        <w:rPr>
          <w:noProof/>
        </w:rPr>
        <w:t>in</w:t>
      </w:r>
      <w:r w:rsidR="0027185B">
        <w:rPr>
          <w:noProof/>
        </w:rPr>
        <w:t xml:space="preserve"> calculating these</w:t>
      </w:r>
      <w:r w:rsidR="000C61C4">
        <w:rPr>
          <w:noProof/>
        </w:rPr>
        <w:t xml:space="preserve"> values.  This </w:t>
      </w:r>
      <w:r w:rsidR="00BA28AA">
        <w:rPr>
          <w:noProof/>
        </w:rPr>
        <w:t>is</w:t>
      </w:r>
      <w:r>
        <w:rPr>
          <w:noProof/>
        </w:rPr>
        <w:t xml:space="preserve"> because</w:t>
      </w:r>
      <w:r w:rsidR="00EF3B0B">
        <w:rPr>
          <w:noProof/>
        </w:rPr>
        <w:t xml:space="preserve"> when</w:t>
      </w:r>
      <w:r>
        <w:rPr>
          <w:noProof/>
        </w:rPr>
        <w:t xml:space="preserve"> the last epiphysis </w:t>
      </w:r>
      <w:r w:rsidR="000C61C4">
        <w:rPr>
          <w:noProof/>
        </w:rPr>
        <w:t>to fuse for a bone begins fusion that</w:t>
      </w:r>
      <w:r>
        <w:rPr>
          <w:noProof/>
        </w:rPr>
        <w:t xml:space="preserve"> bone is no longer able to grow in length.  </w:t>
      </w:r>
      <w:r w:rsidR="000C61C4">
        <w:rPr>
          <w:noProof/>
        </w:rPr>
        <w:t>F</w:t>
      </w:r>
      <w:r w:rsidR="00A1738A">
        <w:rPr>
          <w:noProof/>
        </w:rPr>
        <w:t>igure 5.3</w:t>
      </w:r>
      <w:r w:rsidR="000A1A1B">
        <w:rPr>
          <w:noProof/>
        </w:rPr>
        <w:t xml:space="preserve"> </w:t>
      </w:r>
      <w:r w:rsidR="000C61C4">
        <w:rPr>
          <w:noProof/>
        </w:rPr>
        <w:t xml:space="preserve">demonstrates this principle for growth in </w:t>
      </w:r>
      <w:r>
        <w:rPr>
          <w:noProof/>
        </w:rPr>
        <w:t>humeral length relative to dental score.</w:t>
      </w:r>
    </w:p>
    <w:p w:rsidR="001510F1" w:rsidRDefault="00A50295" w:rsidP="00A50295">
      <w:pPr>
        <w:tabs>
          <w:tab w:val="left" w:pos="360"/>
        </w:tabs>
        <w:spacing w:line="240" w:lineRule="auto"/>
        <w:rPr>
          <w:noProof/>
          <w:color w:val="000000" w:themeColor="text1"/>
        </w:rPr>
      </w:pPr>
      <w:r>
        <w:rPr>
          <w:noProof/>
          <w:color w:val="000000" w:themeColor="text1"/>
          <w:lang w:val="en-GB" w:eastAsia="en-GB"/>
        </w:rPr>
        <w:lastRenderedPageBreak/>
        <w:drawing>
          <wp:anchor distT="0" distB="0" distL="114300" distR="114300" simplePos="0" relativeHeight="251668480" behindDoc="0" locked="1" layoutInCell="1" allowOverlap="1" wp14:anchorId="4CD0DB68" wp14:editId="037DF1E3">
            <wp:simplePos x="0" y="0"/>
            <wp:positionH relativeFrom="page">
              <wp:posOffset>1205865</wp:posOffset>
            </wp:positionH>
            <wp:positionV relativeFrom="paragraph">
              <wp:posOffset>116205</wp:posOffset>
            </wp:positionV>
            <wp:extent cx="5739765" cy="383476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9765" cy="3834765"/>
                    </a:xfrm>
                    <a:prstGeom prst="rect">
                      <a:avLst/>
                    </a:prstGeom>
                    <a:noFill/>
                    <a:ln>
                      <a:noFill/>
                    </a:ln>
                  </pic:spPr>
                </pic:pic>
              </a:graphicData>
            </a:graphic>
          </wp:anchor>
        </w:drawing>
      </w:r>
      <w:bookmarkStart w:id="2616" w:name="_Toc373147486"/>
      <w:proofErr w:type="gramStart"/>
      <w:r w:rsidR="001510F1" w:rsidRPr="00997A01">
        <w:rPr>
          <w:b/>
        </w:rPr>
        <w:t xml:space="preserve">Figure </w:t>
      </w:r>
      <w:r w:rsidR="008943E4" w:rsidRPr="00997A01">
        <w:rPr>
          <w:b/>
        </w:rPr>
        <w:fldChar w:fldCharType="begin"/>
      </w:r>
      <w:r w:rsidR="001510F1" w:rsidRPr="00997A01">
        <w:rPr>
          <w:b/>
        </w:rPr>
        <w:instrText xml:space="preserve"> STYLEREF 1 \s </w:instrText>
      </w:r>
      <w:r w:rsidR="008943E4" w:rsidRPr="00997A01">
        <w:rPr>
          <w:b/>
        </w:rPr>
        <w:fldChar w:fldCharType="separate"/>
      </w:r>
      <w:r w:rsidR="00795735">
        <w:rPr>
          <w:b/>
          <w:noProof/>
        </w:rPr>
        <w:t>5</w:t>
      </w:r>
      <w:r w:rsidR="008943E4" w:rsidRPr="00997A01">
        <w:rPr>
          <w:b/>
        </w:rPr>
        <w:fldChar w:fldCharType="end"/>
      </w:r>
      <w:r w:rsidR="001510F1" w:rsidRPr="00997A01">
        <w:rPr>
          <w:b/>
        </w:rPr>
        <w:t>.</w:t>
      </w:r>
      <w:proofErr w:type="gramEnd"/>
      <w:r w:rsidR="008943E4" w:rsidRPr="00997A01">
        <w:rPr>
          <w:b/>
        </w:rPr>
        <w:fldChar w:fldCharType="begin"/>
      </w:r>
      <w:r w:rsidR="001510F1" w:rsidRPr="00997A01">
        <w:rPr>
          <w:b/>
        </w:rPr>
        <w:instrText xml:space="preserve"> SEQ Figure \* ARABIC \s 1 </w:instrText>
      </w:r>
      <w:r w:rsidR="008943E4" w:rsidRPr="00997A01">
        <w:rPr>
          <w:b/>
        </w:rPr>
        <w:fldChar w:fldCharType="separate"/>
      </w:r>
      <w:r w:rsidR="00795735">
        <w:rPr>
          <w:b/>
          <w:noProof/>
        </w:rPr>
        <w:t>3</w:t>
      </w:r>
      <w:r w:rsidR="008943E4" w:rsidRPr="00997A01">
        <w:rPr>
          <w:b/>
        </w:rPr>
        <w:fldChar w:fldCharType="end"/>
      </w:r>
      <w:r w:rsidR="000A10F1">
        <w:rPr>
          <w:b/>
        </w:rPr>
        <w:t xml:space="preserve"> </w:t>
      </w:r>
      <w:r w:rsidR="001510F1">
        <w:rPr>
          <w:noProof/>
          <w:color w:val="000000" w:themeColor="text1"/>
        </w:rPr>
        <w:t>Demonstration of mean adult humeral length after fusion of the proximal epiphysis.</w:t>
      </w:r>
      <w:bookmarkEnd w:id="2616"/>
    </w:p>
    <w:p w:rsidR="00A35CA0" w:rsidRDefault="00A50295" w:rsidP="00CA5FBB">
      <w:pPr>
        <w:rPr>
          <w:noProof/>
        </w:rPr>
      </w:pPr>
      <w:r>
        <w:rPr>
          <w:noProof/>
        </w:rPr>
        <w:t>A mean value for all individuals with terminal epiphyses in</w:t>
      </w:r>
      <w:r w:rsidR="005A2BD6">
        <w:rPr>
          <w:noProof/>
        </w:rPr>
        <w:t xml:space="preserve"> either</w:t>
      </w:r>
      <w:r>
        <w:rPr>
          <w:noProof/>
        </w:rPr>
        <w:t xml:space="preserve"> mid-fusion </w:t>
      </w:r>
      <w:r w:rsidR="005A2BD6">
        <w:rPr>
          <w:noProof/>
        </w:rPr>
        <w:t>or</w:t>
      </w:r>
      <w:r>
        <w:rPr>
          <w:noProof/>
        </w:rPr>
        <w:t xml:space="preserve"> complete fusion was taken.  All bone lengths for each individual were then converted into a percentage of length.  Individuals with mid-fusion epiphyses were identified then assessed with respect to percentage o</w:t>
      </w:r>
      <w:r w:rsidR="00FE30F3">
        <w:rPr>
          <w:noProof/>
        </w:rPr>
        <w:t>f growth in length.  Tables 5.1</w:t>
      </w:r>
      <w:r w:rsidR="00DE38C2">
        <w:rPr>
          <w:noProof/>
        </w:rPr>
        <w:t>1</w:t>
      </w:r>
      <w:r w:rsidR="00FE30F3">
        <w:rPr>
          <w:noProof/>
        </w:rPr>
        <w:t xml:space="preserve"> and 5.1</w:t>
      </w:r>
      <w:r w:rsidR="00DE38C2">
        <w:rPr>
          <w:noProof/>
        </w:rPr>
        <w:t>2</w:t>
      </w:r>
      <w:r>
        <w:rPr>
          <w:noProof/>
        </w:rPr>
        <w:t xml:space="preserve"> provide </w:t>
      </w:r>
      <w:r w:rsidR="00AA404D">
        <w:rPr>
          <w:noProof/>
        </w:rPr>
        <w:t xml:space="preserve">percentiles </w:t>
      </w:r>
      <w:r>
        <w:rPr>
          <w:noProof/>
        </w:rPr>
        <w:t>of epiphyseal mid-fusion events for growth in length for all 6 long-bones, comparing chimpanzee and humans.  The ranges for epiphyseal fusion in chimpanzees often go over 100%.  This is because the mean value for terminal length does not necessarily</w:t>
      </w:r>
      <w:r w:rsidR="00783A12">
        <w:rPr>
          <w:noProof/>
        </w:rPr>
        <w:t xml:space="preserve"> mean that fusing individuals wer</w:t>
      </w:r>
      <w:r>
        <w:rPr>
          <w:noProof/>
        </w:rPr>
        <w:t>e necessarily that close to the average.  Wi</w:t>
      </w:r>
      <w:r w:rsidR="00783A12">
        <w:rPr>
          <w:noProof/>
        </w:rPr>
        <w:t>th cross-sectional data, there wa</w:t>
      </w:r>
      <w:r>
        <w:rPr>
          <w:noProof/>
        </w:rPr>
        <w:t xml:space="preserve">s no means to correct for this.  In reality these values for terminal epiphyses will by definition be exactly 100% for each individual.  The variation seen here is not substantial.  It is </w:t>
      </w:r>
      <w:r w:rsidR="00E2347A">
        <w:rPr>
          <w:noProof/>
        </w:rPr>
        <w:t xml:space="preserve">important to observe </w:t>
      </w:r>
      <w:r w:rsidR="008D5E69">
        <w:rPr>
          <w:noProof/>
        </w:rPr>
        <w:t xml:space="preserve">the </w:t>
      </w:r>
      <w:r>
        <w:rPr>
          <w:noProof/>
        </w:rPr>
        <w:t>mid-fusion values</w:t>
      </w:r>
      <w:r w:rsidR="0034337C">
        <w:rPr>
          <w:noProof/>
        </w:rPr>
        <w:t xml:space="preserve"> for epiphyses that precede </w:t>
      </w:r>
      <w:r>
        <w:rPr>
          <w:noProof/>
        </w:rPr>
        <w:t>terminal epiphyses in these tables</w:t>
      </w:r>
      <w:r w:rsidR="004568CA">
        <w:rPr>
          <w:noProof/>
        </w:rPr>
        <w:t xml:space="preserve">.  These are </w:t>
      </w:r>
      <w:r w:rsidR="0013415E">
        <w:rPr>
          <w:noProof/>
        </w:rPr>
        <w:t>the only epiphyses that may change between species</w:t>
      </w:r>
      <w:r w:rsidR="004568CA">
        <w:rPr>
          <w:noProof/>
        </w:rPr>
        <w:t xml:space="preserve"> relative to growth in length</w:t>
      </w:r>
      <w:r>
        <w:rPr>
          <w:noProof/>
        </w:rPr>
        <w:t>.</w:t>
      </w:r>
    </w:p>
    <w:p w:rsidR="000A10F1" w:rsidRDefault="000A10F1">
      <w:pPr>
        <w:spacing w:before="0" w:after="200" w:line="276" w:lineRule="auto"/>
        <w:jc w:val="left"/>
        <w:rPr>
          <w:noProof/>
          <w:color w:val="000000" w:themeColor="text1"/>
        </w:rPr>
      </w:pPr>
      <w:r>
        <w:rPr>
          <w:noProof/>
          <w:color w:val="000000" w:themeColor="text1"/>
        </w:rPr>
        <w:br w:type="page"/>
      </w:r>
    </w:p>
    <w:p w:rsidR="00A50295" w:rsidRPr="00EE7FEB" w:rsidRDefault="004E4C7C" w:rsidP="008F6AD8">
      <w:pPr>
        <w:tabs>
          <w:tab w:val="left" w:pos="360"/>
        </w:tabs>
        <w:spacing w:after="120" w:line="240" w:lineRule="auto"/>
        <w:rPr>
          <w:noProof/>
          <w:color w:val="000000" w:themeColor="text1"/>
        </w:rPr>
      </w:pPr>
      <w:bookmarkStart w:id="2617" w:name="_Toc373180187"/>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11</w:t>
      </w:r>
      <w:r w:rsidR="008943E4">
        <w:rPr>
          <w:b/>
        </w:rPr>
        <w:fldChar w:fldCharType="end"/>
      </w:r>
      <w:r>
        <w:rPr>
          <w:noProof/>
        </w:rPr>
        <w:t xml:space="preserve"> </w:t>
      </w:r>
      <w:r w:rsidR="00A50295">
        <w:rPr>
          <w:noProof/>
          <w:color w:val="000000" w:themeColor="text1"/>
        </w:rPr>
        <w:t>Comparison of mid-fusion timing relative to growth in long-bone length for female chimpanzees and humans.</w:t>
      </w:r>
      <w:bookmarkEnd w:id="2617"/>
    </w:p>
    <w:tbl>
      <w:tblPr>
        <w:tblW w:w="9426" w:type="dxa"/>
        <w:jc w:val="center"/>
        <w:tblInd w:w="-89" w:type="dxa"/>
        <w:tblLook w:val="04A0" w:firstRow="1" w:lastRow="0" w:firstColumn="1" w:lastColumn="0" w:noHBand="0" w:noVBand="1"/>
      </w:tblPr>
      <w:tblGrid>
        <w:gridCol w:w="2634"/>
        <w:gridCol w:w="913"/>
        <w:gridCol w:w="1274"/>
        <w:gridCol w:w="1002"/>
        <w:gridCol w:w="1057"/>
        <w:gridCol w:w="1459"/>
        <w:gridCol w:w="1087"/>
      </w:tblGrid>
      <w:tr w:rsidR="00D5142F" w:rsidRPr="00E67E31" w:rsidTr="00327BC8">
        <w:trPr>
          <w:trHeight w:val="360"/>
          <w:jc w:val="center"/>
        </w:trPr>
        <w:tc>
          <w:tcPr>
            <w:tcW w:w="2634" w:type="dxa"/>
            <w:vMerge w:val="restart"/>
            <w:tcBorders>
              <w:top w:val="single" w:sz="4" w:space="0" w:color="auto"/>
            </w:tcBorders>
            <w:shd w:val="clear" w:color="auto" w:fill="auto"/>
            <w:noWrap/>
            <w:vAlign w:val="center"/>
            <w:hideMark/>
          </w:tcPr>
          <w:p w:rsidR="00D5142F" w:rsidRDefault="0082311B" w:rsidP="00CA5FBB">
            <w:pPr>
              <w:spacing w:line="240" w:lineRule="auto"/>
              <w:jc w:val="center"/>
              <w:rPr>
                <w:rFonts w:eastAsia="Times New Roman"/>
                <w:b/>
                <w:color w:val="000000"/>
                <w:sz w:val="20"/>
                <w:szCs w:val="20"/>
                <w:lang w:val="en-GB" w:eastAsia="en-GB"/>
              </w:rPr>
            </w:pPr>
            <w:r>
              <w:rPr>
                <w:rFonts w:eastAsia="Times New Roman"/>
                <w:b/>
                <w:color w:val="000000"/>
                <w:lang w:val="en-GB" w:eastAsia="en-GB"/>
              </w:rPr>
              <w:t>e</w:t>
            </w:r>
            <w:r w:rsidR="00D5142F" w:rsidRPr="00CA5FBB">
              <w:rPr>
                <w:rFonts w:eastAsia="Times New Roman"/>
                <w:b/>
                <w:color w:val="000000"/>
                <w:lang w:val="en-GB" w:eastAsia="en-GB"/>
              </w:rPr>
              <w:t>piphysis</w:t>
            </w:r>
            <w:r w:rsidR="00D5142F" w:rsidRPr="00CA5FBB">
              <w:rPr>
                <w:rFonts w:eastAsia="Times New Roman"/>
                <w:b/>
                <w:color w:val="000000"/>
                <w:vertAlign w:val="superscript"/>
                <w:lang w:val="en-GB" w:eastAsia="en-GB"/>
              </w:rPr>
              <w:t>2.</w:t>
            </w:r>
            <w:proofErr w:type="gramStart"/>
            <w:r w:rsidR="00D5142F" w:rsidRPr="00CA5FBB">
              <w:rPr>
                <w:rFonts w:eastAsia="Times New Roman"/>
                <w:b/>
                <w:color w:val="000000"/>
                <w:vertAlign w:val="superscript"/>
                <w:lang w:val="en-GB" w:eastAsia="en-GB"/>
              </w:rPr>
              <w:t>,3</w:t>
            </w:r>
            <w:proofErr w:type="gramEnd"/>
            <w:r w:rsidR="00D5142F" w:rsidRPr="00CA5FBB">
              <w:rPr>
                <w:rFonts w:eastAsia="Times New Roman"/>
                <w:b/>
                <w:color w:val="000000"/>
                <w:vertAlign w:val="superscript"/>
                <w:lang w:val="en-GB" w:eastAsia="en-GB"/>
              </w:rPr>
              <w:t>.</w:t>
            </w:r>
          </w:p>
        </w:tc>
        <w:tc>
          <w:tcPr>
            <w:tcW w:w="2187" w:type="dxa"/>
            <w:gridSpan w:val="2"/>
            <w:tcBorders>
              <w:top w:val="single" w:sz="4" w:space="0" w:color="auto"/>
              <w:bottom w:val="single" w:sz="4" w:space="0" w:color="auto"/>
            </w:tcBorders>
            <w:shd w:val="clear" w:color="auto" w:fill="auto"/>
            <w:noWrap/>
            <w:vAlign w:val="center"/>
            <w:hideMark/>
          </w:tcPr>
          <w:p w:rsidR="00D5142F" w:rsidRPr="00CA5FBB" w:rsidRDefault="0082311B" w:rsidP="00CA5FBB">
            <w:pPr>
              <w:spacing w:before="0" w:line="240" w:lineRule="auto"/>
              <w:jc w:val="center"/>
              <w:rPr>
                <w:rFonts w:eastAsia="Times New Roman"/>
                <w:b/>
                <w:color w:val="000000"/>
                <w:lang w:val="en-GB" w:eastAsia="en-GB"/>
              </w:rPr>
            </w:pPr>
            <w:proofErr w:type="gramStart"/>
            <w:r>
              <w:rPr>
                <w:rFonts w:eastAsia="Times New Roman"/>
                <w:b/>
                <w:color w:val="000000"/>
                <w:lang w:val="en-GB" w:eastAsia="en-GB"/>
              </w:rPr>
              <w:t>h</w:t>
            </w:r>
            <w:r w:rsidR="00D5142F" w:rsidRPr="00CA5FBB">
              <w:rPr>
                <w:rFonts w:eastAsia="Times New Roman"/>
                <w:b/>
                <w:color w:val="000000"/>
                <w:lang w:val="en-GB" w:eastAsia="en-GB"/>
              </w:rPr>
              <w:t>uman</w:t>
            </w:r>
            <w:proofErr w:type="gramEnd"/>
            <w:r w:rsidR="00D5142F" w:rsidRPr="00CA5FBB">
              <w:rPr>
                <w:rFonts w:eastAsia="Times New Roman"/>
                <w:b/>
                <w:color w:val="000000"/>
                <w:lang w:val="en-GB" w:eastAsia="en-GB"/>
              </w:rPr>
              <w:t xml:space="preserve"> females</w:t>
            </w:r>
            <w:r w:rsidR="00D5142F" w:rsidRPr="00CA5FBB">
              <w:rPr>
                <w:rFonts w:eastAsia="Times New Roman"/>
                <w:b/>
                <w:color w:val="000000"/>
                <w:vertAlign w:val="superscript"/>
                <w:lang w:val="en-GB" w:eastAsia="en-GB"/>
              </w:rPr>
              <w:t>1.</w:t>
            </w:r>
          </w:p>
        </w:tc>
        <w:tc>
          <w:tcPr>
            <w:tcW w:w="4605" w:type="dxa"/>
            <w:gridSpan w:val="4"/>
            <w:tcBorders>
              <w:top w:val="single" w:sz="4" w:space="0" w:color="auto"/>
              <w:bottom w:val="single" w:sz="4" w:space="0" w:color="auto"/>
            </w:tcBorders>
            <w:shd w:val="clear" w:color="auto" w:fill="auto"/>
            <w:noWrap/>
            <w:vAlign w:val="center"/>
            <w:hideMark/>
          </w:tcPr>
          <w:p w:rsidR="00D5142F" w:rsidRPr="00CA5FBB" w:rsidRDefault="0082311B" w:rsidP="00CA5FBB">
            <w:pPr>
              <w:spacing w:before="0" w:line="240" w:lineRule="auto"/>
              <w:jc w:val="center"/>
              <w:rPr>
                <w:rFonts w:eastAsia="Times New Roman"/>
                <w:b/>
                <w:color w:val="000000"/>
                <w:lang w:val="en-GB" w:eastAsia="en-GB"/>
              </w:rPr>
            </w:pPr>
            <w:r>
              <w:rPr>
                <w:rFonts w:eastAsia="Times New Roman"/>
                <w:b/>
                <w:color w:val="000000"/>
                <w:lang w:val="en-GB" w:eastAsia="en-GB"/>
              </w:rPr>
              <w:t>c</w:t>
            </w:r>
            <w:r w:rsidR="00D5142F" w:rsidRPr="00CA5FBB">
              <w:rPr>
                <w:rFonts w:eastAsia="Times New Roman"/>
                <w:b/>
                <w:color w:val="000000"/>
                <w:lang w:val="en-GB" w:eastAsia="en-GB"/>
              </w:rPr>
              <w:t>himpanzee females  </w:t>
            </w:r>
          </w:p>
        </w:tc>
      </w:tr>
      <w:tr w:rsidR="00327BC8" w:rsidRPr="00E67E31" w:rsidTr="00327BC8">
        <w:trPr>
          <w:trHeight w:val="360"/>
          <w:jc w:val="center"/>
        </w:trPr>
        <w:tc>
          <w:tcPr>
            <w:tcW w:w="2634" w:type="dxa"/>
            <w:vMerge/>
            <w:tcBorders>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p>
        </w:tc>
        <w:tc>
          <w:tcPr>
            <w:tcW w:w="913"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 length)</w:t>
            </w:r>
          </w:p>
        </w:tc>
        <w:tc>
          <w:tcPr>
            <w:tcW w:w="1274"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range of values (% length)</w:t>
            </w:r>
          </w:p>
        </w:tc>
        <w:tc>
          <w:tcPr>
            <w:tcW w:w="1002"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r w:rsidRPr="0082311B">
              <w:rPr>
                <w:rFonts w:eastAsia="Times New Roman"/>
                <w:b/>
                <w:i/>
                <w:color w:val="000000"/>
                <w:lang w:val="en-GB" w:eastAsia="en-GB"/>
              </w:rPr>
              <w:t>N</w:t>
            </w:r>
            <w:r w:rsidRPr="00CA5FBB">
              <w:rPr>
                <w:rFonts w:eastAsia="Times New Roman"/>
                <w:b/>
                <w:color w:val="000000"/>
                <w:lang w:val="en-GB" w:eastAsia="en-GB"/>
              </w:rPr>
              <w:t xml:space="preserve"> (mid-fusion)</w:t>
            </w:r>
          </w:p>
        </w:tc>
        <w:tc>
          <w:tcPr>
            <w:tcW w:w="1057"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mean % mid-fusion</w:t>
            </w:r>
          </w:p>
        </w:tc>
        <w:tc>
          <w:tcPr>
            <w:tcW w:w="1459"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proofErr w:type="gramStart"/>
            <w:r w:rsidRPr="00CA5FBB">
              <w:rPr>
                <w:rFonts w:eastAsia="Times New Roman"/>
                <w:b/>
                <w:color w:val="000000"/>
                <w:lang w:val="en-GB" w:eastAsia="en-GB"/>
              </w:rPr>
              <w:t>standard</w:t>
            </w:r>
            <w:proofErr w:type="gramEnd"/>
            <w:r w:rsidRPr="00CA5FBB">
              <w:rPr>
                <w:rFonts w:eastAsia="Times New Roman"/>
                <w:b/>
                <w:color w:val="000000"/>
                <w:lang w:val="en-GB" w:eastAsia="en-GB"/>
              </w:rPr>
              <w:t xml:space="preserve"> deviation mid-fusion (%)</w:t>
            </w:r>
          </w:p>
        </w:tc>
        <w:tc>
          <w:tcPr>
            <w:tcW w:w="1087"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proofErr w:type="gramStart"/>
            <w:r w:rsidRPr="00CA5FBB">
              <w:rPr>
                <w:rFonts w:eastAsia="Times New Roman"/>
                <w:b/>
                <w:color w:val="000000"/>
                <w:lang w:val="en-GB" w:eastAsia="en-GB"/>
              </w:rPr>
              <w:t>mid-fusion</w:t>
            </w:r>
            <w:proofErr w:type="gramEnd"/>
            <w:r w:rsidRPr="00CA5FBB">
              <w:rPr>
                <w:rFonts w:eastAsia="Times New Roman"/>
                <w:b/>
                <w:color w:val="000000"/>
                <w:lang w:val="en-GB" w:eastAsia="en-GB"/>
              </w:rPr>
              <w:t xml:space="preserve"> range (%)</w:t>
            </w:r>
          </w:p>
        </w:tc>
      </w:tr>
      <w:tr w:rsidR="00327BC8" w:rsidRPr="00E67E31" w:rsidTr="00327BC8">
        <w:trPr>
          <w:trHeight w:val="300"/>
          <w:jc w:val="center"/>
        </w:trPr>
        <w:tc>
          <w:tcPr>
            <w:tcW w:w="2634" w:type="dxa"/>
            <w:tcBorders>
              <w:top w:val="single" w:sz="4" w:space="0" w:color="auto"/>
            </w:tcBorders>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E67E31">
              <w:rPr>
                <w:rFonts w:eastAsia="Times New Roman"/>
                <w:color w:val="000000"/>
                <w:lang w:val="en-GB" w:eastAsia="en-GB"/>
              </w:rPr>
              <w:t>proximal humerus</w:t>
            </w:r>
          </w:p>
        </w:tc>
        <w:tc>
          <w:tcPr>
            <w:tcW w:w="913"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w:t>
            </w:r>
          </w:p>
        </w:tc>
        <w:tc>
          <w:tcPr>
            <w:tcW w:w="1002"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21</w:t>
            </w:r>
          </w:p>
        </w:tc>
        <w:tc>
          <w:tcPr>
            <w:tcW w:w="1057"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99.9</w:t>
            </w:r>
          </w:p>
        </w:tc>
        <w:tc>
          <w:tcPr>
            <w:tcW w:w="1459"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7</w:t>
            </w:r>
            <w:r>
              <w:rPr>
                <w:rFonts w:eastAsia="Times New Roman"/>
                <w:color w:val="000000"/>
                <w:lang w:val="en-GB" w:eastAsia="en-GB"/>
              </w:rPr>
              <w:t>.0</w:t>
            </w:r>
          </w:p>
        </w:tc>
        <w:tc>
          <w:tcPr>
            <w:tcW w:w="1087"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92-110</w:t>
            </w:r>
          </w:p>
        </w:tc>
      </w:tr>
      <w:tr w:rsidR="00327BC8" w:rsidRPr="00E67E31" w:rsidTr="00327BC8">
        <w:trPr>
          <w:trHeight w:val="300"/>
          <w:jc w:val="center"/>
        </w:trPr>
        <w:tc>
          <w:tcPr>
            <w:tcW w:w="2634" w:type="dxa"/>
            <w:shd w:val="clear" w:color="auto" w:fill="auto"/>
            <w:noWrap/>
            <w:vAlign w:val="center"/>
            <w:hideMark/>
          </w:tcPr>
          <w:p w:rsidR="00A35CA0" w:rsidRDefault="00FB5ED4"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distal humerus</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91</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Pr>
                <w:rFonts w:eastAsia="Times New Roman"/>
                <w:color w:val="000000"/>
                <w:lang w:val="en-GB" w:eastAsia="en-GB"/>
              </w:rPr>
              <w:t>91</w:t>
            </w:r>
            <w:r w:rsidRPr="003A00AA">
              <w:rPr>
                <w:rFonts w:eastAsia="Times New Roman"/>
                <w:color w:val="000000"/>
                <w:vertAlign w:val="superscript"/>
                <w:lang w:val="en-GB" w:eastAsia="en-GB"/>
              </w:rPr>
              <w:t>4.</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10</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85.6</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7.5</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76-97</w:t>
            </w:r>
          </w:p>
        </w:tc>
      </w:tr>
      <w:tr w:rsidR="00327BC8" w:rsidRPr="00E67E31" w:rsidTr="00327BC8">
        <w:trPr>
          <w:trHeight w:val="300"/>
          <w:jc w:val="center"/>
        </w:trPr>
        <w:tc>
          <w:tcPr>
            <w:tcW w:w="2634" w:type="dxa"/>
            <w:shd w:val="clear" w:color="auto" w:fill="auto"/>
            <w:noWrap/>
            <w:vAlign w:val="center"/>
            <w:hideMark/>
          </w:tcPr>
          <w:p w:rsidR="00A35CA0" w:rsidRDefault="002E7A39" w:rsidP="00CA5FBB">
            <w:pPr>
              <w:spacing w:before="0" w:line="240" w:lineRule="auto"/>
              <w:jc w:val="left"/>
              <w:rPr>
                <w:rFonts w:eastAsia="Times New Roman"/>
                <w:color w:val="000000"/>
                <w:sz w:val="24"/>
                <w:szCs w:val="24"/>
                <w:lang w:val="en-GB" w:eastAsia="en-GB"/>
              </w:rPr>
            </w:pPr>
            <w:r>
              <w:rPr>
                <w:rFonts w:eastAsia="Times New Roman"/>
                <w:color w:val="000000"/>
                <w:lang w:val="en-GB" w:eastAsia="en-GB"/>
              </w:rPr>
              <w:t xml:space="preserve">humeral </w:t>
            </w:r>
            <w:r w:rsidR="00A50295" w:rsidRPr="00E67E31">
              <w:rPr>
                <w:rFonts w:eastAsia="Times New Roman"/>
                <w:color w:val="000000"/>
                <w:lang w:val="en-GB" w:eastAsia="en-GB"/>
              </w:rPr>
              <w:t>medial epicondyle</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95</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91-98</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8</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88.8</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6.2</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77-97</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proximal radius</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97.8</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91-100</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12</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95.1</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4.3</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89-101</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distal radius</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17</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102.2</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4.7</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93-108</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proximal ulna</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95.6</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92-99</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6</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88.7</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4.3</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89-94</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distal ulna</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22</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100.7</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5.8</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88-109</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femoral head</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92-100</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11</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98.8</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4.3</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93-107</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greater trochanter</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11</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99.2</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5.5</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91-107</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lesser trochanter</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99.8</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99-100</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5</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95.9</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3.9</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91-101</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distal femur</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21</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101.1</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5</w:t>
            </w:r>
            <w:r>
              <w:rPr>
                <w:rFonts w:eastAsia="Times New Roman"/>
                <w:color w:val="000000"/>
                <w:lang w:val="en-GB" w:eastAsia="en-GB"/>
              </w:rPr>
              <w:t>.0</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93-110</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proximal tibia</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21</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100.9</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5.3</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92-110</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distal tibia</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98.4</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96-100</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14</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99.3</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4.4</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92-108</w:t>
            </w:r>
          </w:p>
        </w:tc>
      </w:tr>
      <w:tr w:rsidR="00327BC8" w:rsidRPr="00E67E31" w:rsidTr="00327BC8">
        <w:trPr>
          <w:trHeight w:val="300"/>
          <w:jc w:val="center"/>
        </w:trPr>
        <w:tc>
          <w:tcPr>
            <w:tcW w:w="2634" w:type="dxa"/>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proximal fibula</w:t>
            </w:r>
          </w:p>
        </w:tc>
        <w:tc>
          <w:tcPr>
            <w:tcW w:w="913"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w:t>
            </w:r>
          </w:p>
        </w:tc>
        <w:tc>
          <w:tcPr>
            <w:tcW w:w="1002"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16</w:t>
            </w:r>
          </w:p>
        </w:tc>
        <w:tc>
          <w:tcPr>
            <w:tcW w:w="1057"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101.6</w:t>
            </w:r>
          </w:p>
        </w:tc>
        <w:tc>
          <w:tcPr>
            <w:tcW w:w="145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5.3</w:t>
            </w:r>
          </w:p>
        </w:tc>
        <w:tc>
          <w:tcPr>
            <w:tcW w:w="1087"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92-112</w:t>
            </w:r>
          </w:p>
        </w:tc>
      </w:tr>
      <w:tr w:rsidR="00327BC8" w:rsidRPr="00E67E31" w:rsidTr="00327BC8">
        <w:trPr>
          <w:trHeight w:val="300"/>
          <w:jc w:val="center"/>
        </w:trPr>
        <w:tc>
          <w:tcPr>
            <w:tcW w:w="2634" w:type="dxa"/>
            <w:tcBorders>
              <w:bottom w:val="single" w:sz="4" w:space="0" w:color="auto"/>
            </w:tcBorders>
            <w:shd w:val="clear" w:color="auto" w:fill="auto"/>
            <w:noWrap/>
            <w:vAlign w:val="center"/>
            <w:hideMark/>
          </w:tcPr>
          <w:p w:rsidR="00A35CA0" w:rsidRDefault="00A50295" w:rsidP="00CA5FBB">
            <w:pPr>
              <w:spacing w:before="0" w:line="240" w:lineRule="auto"/>
              <w:rPr>
                <w:rFonts w:eastAsia="Times New Roman"/>
                <w:color w:val="000000"/>
                <w:sz w:val="24"/>
                <w:szCs w:val="24"/>
                <w:lang w:val="en-GB" w:eastAsia="en-GB"/>
              </w:rPr>
            </w:pPr>
            <w:r w:rsidRPr="00E67E31">
              <w:rPr>
                <w:rFonts w:eastAsia="Times New Roman"/>
                <w:color w:val="000000"/>
                <w:lang w:val="en-GB" w:eastAsia="en-GB"/>
              </w:rPr>
              <w:t>distal fibula</w:t>
            </w:r>
          </w:p>
        </w:tc>
        <w:tc>
          <w:tcPr>
            <w:tcW w:w="913" w:type="dxa"/>
            <w:tcBorders>
              <w:bottom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100</w:t>
            </w:r>
            <w:r>
              <w:rPr>
                <w:rFonts w:eastAsia="Times New Roman"/>
                <w:b/>
                <w:bCs/>
                <w:color w:val="000000"/>
                <w:lang w:val="en-GB" w:eastAsia="en-GB"/>
              </w:rPr>
              <w:t>.0</w:t>
            </w:r>
          </w:p>
        </w:tc>
        <w:tc>
          <w:tcPr>
            <w:tcW w:w="1274" w:type="dxa"/>
            <w:tcBorders>
              <w:bottom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w:t>
            </w:r>
          </w:p>
        </w:tc>
        <w:tc>
          <w:tcPr>
            <w:tcW w:w="1002" w:type="dxa"/>
            <w:tcBorders>
              <w:bottom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10</w:t>
            </w:r>
          </w:p>
        </w:tc>
        <w:tc>
          <w:tcPr>
            <w:tcW w:w="1057" w:type="dxa"/>
            <w:tcBorders>
              <w:bottom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E67E31">
              <w:rPr>
                <w:rFonts w:eastAsia="Times New Roman"/>
                <w:b/>
                <w:bCs/>
                <w:color w:val="000000"/>
                <w:lang w:val="en-GB" w:eastAsia="en-GB"/>
              </w:rPr>
              <w:t>99.3</w:t>
            </w:r>
          </w:p>
        </w:tc>
        <w:tc>
          <w:tcPr>
            <w:tcW w:w="1459" w:type="dxa"/>
            <w:tcBorders>
              <w:bottom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4.2</w:t>
            </w:r>
          </w:p>
        </w:tc>
        <w:tc>
          <w:tcPr>
            <w:tcW w:w="1087" w:type="dxa"/>
            <w:tcBorders>
              <w:bottom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E67E31">
              <w:rPr>
                <w:rFonts w:eastAsia="Times New Roman"/>
                <w:color w:val="000000"/>
                <w:lang w:val="en-GB" w:eastAsia="en-GB"/>
              </w:rPr>
              <w:t>92-107</w:t>
            </w:r>
          </w:p>
        </w:tc>
      </w:tr>
    </w:tbl>
    <w:p w:rsidR="008C2864" w:rsidRPr="00711262" w:rsidRDefault="008C2864" w:rsidP="0082311B">
      <w:pPr>
        <w:pStyle w:val="ListParagraph"/>
        <w:numPr>
          <w:ilvl w:val="0"/>
          <w:numId w:val="27"/>
        </w:numPr>
        <w:tabs>
          <w:tab w:val="left" w:pos="-284"/>
        </w:tabs>
        <w:spacing w:before="120" w:line="240" w:lineRule="auto"/>
        <w:ind w:left="425" w:hanging="493"/>
        <w:rPr>
          <w:noProof/>
          <w:color w:val="000000" w:themeColor="text1"/>
          <w:sz w:val="20"/>
          <w:szCs w:val="20"/>
        </w:rPr>
      </w:pPr>
      <w:r w:rsidRPr="00711262">
        <w:rPr>
          <w:noProof/>
          <w:color w:val="000000" w:themeColor="text1"/>
          <w:sz w:val="20"/>
          <w:szCs w:val="20"/>
        </w:rPr>
        <w:t>Data for human length is from Maresh (1970)</w:t>
      </w:r>
    </w:p>
    <w:p w:rsidR="008C2864" w:rsidRPr="00711262" w:rsidRDefault="008C2864" w:rsidP="00854F60">
      <w:pPr>
        <w:pStyle w:val="ListParagraph"/>
        <w:numPr>
          <w:ilvl w:val="0"/>
          <w:numId w:val="27"/>
        </w:numPr>
        <w:tabs>
          <w:tab w:val="left" w:pos="-284"/>
        </w:tabs>
        <w:spacing w:line="240" w:lineRule="auto"/>
        <w:ind w:left="426" w:hanging="496"/>
        <w:rPr>
          <w:noProof/>
          <w:color w:val="000000" w:themeColor="text1"/>
          <w:sz w:val="20"/>
          <w:szCs w:val="20"/>
        </w:rPr>
      </w:pPr>
      <w:r w:rsidRPr="00711262">
        <w:rPr>
          <w:noProof/>
          <w:color w:val="000000" w:themeColor="text1"/>
          <w:sz w:val="20"/>
          <w:szCs w:val="20"/>
        </w:rPr>
        <w:t>Data for human female epiphyseal fusion is from Coqeuegnoit and Weaver (2007)</w:t>
      </w:r>
    </w:p>
    <w:p w:rsidR="008C2864" w:rsidRPr="00711262" w:rsidRDefault="008C2864" w:rsidP="00854F60">
      <w:pPr>
        <w:pStyle w:val="ListParagraph"/>
        <w:numPr>
          <w:ilvl w:val="0"/>
          <w:numId w:val="27"/>
        </w:numPr>
        <w:tabs>
          <w:tab w:val="left" w:pos="-284"/>
        </w:tabs>
        <w:spacing w:line="240" w:lineRule="auto"/>
        <w:ind w:left="426" w:hanging="496"/>
        <w:rPr>
          <w:noProof/>
          <w:color w:val="000000" w:themeColor="text1"/>
          <w:sz w:val="20"/>
          <w:szCs w:val="20"/>
        </w:rPr>
      </w:pPr>
      <w:r w:rsidRPr="00711262">
        <w:rPr>
          <w:noProof/>
          <w:color w:val="000000" w:themeColor="text1"/>
          <w:sz w:val="20"/>
          <w:szCs w:val="20"/>
        </w:rPr>
        <w:t>Data for female femur from Cardoso (2008)</w:t>
      </w:r>
    </w:p>
    <w:p w:rsidR="008C2864" w:rsidRPr="00711262" w:rsidRDefault="008C2864" w:rsidP="00854F60">
      <w:pPr>
        <w:pStyle w:val="ListParagraph"/>
        <w:numPr>
          <w:ilvl w:val="0"/>
          <w:numId w:val="27"/>
        </w:numPr>
        <w:tabs>
          <w:tab w:val="left" w:pos="-284"/>
        </w:tabs>
        <w:spacing w:line="240" w:lineRule="auto"/>
        <w:ind w:left="426" w:hanging="496"/>
        <w:rPr>
          <w:noProof/>
          <w:color w:val="000000" w:themeColor="text1"/>
          <w:sz w:val="20"/>
          <w:szCs w:val="20"/>
        </w:rPr>
      </w:pPr>
      <w:r w:rsidRPr="00711262">
        <w:rPr>
          <w:noProof/>
          <w:color w:val="000000" w:themeColor="text1"/>
          <w:sz w:val="20"/>
          <w:szCs w:val="20"/>
        </w:rPr>
        <w:t xml:space="preserve">For human </w:t>
      </w:r>
      <w:r w:rsidR="00FB5ED4" w:rsidRPr="00FB5ED4">
        <w:rPr>
          <w:rFonts w:eastAsia="Times New Roman"/>
          <w:color w:val="000000"/>
          <w:sz w:val="20"/>
          <w:szCs w:val="20"/>
          <w:lang w:val="en-GB" w:eastAsia="en-GB"/>
        </w:rPr>
        <w:t>distal humerus</w:t>
      </w:r>
      <w:r w:rsidRPr="00711262">
        <w:rPr>
          <w:noProof/>
          <w:color w:val="000000" w:themeColor="text1"/>
          <w:sz w:val="20"/>
          <w:szCs w:val="20"/>
        </w:rPr>
        <w:t xml:space="preserve"> fusion one single age was given.</w:t>
      </w:r>
    </w:p>
    <w:p w:rsidR="00A35CA0" w:rsidRDefault="00B249ED" w:rsidP="00CA5FBB">
      <w:pPr>
        <w:rPr>
          <w:noProof/>
          <w:color w:val="000000" w:themeColor="text1"/>
        </w:rPr>
      </w:pPr>
      <w:r>
        <w:rPr>
          <w:noProof/>
        </w:rPr>
        <w:t xml:space="preserve">The normality of epiphyseal fusion distributions </w:t>
      </w:r>
      <w:r w:rsidR="00921866">
        <w:rPr>
          <w:noProof/>
        </w:rPr>
        <w:t>as a percentage of growth in length was con</w:t>
      </w:r>
      <w:r>
        <w:rPr>
          <w:noProof/>
        </w:rPr>
        <w:t>s</w:t>
      </w:r>
      <w:r w:rsidR="00921866">
        <w:rPr>
          <w:noProof/>
        </w:rPr>
        <w:t>i</w:t>
      </w:r>
      <w:r>
        <w:rPr>
          <w:noProof/>
        </w:rPr>
        <w:t xml:space="preserve">dered using </w:t>
      </w:r>
      <w:r w:rsidR="000A10F1">
        <w:rPr>
          <w:noProof/>
        </w:rPr>
        <w:t>Shapiro-Wilk</w:t>
      </w:r>
      <w:r w:rsidR="00E3281A">
        <w:rPr>
          <w:noProof/>
        </w:rPr>
        <w:t xml:space="preserve"> </w:t>
      </w:r>
      <w:r w:rsidR="000A10F1">
        <w:rPr>
          <w:noProof/>
        </w:rPr>
        <w:t xml:space="preserve">normality </w:t>
      </w:r>
      <w:r>
        <w:rPr>
          <w:noProof/>
        </w:rPr>
        <w:t>tests.  T</w:t>
      </w:r>
      <w:r w:rsidR="000A10F1">
        <w:rPr>
          <w:noProof/>
        </w:rPr>
        <w:t>hese data are available in</w:t>
      </w:r>
      <w:r w:rsidR="00E321C2">
        <w:rPr>
          <w:noProof/>
        </w:rPr>
        <w:t xml:space="preserve"> appendix section 8.8</w:t>
      </w:r>
      <w:r w:rsidR="000A10F1" w:rsidRPr="00E321C2">
        <w:rPr>
          <w:noProof/>
          <w:color w:val="000000" w:themeColor="text1"/>
        </w:rPr>
        <w:t xml:space="preserve">.  </w:t>
      </w:r>
      <w:r w:rsidR="000A10F1">
        <w:rPr>
          <w:noProof/>
        </w:rPr>
        <w:t>No epiphyses significantly deviated from normality.  It should also be observed that Schaefer’s (2008) data used for males provided numbers of individuals for each year of age.  Mean values were achieved by mutiplying each age category by the percentage of individuals in each stage.  The human female data from Coqeuegnoit and Weaver (2007) only provided ranges and the mean values were a midpoint of these ranges.</w:t>
      </w:r>
    </w:p>
    <w:p w:rsidR="000A10F1" w:rsidRDefault="000A10F1">
      <w:pPr>
        <w:spacing w:before="0" w:after="200" w:line="276" w:lineRule="auto"/>
        <w:jc w:val="left"/>
        <w:rPr>
          <w:noProof/>
          <w:color w:val="000000" w:themeColor="text1"/>
          <w:sz w:val="20"/>
          <w:szCs w:val="20"/>
        </w:rPr>
      </w:pPr>
      <w:r>
        <w:rPr>
          <w:noProof/>
          <w:color w:val="000000" w:themeColor="text1"/>
          <w:sz w:val="20"/>
          <w:szCs w:val="20"/>
        </w:rPr>
        <w:br w:type="page"/>
      </w:r>
    </w:p>
    <w:p w:rsidR="00A50295" w:rsidRDefault="008C2864" w:rsidP="008F6AD8">
      <w:pPr>
        <w:tabs>
          <w:tab w:val="left" w:pos="360"/>
        </w:tabs>
        <w:spacing w:after="120" w:line="240" w:lineRule="auto"/>
        <w:rPr>
          <w:noProof/>
          <w:color w:val="000000" w:themeColor="text1"/>
        </w:rPr>
      </w:pPr>
      <w:bookmarkStart w:id="2618" w:name="_Toc373180188"/>
      <w:proofErr w:type="gramStart"/>
      <w:r w:rsidRPr="00997A01">
        <w:rPr>
          <w:b/>
        </w:rPr>
        <w:lastRenderedPageBreak/>
        <w:t xml:space="preserve">Table </w:t>
      </w:r>
      <w:r w:rsidR="008943E4">
        <w:rPr>
          <w:b/>
        </w:rPr>
        <w:fldChar w:fldCharType="begin"/>
      </w:r>
      <w:r w:rsidR="0071093B">
        <w:rPr>
          <w:b/>
        </w:rPr>
        <w:instrText xml:space="preserve"> STYLEREF 1 \s </w:instrText>
      </w:r>
      <w:r w:rsidR="008943E4">
        <w:rPr>
          <w:b/>
        </w:rPr>
        <w:fldChar w:fldCharType="separate"/>
      </w:r>
      <w:r w:rsidR="00795735">
        <w:rPr>
          <w:b/>
          <w:noProof/>
        </w:rPr>
        <w:t>5</w:t>
      </w:r>
      <w:r w:rsidR="008943E4">
        <w:rPr>
          <w:b/>
        </w:rPr>
        <w:fldChar w:fldCharType="end"/>
      </w:r>
      <w:r w:rsidR="0071093B">
        <w:rPr>
          <w:b/>
        </w:rPr>
        <w:t>.</w:t>
      </w:r>
      <w:proofErr w:type="gramEnd"/>
      <w:r w:rsidR="008943E4">
        <w:rPr>
          <w:b/>
        </w:rPr>
        <w:fldChar w:fldCharType="begin"/>
      </w:r>
      <w:r w:rsidR="0071093B">
        <w:rPr>
          <w:b/>
        </w:rPr>
        <w:instrText xml:space="preserve"> SEQ Table \* ARABIC \s 1 </w:instrText>
      </w:r>
      <w:r w:rsidR="008943E4">
        <w:rPr>
          <w:b/>
        </w:rPr>
        <w:fldChar w:fldCharType="separate"/>
      </w:r>
      <w:r w:rsidR="00795735">
        <w:rPr>
          <w:b/>
          <w:noProof/>
        </w:rPr>
        <w:t>12</w:t>
      </w:r>
      <w:r w:rsidR="008943E4">
        <w:rPr>
          <w:b/>
        </w:rPr>
        <w:fldChar w:fldCharType="end"/>
      </w:r>
      <w:r>
        <w:rPr>
          <w:b/>
        </w:rPr>
        <w:t xml:space="preserve"> </w:t>
      </w:r>
      <w:r w:rsidR="00A50295">
        <w:rPr>
          <w:noProof/>
          <w:color w:val="000000" w:themeColor="text1"/>
        </w:rPr>
        <w:t>Comparison of mid-fusion timing relative to growth in long-bone length for male chimpanzees and humans.</w:t>
      </w:r>
      <w:bookmarkEnd w:id="2618"/>
    </w:p>
    <w:tbl>
      <w:tblPr>
        <w:tblW w:w="9612" w:type="dxa"/>
        <w:jc w:val="center"/>
        <w:tblInd w:w="-275" w:type="dxa"/>
        <w:tblBorders>
          <w:top w:val="single" w:sz="4" w:space="0" w:color="auto"/>
          <w:bottom w:val="single" w:sz="4" w:space="0" w:color="auto"/>
        </w:tblBorders>
        <w:tblLook w:val="04A0" w:firstRow="1" w:lastRow="0" w:firstColumn="1" w:lastColumn="0" w:noHBand="0" w:noVBand="1"/>
      </w:tblPr>
      <w:tblGrid>
        <w:gridCol w:w="2669"/>
        <w:gridCol w:w="1121"/>
        <w:gridCol w:w="1418"/>
        <w:gridCol w:w="909"/>
        <w:gridCol w:w="1278"/>
        <w:gridCol w:w="1226"/>
        <w:gridCol w:w="991"/>
      </w:tblGrid>
      <w:tr w:rsidR="00D5142F" w:rsidRPr="00147B6E" w:rsidTr="00327BC8">
        <w:trPr>
          <w:trHeight w:val="300"/>
          <w:jc w:val="center"/>
        </w:trPr>
        <w:tc>
          <w:tcPr>
            <w:tcW w:w="2669" w:type="dxa"/>
            <w:vMerge w:val="restart"/>
            <w:tcBorders>
              <w:top w:val="single" w:sz="4" w:space="0" w:color="auto"/>
            </w:tcBorders>
            <w:shd w:val="clear" w:color="auto" w:fill="auto"/>
            <w:noWrap/>
            <w:vAlign w:val="center"/>
            <w:hideMark/>
          </w:tcPr>
          <w:p w:rsidR="00D5142F" w:rsidRDefault="00026920" w:rsidP="00CA5FBB">
            <w:pPr>
              <w:spacing w:line="240" w:lineRule="auto"/>
              <w:jc w:val="center"/>
              <w:rPr>
                <w:rFonts w:eastAsia="Times New Roman"/>
                <w:b/>
                <w:color w:val="000000"/>
                <w:sz w:val="20"/>
                <w:szCs w:val="20"/>
                <w:lang w:val="en-GB" w:eastAsia="en-GB"/>
              </w:rPr>
            </w:pPr>
            <w:r>
              <w:rPr>
                <w:rFonts w:eastAsia="Times New Roman"/>
                <w:b/>
                <w:color w:val="000000"/>
                <w:lang w:val="en-GB" w:eastAsia="en-GB"/>
              </w:rPr>
              <w:t>e</w:t>
            </w:r>
            <w:r w:rsidR="00D5142F" w:rsidRPr="00CA5FBB">
              <w:rPr>
                <w:rFonts w:eastAsia="Times New Roman"/>
                <w:b/>
                <w:color w:val="000000"/>
                <w:lang w:val="en-GB" w:eastAsia="en-GB"/>
              </w:rPr>
              <w:t>piphysis</w:t>
            </w:r>
            <w:r w:rsidR="00D5142F" w:rsidRPr="00CA5FBB">
              <w:rPr>
                <w:rFonts w:eastAsia="Times New Roman"/>
                <w:b/>
                <w:color w:val="000000"/>
                <w:vertAlign w:val="superscript"/>
                <w:lang w:val="en-GB" w:eastAsia="en-GB"/>
              </w:rPr>
              <w:t>1.</w:t>
            </w:r>
            <w:proofErr w:type="gramStart"/>
            <w:r w:rsidR="00D5142F" w:rsidRPr="00CA5FBB">
              <w:rPr>
                <w:rFonts w:eastAsia="Times New Roman"/>
                <w:b/>
                <w:color w:val="000000"/>
                <w:vertAlign w:val="superscript"/>
                <w:lang w:val="en-GB" w:eastAsia="en-GB"/>
              </w:rPr>
              <w:t>,2</w:t>
            </w:r>
            <w:proofErr w:type="gramEnd"/>
            <w:r w:rsidR="00D5142F" w:rsidRPr="00CA5FBB">
              <w:rPr>
                <w:rFonts w:eastAsia="Times New Roman"/>
                <w:b/>
                <w:color w:val="000000"/>
                <w:vertAlign w:val="superscript"/>
                <w:lang w:val="en-GB" w:eastAsia="en-GB"/>
              </w:rPr>
              <w:t>.</w:t>
            </w:r>
          </w:p>
        </w:tc>
        <w:tc>
          <w:tcPr>
            <w:tcW w:w="2539" w:type="dxa"/>
            <w:gridSpan w:val="2"/>
            <w:tcBorders>
              <w:top w:val="single" w:sz="4" w:space="0" w:color="auto"/>
              <w:bottom w:val="single" w:sz="4" w:space="0" w:color="auto"/>
            </w:tcBorders>
            <w:shd w:val="clear" w:color="auto" w:fill="auto"/>
            <w:noWrap/>
            <w:vAlign w:val="center"/>
            <w:hideMark/>
          </w:tcPr>
          <w:p w:rsidR="00D5142F" w:rsidRPr="00CA5FBB" w:rsidRDefault="00026920" w:rsidP="00CA5FBB">
            <w:pPr>
              <w:spacing w:before="0" w:line="240" w:lineRule="auto"/>
              <w:jc w:val="center"/>
              <w:rPr>
                <w:rFonts w:eastAsia="Times New Roman"/>
                <w:b/>
                <w:color w:val="000000"/>
                <w:sz w:val="20"/>
                <w:szCs w:val="20"/>
                <w:lang w:val="en-GB" w:eastAsia="en-GB"/>
              </w:rPr>
            </w:pPr>
            <w:r>
              <w:rPr>
                <w:rFonts w:eastAsia="Times New Roman"/>
                <w:b/>
                <w:color w:val="000000"/>
                <w:lang w:val="en-GB" w:eastAsia="en-GB"/>
              </w:rPr>
              <w:t>h</w:t>
            </w:r>
            <w:r w:rsidR="00D5142F" w:rsidRPr="00CA5FBB">
              <w:rPr>
                <w:rFonts w:eastAsia="Times New Roman"/>
                <w:b/>
                <w:color w:val="000000"/>
                <w:lang w:val="en-GB" w:eastAsia="en-GB"/>
              </w:rPr>
              <w:t>uman males</w:t>
            </w:r>
          </w:p>
        </w:tc>
        <w:tc>
          <w:tcPr>
            <w:tcW w:w="4404" w:type="dxa"/>
            <w:gridSpan w:val="4"/>
            <w:tcBorders>
              <w:top w:val="single" w:sz="4" w:space="0" w:color="auto"/>
              <w:bottom w:val="single" w:sz="4" w:space="0" w:color="auto"/>
            </w:tcBorders>
            <w:shd w:val="clear" w:color="auto" w:fill="auto"/>
            <w:noWrap/>
            <w:vAlign w:val="center"/>
            <w:hideMark/>
          </w:tcPr>
          <w:p w:rsidR="00D5142F" w:rsidRPr="00CA5FBB" w:rsidRDefault="00026920" w:rsidP="00CA5FBB">
            <w:pPr>
              <w:spacing w:before="0" w:line="240" w:lineRule="auto"/>
              <w:jc w:val="center"/>
              <w:rPr>
                <w:rFonts w:eastAsia="Times New Roman"/>
                <w:b/>
                <w:color w:val="000000"/>
                <w:sz w:val="20"/>
                <w:szCs w:val="20"/>
                <w:lang w:val="en-GB" w:eastAsia="en-GB"/>
              </w:rPr>
            </w:pPr>
            <w:r>
              <w:rPr>
                <w:rFonts w:eastAsia="Times New Roman"/>
                <w:b/>
                <w:color w:val="000000"/>
                <w:lang w:val="en-GB" w:eastAsia="en-GB"/>
              </w:rPr>
              <w:t>c</w:t>
            </w:r>
            <w:r w:rsidR="00D5142F" w:rsidRPr="00CA5FBB">
              <w:rPr>
                <w:rFonts w:eastAsia="Times New Roman"/>
                <w:b/>
                <w:color w:val="000000"/>
                <w:lang w:val="en-GB" w:eastAsia="en-GB"/>
              </w:rPr>
              <w:t>himpanzee males</w:t>
            </w:r>
            <w:r w:rsidR="00D5142F" w:rsidRPr="00CA5FBB">
              <w:rPr>
                <w:rFonts w:eastAsia="Times New Roman"/>
                <w:b/>
                <w:color w:val="000000"/>
                <w:sz w:val="20"/>
                <w:szCs w:val="20"/>
                <w:lang w:val="en-GB" w:eastAsia="en-GB"/>
              </w:rPr>
              <w:t> </w:t>
            </w:r>
          </w:p>
        </w:tc>
      </w:tr>
      <w:tr w:rsidR="00D5142F" w:rsidRPr="00147B6E" w:rsidTr="00327BC8">
        <w:trPr>
          <w:trHeight w:val="315"/>
          <w:jc w:val="center"/>
        </w:trPr>
        <w:tc>
          <w:tcPr>
            <w:tcW w:w="2669" w:type="dxa"/>
            <w:vMerge/>
            <w:tcBorders>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p>
        </w:tc>
        <w:tc>
          <w:tcPr>
            <w:tcW w:w="1121"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males(% length)</w:t>
            </w:r>
          </w:p>
        </w:tc>
        <w:tc>
          <w:tcPr>
            <w:tcW w:w="1418"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range of values (% length)</w:t>
            </w:r>
          </w:p>
        </w:tc>
        <w:tc>
          <w:tcPr>
            <w:tcW w:w="909"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r w:rsidRPr="00B454A3">
              <w:rPr>
                <w:rFonts w:eastAsia="Times New Roman"/>
                <w:b/>
                <w:i/>
                <w:color w:val="000000"/>
                <w:lang w:val="en-GB" w:eastAsia="en-GB"/>
              </w:rPr>
              <w:t>N</w:t>
            </w:r>
            <w:r w:rsidRPr="00CA5FBB">
              <w:rPr>
                <w:rFonts w:eastAsia="Times New Roman"/>
                <w:b/>
                <w:color w:val="000000"/>
                <w:lang w:val="en-GB" w:eastAsia="en-GB"/>
              </w:rPr>
              <w:t xml:space="preserve"> (mid-fusion)</w:t>
            </w:r>
          </w:p>
        </w:tc>
        <w:tc>
          <w:tcPr>
            <w:tcW w:w="1278"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r w:rsidRPr="00CA5FBB">
              <w:rPr>
                <w:rFonts w:eastAsia="Times New Roman"/>
                <w:b/>
                <w:color w:val="000000"/>
                <w:lang w:val="en-GB" w:eastAsia="en-GB"/>
              </w:rPr>
              <w:t>mean % mid-fusion</w:t>
            </w:r>
          </w:p>
        </w:tc>
        <w:tc>
          <w:tcPr>
            <w:tcW w:w="1226"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proofErr w:type="gramStart"/>
            <w:r w:rsidRPr="00CA5FBB">
              <w:rPr>
                <w:rFonts w:eastAsia="Times New Roman"/>
                <w:b/>
                <w:color w:val="000000"/>
                <w:lang w:val="en-GB" w:eastAsia="en-GB"/>
              </w:rPr>
              <w:t>standard</w:t>
            </w:r>
            <w:proofErr w:type="gramEnd"/>
            <w:r w:rsidRPr="00CA5FBB">
              <w:rPr>
                <w:rFonts w:eastAsia="Times New Roman"/>
                <w:b/>
                <w:color w:val="000000"/>
                <w:lang w:val="en-GB" w:eastAsia="en-GB"/>
              </w:rPr>
              <w:t xml:space="preserve"> deviation mid-fusion (%)</w:t>
            </w:r>
          </w:p>
        </w:tc>
        <w:tc>
          <w:tcPr>
            <w:tcW w:w="991" w:type="dxa"/>
            <w:tcBorders>
              <w:top w:val="single" w:sz="4" w:space="0" w:color="auto"/>
              <w:bottom w:val="single" w:sz="4" w:space="0" w:color="auto"/>
            </w:tcBorders>
            <w:shd w:val="clear" w:color="auto" w:fill="auto"/>
            <w:noWrap/>
            <w:vAlign w:val="center"/>
            <w:hideMark/>
          </w:tcPr>
          <w:p w:rsidR="00D5142F" w:rsidRPr="00CA5FBB" w:rsidRDefault="00D5142F" w:rsidP="00CA5FBB">
            <w:pPr>
              <w:spacing w:before="0" w:line="240" w:lineRule="auto"/>
              <w:jc w:val="center"/>
              <w:rPr>
                <w:rFonts w:eastAsia="Times New Roman"/>
                <w:b/>
                <w:color w:val="000000"/>
                <w:lang w:val="en-GB" w:eastAsia="en-GB"/>
              </w:rPr>
            </w:pPr>
            <w:proofErr w:type="gramStart"/>
            <w:r w:rsidRPr="00CA5FBB">
              <w:rPr>
                <w:rFonts w:eastAsia="Times New Roman"/>
                <w:b/>
                <w:color w:val="000000"/>
                <w:lang w:val="en-GB" w:eastAsia="en-GB"/>
              </w:rPr>
              <w:t>mid-fusion</w:t>
            </w:r>
            <w:proofErr w:type="gramEnd"/>
            <w:r w:rsidRPr="00CA5FBB">
              <w:rPr>
                <w:rFonts w:eastAsia="Times New Roman"/>
                <w:b/>
                <w:color w:val="000000"/>
                <w:lang w:val="en-GB" w:eastAsia="en-GB"/>
              </w:rPr>
              <w:t xml:space="preserve"> range (%)</w:t>
            </w:r>
          </w:p>
        </w:tc>
      </w:tr>
      <w:tr w:rsidR="00A50295" w:rsidRPr="00147B6E" w:rsidTr="00CA5FBB">
        <w:trPr>
          <w:trHeight w:val="300"/>
          <w:jc w:val="center"/>
        </w:trPr>
        <w:tc>
          <w:tcPr>
            <w:tcW w:w="2669" w:type="dxa"/>
            <w:tcBorders>
              <w:top w:val="single" w:sz="4" w:space="0" w:color="auto"/>
            </w:tcBorders>
            <w:shd w:val="clear" w:color="auto" w:fill="auto"/>
            <w:noWrap/>
            <w:vAlign w:val="center"/>
            <w:hideMark/>
          </w:tcPr>
          <w:p w:rsidR="00A35CA0" w:rsidRDefault="00F330BA" w:rsidP="00CA5FBB">
            <w:pPr>
              <w:spacing w:before="0" w:line="240" w:lineRule="auto"/>
              <w:rPr>
                <w:rFonts w:eastAsia="Times New Roman"/>
                <w:color w:val="000000"/>
                <w:lang w:val="en-GB" w:eastAsia="en-GB"/>
              </w:rPr>
            </w:pPr>
            <w:r>
              <w:rPr>
                <w:rFonts w:eastAsia="Times New Roman"/>
                <w:color w:val="000000"/>
                <w:lang w:val="en-GB" w:eastAsia="en-GB"/>
              </w:rPr>
              <w:t>p</w:t>
            </w:r>
            <w:r w:rsidR="00A50295" w:rsidRPr="00147B6E">
              <w:rPr>
                <w:rFonts w:eastAsia="Times New Roman"/>
                <w:color w:val="000000"/>
                <w:lang w:val="en-GB" w:eastAsia="en-GB"/>
              </w:rPr>
              <w:t>roximal</w:t>
            </w:r>
            <w:r w:rsidR="00A50295">
              <w:rPr>
                <w:rFonts w:eastAsia="Times New Roman"/>
                <w:color w:val="000000"/>
                <w:lang w:val="en-GB" w:eastAsia="en-GB"/>
              </w:rPr>
              <w:t xml:space="preserve"> humerus</w:t>
            </w:r>
          </w:p>
        </w:tc>
        <w:tc>
          <w:tcPr>
            <w:tcW w:w="1121"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99.8</w:t>
            </w:r>
          </w:p>
        </w:tc>
        <w:tc>
          <w:tcPr>
            <w:tcW w:w="1418"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97-100</w:t>
            </w:r>
          </w:p>
        </w:tc>
        <w:tc>
          <w:tcPr>
            <w:tcW w:w="909"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6</w:t>
            </w:r>
          </w:p>
        </w:tc>
        <w:tc>
          <w:tcPr>
            <w:tcW w:w="1278"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103.7</w:t>
            </w:r>
          </w:p>
        </w:tc>
        <w:tc>
          <w:tcPr>
            <w:tcW w:w="1226"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4.6</w:t>
            </w:r>
          </w:p>
        </w:tc>
        <w:tc>
          <w:tcPr>
            <w:tcW w:w="991" w:type="dxa"/>
            <w:tcBorders>
              <w:top w:val="single" w:sz="4" w:space="0" w:color="auto"/>
            </w:tcBorders>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97-111</w:t>
            </w:r>
          </w:p>
        </w:tc>
      </w:tr>
      <w:tr w:rsidR="00A50295" w:rsidRPr="00147B6E" w:rsidTr="00CA5FBB">
        <w:trPr>
          <w:trHeight w:val="315"/>
          <w:jc w:val="center"/>
        </w:trPr>
        <w:tc>
          <w:tcPr>
            <w:tcW w:w="2669" w:type="dxa"/>
            <w:shd w:val="clear" w:color="auto" w:fill="auto"/>
            <w:noWrap/>
            <w:vAlign w:val="center"/>
            <w:hideMark/>
          </w:tcPr>
          <w:p w:rsidR="00A35CA0" w:rsidRDefault="00FB5ED4" w:rsidP="00CA5FBB">
            <w:pPr>
              <w:spacing w:before="0" w:line="240" w:lineRule="auto"/>
              <w:rPr>
                <w:rFonts w:eastAsia="Times New Roman"/>
                <w:color w:val="000000"/>
                <w:lang w:val="en-GB" w:eastAsia="en-GB"/>
              </w:rPr>
            </w:pPr>
            <w:r>
              <w:rPr>
                <w:rFonts w:eastAsia="Times New Roman"/>
                <w:color w:val="000000"/>
                <w:lang w:val="en-GB" w:eastAsia="en-GB"/>
              </w:rPr>
              <w:t>distal humerus</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95.9</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94-100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5</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84.4</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12.7</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70-98</w:t>
            </w:r>
          </w:p>
        </w:tc>
      </w:tr>
      <w:tr w:rsidR="00A50295" w:rsidRPr="00147B6E" w:rsidTr="00CA5FBB">
        <w:trPr>
          <w:trHeight w:val="315"/>
          <w:jc w:val="center"/>
        </w:trPr>
        <w:tc>
          <w:tcPr>
            <w:tcW w:w="2669" w:type="dxa"/>
            <w:shd w:val="clear" w:color="auto" w:fill="auto"/>
            <w:noWrap/>
            <w:vAlign w:val="center"/>
            <w:hideMark/>
          </w:tcPr>
          <w:p w:rsidR="00A35CA0" w:rsidRDefault="00327BC8" w:rsidP="00CA5FBB">
            <w:pPr>
              <w:spacing w:before="0" w:line="240" w:lineRule="auto"/>
              <w:rPr>
                <w:rFonts w:eastAsia="Times New Roman"/>
                <w:color w:val="000000"/>
                <w:lang w:val="en-GB" w:eastAsia="en-GB"/>
              </w:rPr>
            </w:pPr>
            <w:r>
              <w:rPr>
                <w:rFonts w:eastAsia="Times New Roman"/>
                <w:color w:val="000000"/>
                <w:lang w:val="en-GB" w:eastAsia="en-GB"/>
              </w:rPr>
              <w:t xml:space="preserve">humeral </w:t>
            </w:r>
            <w:r w:rsidR="00A50295" w:rsidRPr="00147B6E">
              <w:rPr>
                <w:rFonts w:eastAsia="Times New Roman"/>
                <w:color w:val="000000"/>
                <w:lang w:val="en-GB" w:eastAsia="en-GB"/>
              </w:rPr>
              <w:t>medial epicondyle</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98.5</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97-100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93.56</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5.8</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83-98</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proximal radius</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97.1</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94-100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97.7</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7.6</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88-103</w:t>
            </w:r>
          </w:p>
        </w:tc>
      </w:tr>
      <w:tr w:rsidR="00A50295" w:rsidRPr="00147B6E" w:rsidTr="00CA5FBB">
        <w:trPr>
          <w:trHeight w:val="315"/>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distal radius</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99.6</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98-100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4</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97.6</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9.7</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88-107</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proximal ulna</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95.7</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94-100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6</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94.6</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4.1</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89-97</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distal ulna</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99.9</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99-100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6</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98.1</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7.7</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89-108</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femoral head</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98-100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5</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98.1</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6.1</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89-103</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greater trochanter</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99.2</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98-100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3</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102.1</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2</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100-103</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lesser trochanter</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99.2</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98-100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4</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96.1</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6.5</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89-103</w:t>
            </w:r>
          </w:p>
        </w:tc>
      </w:tr>
      <w:tr w:rsidR="00A50295" w:rsidRPr="00147B6E" w:rsidTr="00CA5FBB">
        <w:trPr>
          <w:trHeight w:val="315"/>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distal femur</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99.8</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98-100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99.4</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3.6</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99-103</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proximal tibia</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100</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98.8</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7.3</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88-108</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distal tibia</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100</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98.8</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7.3</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88-108</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proximal fibula</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99.6</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99-100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6</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99.7</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6.6</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92-108</w:t>
            </w:r>
          </w:p>
        </w:tc>
      </w:tr>
      <w:tr w:rsidR="00A50295" w:rsidRPr="00147B6E" w:rsidTr="00CA5FBB">
        <w:trPr>
          <w:trHeight w:val="300"/>
          <w:jc w:val="center"/>
        </w:trPr>
        <w:tc>
          <w:tcPr>
            <w:tcW w:w="2669" w:type="dxa"/>
            <w:shd w:val="clear" w:color="auto" w:fill="auto"/>
            <w:noWrap/>
            <w:vAlign w:val="center"/>
            <w:hideMark/>
          </w:tcPr>
          <w:p w:rsidR="00A35CA0" w:rsidRDefault="00A50295" w:rsidP="00CA5FBB">
            <w:pPr>
              <w:spacing w:before="0" w:line="240" w:lineRule="auto"/>
              <w:rPr>
                <w:rFonts w:eastAsia="Times New Roman"/>
                <w:color w:val="000000"/>
                <w:lang w:val="en-GB" w:eastAsia="en-GB"/>
              </w:rPr>
            </w:pPr>
            <w:r w:rsidRPr="00147B6E">
              <w:rPr>
                <w:rFonts w:eastAsia="Times New Roman"/>
                <w:color w:val="000000"/>
                <w:lang w:val="en-GB" w:eastAsia="en-GB"/>
              </w:rPr>
              <w:t>distal fibula</w:t>
            </w:r>
          </w:p>
        </w:tc>
        <w:tc>
          <w:tcPr>
            <w:tcW w:w="1121" w:type="dxa"/>
            <w:shd w:val="clear" w:color="auto" w:fill="auto"/>
            <w:noWrap/>
            <w:vAlign w:val="center"/>
            <w:hideMark/>
          </w:tcPr>
          <w:p w:rsidR="00A35CA0" w:rsidRDefault="00A50295" w:rsidP="00CA5FBB">
            <w:pPr>
              <w:spacing w:before="0" w:line="240" w:lineRule="auto"/>
              <w:jc w:val="center"/>
              <w:rPr>
                <w:rFonts w:eastAsia="Times New Roman"/>
                <w:b/>
                <w:bCs/>
                <w:color w:val="000000"/>
                <w:sz w:val="24"/>
                <w:szCs w:val="24"/>
                <w:lang w:val="en-GB" w:eastAsia="en-GB"/>
              </w:rPr>
            </w:pPr>
            <w:r w:rsidRPr="00147B6E">
              <w:rPr>
                <w:rFonts w:eastAsia="Times New Roman"/>
                <w:b/>
                <w:bCs/>
                <w:color w:val="000000"/>
                <w:lang w:val="en-GB" w:eastAsia="en-GB"/>
              </w:rPr>
              <w:t>99.3</w:t>
            </w:r>
          </w:p>
        </w:tc>
        <w:tc>
          <w:tcPr>
            <w:tcW w:w="1418"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98-100</w:t>
            </w:r>
          </w:p>
        </w:tc>
        <w:tc>
          <w:tcPr>
            <w:tcW w:w="909"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8</w:t>
            </w:r>
          </w:p>
        </w:tc>
        <w:tc>
          <w:tcPr>
            <w:tcW w:w="1278" w:type="dxa"/>
            <w:shd w:val="clear" w:color="auto" w:fill="auto"/>
            <w:noWrap/>
            <w:vAlign w:val="center"/>
            <w:hideMark/>
          </w:tcPr>
          <w:p w:rsidR="00A35CA0" w:rsidRDefault="00A50295" w:rsidP="00CA5FBB">
            <w:pPr>
              <w:spacing w:before="0" w:line="240" w:lineRule="auto"/>
              <w:jc w:val="center"/>
              <w:rPr>
                <w:rFonts w:eastAsia="Times New Roman"/>
                <w:b/>
                <w:color w:val="000000"/>
                <w:sz w:val="24"/>
                <w:szCs w:val="24"/>
                <w:lang w:val="en-GB" w:eastAsia="en-GB"/>
              </w:rPr>
            </w:pPr>
            <w:r w:rsidRPr="00147B6E">
              <w:rPr>
                <w:rFonts w:eastAsia="Times New Roman"/>
                <w:b/>
                <w:color w:val="000000"/>
                <w:lang w:val="en-GB" w:eastAsia="en-GB"/>
              </w:rPr>
              <w:t>98.7</w:t>
            </w:r>
          </w:p>
        </w:tc>
        <w:tc>
          <w:tcPr>
            <w:tcW w:w="1226"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7.1</w:t>
            </w:r>
          </w:p>
        </w:tc>
        <w:tc>
          <w:tcPr>
            <w:tcW w:w="991" w:type="dxa"/>
            <w:shd w:val="clear" w:color="auto" w:fill="auto"/>
            <w:noWrap/>
            <w:vAlign w:val="center"/>
            <w:hideMark/>
          </w:tcPr>
          <w:p w:rsidR="00A35CA0" w:rsidRDefault="00A50295" w:rsidP="00CA5FBB">
            <w:pPr>
              <w:spacing w:before="0" w:line="240" w:lineRule="auto"/>
              <w:jc w:val="center"/>
              <w:rPr>
                <w:rFonts w:eastAsia="Times New Roman"/>
                <w:color w:val="000000"/>
                <w:sz w:val="24"/>
                <w:szCs w:val="24"/>
                <w:lang w:val="en-GB" w:eastAsia="en-GB"/>
              </w:rPr>
            </w:pPr>
            <w:r w:rsidRPr="00147B6E">
              <w:rPr>
                <w:rFonts w:eastAsia="Times New Roman"/>
                <w:color w:val="000000"/>
                <w:lang w:val="en-GB" w:eastAsia="en-GB"/>
              </w:rPr>
              <w:t>92-108</w:t>
            </w:r>
          </w:p>
        </w:tc>
      </w:tr>
    </w:tbl>
    <w:p w:rsidR="004D2A84" w:rsidRDefault="004D2A84" w:rsidP="00CA0F4C">
      <w:pPr>
        <w:pStyle w:val="ListParagraph"/>
        <w:numPr>
          <w:ilvl w:val="0"/>
          <w:numId w:val="28"/>
        </w:numPr>
        <w:tabs>
          <w:tab w:val="left" w:pos="-284"/>
        </w:tabs>
        <w:spacing w:before="120" w:line="240" w:lineRule="auto"/>
        <w:ind w:left="431" w:hanging="442"/>
        <w:rPr>
          <w:noProof/>
          <w:color w:val="000000" w:themeColor="text1"/>
          <w:sz w:val="20"/>
          <w:szCs w:val="20"/>
        </w:rPr>
      </w:pPr>
      <w:r w:rsidRPr="00711262">
        <w:rPr>
          <w:noProof/>
          <w:color w:val="000000" w:themeColor="text1"/>
          <w:sz w:val="20"/>
          <w:szCs w:val="20"/>
        </w:rPr>
        <w:t>Data for human length is from Maresh (1970)</w:t>
      </w:r>
    </w:p>
    <w:p w:rsidR="00810CBE" w:rsidRPr="00B454A3" w:rsidRDefault="004D2A84" w:rsidP="003F080A">
      <w:pPr>
        <w:pStyle w:val="ListParagraph"/>
        <w:numPr>
          <w:ilvl w:val="0"/>
          <w:numId w:val="28"/>
        </w:numPr>
        <w:tabs>
          <w:tab w:val="left" w:pos="-284"/>
        </w:tabs>
        <w:spacing w:line="240" w:lineRule="auto"/>
        <w:ind w:left="426" w:hanging="440"/>
        <w:rPr>
          <w:noProof/>
          <w:color w:val="000000" w:themeColor="text1"/>
          <w:sz w:val="20"/>
          <w:szCs w:val="20"/>
        </w:rPr>
      </w:pPr>
      <w:r>
        <w:rPr>
          <w:noProof/>
          <w:color w:val="000000" w:themeColor="text1"/>
          <w:sz w:val="20"/>
          <w:szCs w:val="20"/>
        </w:rPr>
        <w:t>Data for human males from Schaefer (2008)</w:t>
      </w:r>
    </w:p>
    <w:p w:rsidR="00A35CA0" w:rsidRDefault="00A40990" w:rsidP="00CA5FBB">
      <w:pPr>
        <w:rPr>
          <w:noProof/>
        </w:rPr>
      </w:pPr>
      <w:r>
        <w:rPr>
          <w:noProof/>
        </w:rPr>
        <w:t>R</w:t>
      </w:r>
      <w:r w:rsidR="00D60DE7">
        <w:rPr>
          <w:noProof/>
        </w:rPr>
        <w:t xml:space="preserve">anges of fusion as a proportion of length </w:t>
      </w:r>
      <w:r>
        <w:rPr>
          <w:noProof/>
        </w:rPr>
        <w:t xml:space="preserve">in both chimpanzees and humans largely </w:t>
      </w:r>
      <w:r w:rsidR="00D60DE7">
        <w:rPr>
          <w:noProof/>
        </w:rPr>
        <w:t>overlap</w:t>
      </w:r>
      <w:r w:rsidR="00395B74">
        <w:rPr>
          <w:noProof/>
        </w:rPr>
        <w:t>.  The range</w:t>
      </w:r>
      <w:r w:rsidR="00A50295" w:rsidRPr="00315011">
        <w:rPr>
          <w:noProof/>
        </w:rPr>
        <w:t xml:space="preserve"> of </w:t>
      </w:r>
      <w:r w:rsidR="00A50295">
        <w:rPr>
          <w:noProof/>
        </w:rPr>
        <w:t xml:space="preserve">variation in </w:t>
      </w:r>
      <w:r w:rsidR="00A50295" w:rsidRPr="00315011">
        <w:rPr>
          <w:noProof/>
        </w:rPr>
        <w:t xml:space="preserve">fusion </w:t>
      </w:r>
      <w:r w:rsidR="00A50295">
        <w:rPr>
          <w:noProof/>
        </w:rPr>
        <w:t xml:space="preserve">as a percentage of length for </w:t>
      </w:r>
      <w:r>
        <w:rPr>
          <w:noProof/>
        </w:rPr>
        <w:t>chimpanzees wa</w:t>
      </w:r>
      <w:r w:rsidR="00A50295" w:rsidRPr="00315011">
        <w:rPr>
          <w:noProof/>
        </w:rPr>
        <w:t>s greater</w:t>
      </w:r>
      <w:r w:rsidR="00A50295">
        <w:rPr>
          <w:noProof/>
        </w:rPr>
        <w:t xml:space="preserve"> than </w:t>
      </w:r>
      <w:r w:rsidR="00395B74">
        <w:rPr>
          <w:noProof/>
        </w:rPr>
        <w:t xml:space="preserve">it </w:t>
      </w:r>
      <w:r>
        <w:rPr>
          <w:noProof/>
        </w:rPr>
        <w:t>wa</w:t>
      </w:r>
      <w:r w:rsidR="00395B74">
        <w:rPr>
          <w:noProof/>
        </w:rPr>
        <w:t>s</w:t>
      </w:r>
      <w:r w:rsidR="00A50295">
        <w:rPr>
          <w:noProof/>
        </w:rPr>
        <w:t xml:space="preserve"> for humans.  This </w:t>
      </w:r>
      <w:r w:rsidR="00783A12">
        <w:rPr>
          <w:noProof/>
        </w:rPr>
        <w:t xml:space="preserve">was </w:t>
      </w:r>
      <w:r w:rsidR="00A50295">
        <w:rPr>
          <w:noProof/>
        </w:rPr>
        <w:t>likely</w:t>
      </w:r>
      <w:r w:rsidR="00A50295" w:rsidRPr="00315011">
        <w:rPr>
          <w:noProof/>
        </w:rPr>
        <w:t xml:space="preserve"> due to the nature of</w:t>
      </w:r>
      <w:r w:rsidR="00A50295">
        <w:rPr>
          <w:noProof/>
        </w:rPr>
        <w:t xml:space="preserve"> smaller-sample cross-sectional data</w:t>
      </w:r>
      <w:r w:rsidR="00A50295" w:rsidRPr="00315011">
        <w:rPr>
          <w:noProof/>
        </w:rPr>
        <w:t>.</w:t>
      </w:r>
      <w:r w:rsidR="00A50295">
        <w:rPr>
          <w:noProof/>
        </w:rPr>
        <w:t xml:space="preserve">  Despite this, the patterns </w:t>
      </w:r>
      <w:r w:rsidR="00783A12">
        <w:rPr>
          <w:noProof/>
        </w:rPr>
        <w:t>we</w:t>
      </w:r>
      <w:r w:rsidR="00A50295">
        <w:rPr>
          <w:noProof/>
        </w:rPr>
        <w:t>re essentially the same.</w:t>
      </w:r>
      <w:r>
        <w:rPr>
          <w:noProof/>
        </w:rPr>
        <w:t xml:space="preserve">  The only exceptions </w:t>
      </w:r>
      <w:r w:rsidR="00A50295" w:rsidRPr="00315011">
        <w:rPr>
          <w:noProof/>
        </w:rPr>
        <w:t>may</w:t>
      </w:r>
      <w:r w:rsidR="00783A12">
        <w:rPr>
          <w:noProof/>
        </w:rPr>
        <w:t xml:space="preserve"> have been </w:t>
      </w:r>
      <w:r w:rsidR="00A50295" w:rsidRPr="00315011">
        <w:rPr>
          <w:noProof/>
        </w:rPr>
        <w:t xml:space="preserve">the </w:t>
      </w:r>
      <w:r w:rsidR="00FB5ED4">
        <w:rPr>
          <w:rFonts w:eastAsia="Times New Roman"/>
          <w:color w:val="000000"/>
          <w:lang w:val="en-GB" w:eastAsia="en-GB"/>
        </w:rPr>
        <w:t>distal humerus</w:t>
      </w:r>
      <w:r w:rsidR="00FB5ED4" w:rsidRPr="00315011">
        <w:rPr>
          <w:noProof/>
        </w:rPr>
        <w:t xml:space="preserve"> </w:t>
      </w:r>
      <w:r w:rsidR="00A50295" w:rsidRPr="00315011">
        <w:rPr>
          <w:noProof/>
        </w:rPr>
        <w:t>and</w:t>
      </w:r>
      <w:r w:rsidR="00327BC8">
        <w:rPr>
          <w:noProof/>
        </w:rPr>
        <w:t xml:space="preserve"> </w:t>
      </w:r>
      <w:r w:rsidR="00327BC8">
        <w:rPr>
          <w:rFonts w:eastAsia="Times New Roman"/>
          <w:color w:val="000000"/>
          <w:lang w:val="en-GB" w:eastAsia="en-GB"/>
        </w:rPr>
        <w:t>humeral</w:t>
      </w:r>
      <w:r w:rsidR="00A50295" w:rsidRPr="00315011">
        <w:rPr>
          <w:noProof/>
        </w:rPr>
        <w:t xml:space="preserve"> medial epicondyle</w:t>
      </w:r>
      <w:r w:rsidR="00783A12">
        <w:rPr>
          <w:noProof/>
        </w:rPr>
        <w:t>,</w:t>
      </w:r>
      <w:r w:rsidR="00A50295">
        <w:rPr>
          <w:noProof/>
        </w:rPr>
        <w:t xml:space="preserve"> although</w:t>
      </w:r>
      <w:r w:rsidR="00A50295" w:rsidRPr="00315011">
        <w:rPr>
          <w:noProof/>
        </w:rPr>
        <w:t xml:space="preserve"> these ranges still largely overlap</w:t>
      </w:r>
      <w:r w:rsidR="00783A12">
        <w:rPr>
          <w:noProof/>
        </w:rPr>
        <w:t>ped</w:t>
      </w:r>
      <w:r w:rsidR="00A50295" w:rsidRPr="00315011">
        <w:rPr>
          <w:noProof/>
        </w:rPr>
        <w:t>.  It would be des</w:t>
      </w:r>
      <w:r w:rsidR="00783A12">
        <w:rPr>
          <w:noProof/>
        </w:rPr>
        <w:t xml:space="preserve">ireable to see if </w:t>
      </w:r>
      <w:r w:rsidR="00CB3EF7">
        <w:rPr>
          <w:noProof/>
        </w:rPr>
        <w:t>the</w:t>
      </w:r>
      <w:r w:rsidR="00783A12">
        <w:rPr>
          <w:noProof/>
        </w:rPr>
        <w:t xml:space="preserve"> </w:t>
      </w:r>
      <w:r w:rsidR="00CB3EF7">
        <w:rPr>
          <w:noProof/>
        </w:rPr>
        <w:t>values for these ranges could be</w:t>
      </w:r>
      <w:r w:rsidR="000D19B0">
        <w:rPr>
          <w:noProof/>
        </w:rPr>
        <w:t xml:space="preserve"> put</w:t>
      </w:r>
      <w:r w:rsidR="00CB3EF7">
        <w:rPr>
          <w:noProof/>
        </w:rPr>
        <w:t xml:space="preserve"> to a test for significance</w:t>
      </w:r>
      <w:r w:rsidR="00A50295" w:rsidRPr="00315011">
        <w:rPr>
          <w:noProof/>
        </w:rPr>
        <w:t xml:space="preserve">.  </w:t>
      </w:r>
      <w:r w:rsidR="00A50295">
        <w:rPr>
          <w:noProof/>
        </w:rPr>
        <w:t xml:space="preserve">However, </w:t>
      </w:r>
      <w:r w:rsidR="00783A12">
        <w:rPr>
          <w:noProof/>
        </w:rPr>
        <w:t>there wa</w:t>
      </w:r>
      <w:r w:rsidR="007032FE">
        <w:rPr>
          <w:noProof/>
        </w:rPr>
        <w:t>s no</w:t>
      </w:r>
      <w:r w:rsidR="00A50295">
        <w:rPr>
          <w:noProof/>
        </w:rPr>
        <w:t xml:space="preserve"> equivalent data f</w:t>
      </w:r>
      <w:r w:rsidR="00783A12">
        <w:rPr>
          <w:noProof/>
        </w:rPr>
        <w:t>or</w:t>
      </w:r>
      <w:r w:rsidR="00A50295">
        <w:rPr>
          <w:noProof/>
        </w:rPr>
        <w:t xml:space="preserve"> humans as </w:t>
      </w:r>
      <w:r w:rsidR="007032FE">
        <w:rPr>
          <w:noProof/>
        </w:rPr>
        <w:t xml:space="preserve">exists for </w:t>
      </w:r>
      <w:r w:rsidR="00A50295">
        <w:rPr>
          <w:noProof/>
        </w:rPr>
        <w:t xml:space="preserve">chimpanzees.  </w:t>
      </w:r>
      <w:r w:rsidR="00A50295" w:rsidRPr="00315011">
        <w:rPr>
          <w:noProof/>
        </w:rPr>
        <w:t>Coqeuegnoit and Weaver (2007)</w:t>
      </w:r>
      <w:r w:rsidR="00A50295">
        <w:rPr>
          <w:noProof/>
        </w:rPr>
        <w:t xml:space="preserve"> only provide</w:t>
      </w:r>
      <w:r w:rsidR="00783A12">
        <w:rPr>
          <w:noProof/>
        </w:rPr>
        <w:t>d</w:t>
      </w:r>
      <w:r w:rsidR="00A50295">
        <w:rPr>
          <w:noProof/>
        </w:rPr>
        <w:t xml:space="preserve"> ranges of fusion </w:t>
      </w:r>
      <w:r w:rsidR="00721325">
        <w:rPr>
          <w:noProof/>
        </w:rPr>
        <w:t>times as opposed to</w:t>
      </w:r>
      <w:r w:rsidR="00A50295">
        <w:rPr>
          <w:noProof/>
        </w:rPr>
        <w:t xml:space="preserve"> raw data.  Schaefer (2008) provided number</w:t>
      </w:r>
      <w:r w:rsidR="00783A12">
        <w:rPr>
          <w:noProof/>
        </w:rPr>
        <w:t>s for each age category, which w</w:t>
      </w:r>
      <w:r>
        <w:rPr>
          <w:noProof/>
        </w:rPr>
        <w:t>ere</w:t>
      </w:r>
      <w:r w:rsidR="00A50295">
        <w:rPr>
          <w:noProof/>
        </w:rPr>
        <w:t xml:space="preserve"> sufficient for establishment of central tendency but these data </w:t>
      </w:r>
      <w:r w:rsidR="00B60A29">
        <w:rPr>
          <w:noProof/>
        </w:rPr>
        <w:t>provide</w:t>
      </w:r>
      <w:r w:rsidR="00783A12">
        <w:rPr>
          <w:noProof/>
        </w:rPr>
        <w:t>d</w:t>
      </w:r>
      <w:r w:rsidR="00B60A29">
        <w:rPr>
          <w:noProof/>
        </w:rPr>
        <w:t xml:space="preserve"> very skewed distributions</w:t>
      </w:r>
      <w:r w:rsidR="00A50295">
        <w:rPr>
          <w:noProof/>
        </w:rPr>
        <w:t xml:space="preserve">.  Other studies of humans provide the same type of data as the aforementioned studies.  </w:t>
      </w:r>
      <w:r w:rsidR="0095749A">
        <w:rPr>
          <w:noProof/>
        </w:rPr>
        <w:t>Future study including comparable human data may resolve these limitations</w:t>
      </w:r>
      <w:r w:rsidR="00783A12">
        <w:rPr>
          <w:noProof/>
        </w:rPr>
        <w:t xml:space="preserve"> in the future</w:t>
      </w:r>
      <w:r w:rsidR="0095749A">
        <w:rPr>
          <w:noProof/>
        </w:rPr>
        <w:t xml:space="preserve">.  At </w:t>
      </w:r>
      <w:r w:rsidR="006A03CB">
        <w:rPr>
          <w:noProof/>
        </w:rPr>
        <w:t>present</w:t>
      </w:r>
      <w:r w:rsidR="0095749A">
        <w:rPr>
          <w:noProof/>
        </w:rPr>
        <w:t xml:space="preserve"> it is assumed </w:t>
      </w:r>
      <w:r w:rsidR="00A50295">
        <w:rPr>
          <w:noProof/>
        </w:rPr>
        <w:t>that the pattern of fusion relative to growth in length is effectively the same between the two species.</w:t>
      </w:r>
    </w:p>
    <w:p w:rsidR="000A10F1" w:rsidRDefault="000A10F1">
      <w:pPr>
        <w:spacing w:before="0" w:after="200" w:line="276" w:lineRule="auto"/>
        <w:jc w:val="left"/>
        <w:rPr>
          <w:noProof/>
          <w:color w:val="000000" w:themeColor="text1"/>
          <w:u w:val="single"/>
        </w:rPr>
      </w:pPr>
      <w:r>
        <w:rPr>
          <w:noProof/>
          <w:color w:val="000000" w:themeColor="text1"/>
          <w:u w:val="single"/>
        </w:rPr>
        <w:br w:type="page"/>
      </w:r>
    </w:p>
    <w:p w:rsidR="00A50295" w:rsidRDefault="008943E4" w:rsidP="00A50295">
      <w:pPr>
        <w:tabs>
          <w:tab w:val="left" w:pos="360"/>
        </w:tabs>
        <w:spacing w:line="240" w:lineRule="auto"/>
        <w:rPr>
          <w:noProof/>
          <w:color w:val="000000" w:themeColor="text1"/>
        </w:rPr>
      </w:pPr>
      <w:r w:rsidRPr="00CA5FBB">
        <w:rPr>
          <w:noProof/>
          <w:color w:val="000000" w:themeColor="text1"/>
          <w:u w:val="single"/>
        </w:rPr>
        <w:lastRenderedPageBreak/>
        <w:t>Bonobos</w:t>
      </w:r>
    </w:p>
    <w:p w:rsidR="00A35CA0" w:rsidRDefault="00A50295" w:rsidP="00CA5FBB">
      <w:pPr>
        <w:rPr>
          <w:noProof/>
        </w:rPr>
      </w:pPr>
      <w:r>
        <w:rPr>
          <w:noProof/>
        </w:rPr>
        <w:t xml:space="preserve">The number of available bone lengths from </w:t>
      </w:r>
      <w:r>
        <w:rPr>
          <w:i/>
          <w:noProof/>
        </w:rPr>
        <w:t xml:space="preserve">Pan </w:t>
      </w:r>
      <w:r w:rsidRPr="009836D4">
        <w:rPr>
          <w:i/>
          <w:noProof/>
        </w:rPr>
        <w:t>paniscus</w:t>
      </w:r>
      <w:r>
        <w:rPr>
          <w:noProof/>
        </w:rPr>
        <w:t xml:space="preserve"> were too few to be able to calculate terminal adult length with </w:t>
      </w:r>
      <w:r w:rsidR="00D92AD0">
        <w:rPr>
          <w:noProof/>
        </w:rPr>
        <w:t xml:space="preserve">any </w:t>
      </w:r>
      <w:r>
        <w:rPr>
          <w:noProof/>
        </w:rPr>
        <w:t xml:space="preserve">confidence.  Epiphyseal fusion values were likewise too </w:t>
      </w:r>
      <w:r w:rsidR="00614D40">
        <w:rPr>
          <w:noProof/>
        </w:rPr>
        <w:t xml:space="preserve">few to provide reliable data.  </w:t>
      </w:r>
      <w:r w:rsidR="00E753E6">
        <w:rPr>
          <w:noProof/>
        </w:rPr>
        <w:t>Given these limitations</w:t>
      </w:r>
      <w:r w:rsidR="00614D40">
        <w:rPr>
          <w:noProof/>
        </w:rPr>
        <w:t xml:space="preserve"> i</w:t>
      </w:r>
      <w:r>
        <w:rPr>
          <w:noProof/>
        </w:rPr>
        <w:t xml:space="preserve">t would not be </w:t>
      </w:r>
      <w:r w:rsidR="00B80738">
        <w:rPr>
          <w:noProof/>
        </w:rPr>
        <w:t xml:space="preserve">appropriate </w:t>
      </w:r>
      <w:r>
        <w:rPr>
          <w:noProof/>
        </w:rPr>
        <w:t>to attempt the same procedure here for this species.</w:t>
      </w:r>
    </w:p>
    <w:p w:rsidR="00A35CA0" w:rsidRDefault="00932F41" w:rsidP="00CA5FBB">
      <w:pPr>
        <w:pStyle w:val="Heading2"/>
      </w:pPr>
      <w:bookmarkStart w:id="2619" w:name="_Toc372916592"/>
      <w:bookmarkStart w:id="2620" w:name="_Toc372916846"/>
      <w:bookmarkStart w:id="2621" w:name="_Toc372917067"/>
      <w:bookmarkStart w:id="2622" w:name="_Toc372917283"/>
      <w:bookmarkStart w:id="2623" w:name="_Toc372917497"/>
      <w:bookmarkStart w:id="2624" w:name="_Toc372917707"/>
      <w:bookmarkStart w:id="2625" w:name="_Toc372917916"/>
      <w:bookmarkStart w:id="2626" w:name="_Toc372918125"/>
      <w:bookmarkStart w:id="2627" w:name="_Toc372918334"/>
      <w:bookmarkStart w:id="2628" w:name="_Toc372918537"/>
      <w:bookmarkStart w:id="2629" w:name="_Toc372918739"/>
      <w:bookmarkStart w:id="2630" w:name="_Toc372918944"/>
      <w:bookmarkStart w:id="2631" w:name="_Toc372919350"/>
      <w:bookmarkStart w:id="2632" w:name="_Toc372919644"/>
      <w:bookmarkStart w:id="2633" w:name="_Toc372919841"/>
      <w:bookmarkStart w:id="2634" w:name="_Toc372920038"/>
      <w:bookmarkStart w:id="2635" w:name="_Toc372920235"/>
      <w:bookmarkStart w:id="2636" w:name="_Toc372920433"/>
      <w:bookmarkStart w:id="2637" w:name="_Toc372920630"/>
      <w:bookmarkStart w:id="2638" w:name="_Toc372920826"/>
      <w:bookmarkStart w:id="2639" w:name="_Toc372921022"/>
      <w:bookmarkStart w:id="2640" w:name="_Toc372921218"/>
      <w:bookmarkStart w:id="2641" w:name="_Toc372921414"/>
      <w:bookmarkStart w:id="2642" w:name="_Toc372921616"/>
      <w:bookmarkStart w:id="2643" w:name="_Toc372921812"/>
      <w:bookmarkStart w:id="2644" w:name="_Toc372922008"/>
      <w:bookmarkStart w:id="2645" w:name="_Toc372928288"/>
      <w:bookmarkStart w:id="2646" w:name="_Toc372928592"/>
      <w:bookmarkStart w:id="2647" w:name="_Toc372928788"/>
      <w:bookmarkStart w:id="2648" w:name="_Toc372981791"/>
      <w:bookmarkStart w:id="2649" w:name="_Toc373072018"/>
      <w:bookmarkStart w:id="2650" w:name="_Toc373147335"/>
      <w:bookmarkStart w:id="2651" w:name="_Toc373477871"/>
      <w:bookmarkStart w:id="2652" w:name="_Toc373480869"/>
      <w:bookmarkStart w:id="2653" w:name="_Toc373477872"/>
      <w:bookmarkStart w:id="2654" w:name="_Toc373480870"/>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r w:rsidRPr="00932F41">
        <w:t xml:space="preserve">Summary of comparisons </w:t>
      </w:r>
      <w:r w:rsidRPr="0016178A">
        <w:t xml:space="preserve">of growth standards between </w:t>
      </w:r>
      <w:r w:rsidRPr="00D24E95">
        <w:t>Pan</w:t>
      </w:r>
      <w:r w:rsidRPr="0016178A">
        <w:t xml:space="preserve"> and </w:t>
      </w:r>
      <w:r w:rsidR="00D24E95" w:rsidRPr="00D24E95">
        <w:t>Homo</w:t>
      </w:r>
      <w:bookmarkEnd w:id="2653"/>
      <w:bookmarkEnd w:id="2654"/>
    </w:p>
    <w:p w:rsidR="00A35CA0" w:rsidRDefault="00A50295" w:rsidP="00CA5FBB">
      <w:pPr>
        <w:rPr>
          <w:noProof/>
          <w:color w:val="000000" w:themeColor="text1"/>
        </w:rPr>
      </w:pPr>
      <w:bookmarkStart w:id="2655" w:name="_Toc372918741"/>
      <w:bookmarkStart w:id="2656" w:name="_Toc372918946"/>
      <w:bookmarkStart w:id="2657" w:name="_Toc372918742"/>
      <w:bookmarkStart w:id="2658" w:name="_Toc372918947"/>
      <w:bookmarkEnd w:id="2655"/>
      <w:bookmarkEnd w:id="2656"/>
      <w:bookmarkEnd w:id="2657"/>
      <w:bookmarkEnd w:id="2658"/>
      <w:r>
        <w:rPr>
          <w:noProof/>
        </w:rPr>
        <w:t>The modular sequence of epiphyseal fusion events</w:t>
      </w:r>
      <w:r w:rsidR="00E753E6">
        <w:rPr>
          <w:noProof/>
        </w:rPr>
        <w:t xml:space="preserve"> determined for chimpanzees</w:t>
      </w:r>
      <w:r>
        <w:rPr>
          <w:noProof/>
        </w:rPr>
        <w:t xml:space="preserve"> was compared to </w:t>
      </w:r>
      <w:r w:rsidR="00E30AE1">
        <w:rPr>
          <w:noProof/>
        </w:rPr>
        <w:t xml:space="preserve">the human sequence determined by </w:t>
      </w:r>
      <w:r>
        <w:rPr>
          <w:noProof/>
        </w:rPr>
        <w:t xml:space="preserve">Schaefer and Black (2007).  </w:t>
      </w:r>
      <w:r w:rsidR="008E06DA">
        <w:rPr>
          <w:noProof/>
        </w:rPr>
        <w:t xml:space="preserve">Sequence determined by mean epiphyseal fusion value was also compared to </w:t>
      </w:r>
      <w:r w:rsidR="00474AF0">
        <w:rPr>
          <w:noProof/>
        </w:rPr>
        <w:t>this study</w:t>
      </w:r>
      <w:r w:rsidR="008E06DA">
        <w:rPr>
          <w:noProof/>
        </w:rPr>
        <w:t xml:space="preserve">.  </w:t>
      </w:r>
      <w:r w:rsidR="00474AF0">
        <w:rPr>
          <w:noProof/>
        </w:rPr>
        <w:t xml:space="preserve">Post-hoc Bonferroni tests were used to compare chimpanzee mean epiphyseal fusion value sequence to humans.  </w:t>
      </w:r>
      <w:r>
        <w:rPr>
          <w:noProof/>
        </w:rPr>
        <w:t xml:space="preserve">It was found that sequences derived from </w:t>
      </w:r>
      <w:r w:rsidR="00085BAC">
        <w:rPr>
          <w:noProof/>
        </w:rPr>
        <w:t xml:space="preserve">this method </w:t>
      </w:r>
      <w:r>
        <w:rPr>
          <w:noProof/>
        </w:rPr>
        <w:t xml:space="preserve">varied for each epiphysis but no statistically significant differences in sequence order were </w:t>
      </w:r>
      <w:r w:rsidR="007F4CD1">
        <w:rPr>
          <w:noProof/>
        </w:rPr>
        <w:t>discernable</w:t>
      </w:r>
      <w:r>
        <w:rPr>
          <w:noProof/>
        </w:rPr>
        <w:t>.</w:t>
      </w:r>
    </w:p>
    <w:p w:rsidR="00A35CA0" w:rsidRDefault="008E3F72" w:rsidP="00CA5FBB">
      <w:pPr>
        <w:rPr>
          <w:noProof/>
        </w:rPr>
      </w:pPr>
      <w:r>
        <w:rPr>
          <w:noProof/>
        </w:rPr>
        <w:t>Furthering sequence comparisons</w:t>
      </w:r>
      <w:r w:rsidR="00A50295">
        <w:rPr>
          <w:noProof/>
        </w:rPr>
        <w:t xml:space="preserve"> a comparison of dental maturity to epiphyseal fusion was attempted using </w:t>
      </w:r>
      <w:r w:rsidR="007575C7">
        <w:rPr>
          <w:noProof/>
        </w:rPr>
        <w:t xml:space="preserve">estimated </w:t>
      </w:r>
      <w:r w:rsidR="00A50295">
        <w:rPr>
          <w:noProof/>
        </w:rPr>
        <w:t xml:space="preserve">chronological age </w:t>
      </w:r>
      <w:r w:rsidR="00D253FA">
        <w:rPr>
          <w:noProof/>
        </w:rPr>
        <w:t xml:space="preserve">for complete mineralization of the third molar and first adult tooth </w:t>
      </w:r>
      <w:r w:rsidR="00A50295">
        <w:rPr>
          <w:noProof/>
        </w:rPr>
        <w:t>as a reference.  It was shown that ch</w:t>
      </w:r>
      <w:r w:rsidR="003D3285">
        <w:rPr>
          <w:noProof/>
        </w:rPr>
        <w:t xml:space="preserve">impanzees and humans both intiate fusion of </w:t>
      </w:r>
      <w:r w:rsidR="00D963B1">
        <w:rPr>
          <w:noProof/>
        </w:rPr>
        <w:t>a small number of</w:t>
      </w:r>
      <w:r w:rsidR="003D3285">
        <w:rPr>
          <w:noProof/>
        </w:rPr>
        <w:t xml:space="preserve"> epiphyses prior to the complete mineralization of the first adult tooth. </w:t>
      </w:r>
      <w:r w:rsidR="00FC70FA">
        <w:rPr>
          <w:noProof/>
        </w:rPr>
        <w:t xml:space="preserve">Chimpanzees continue skeletal maturation for a greater number of epiphyses beyond dental maturity than </w:t>
      </w:r>
      <w:r>
        <w:rPr>
          <w:noProof/>
        </w:rPr>
        <w:t xml:space="preserve">do </w:t>
      </w:r>
      <w:r w:rsidR="00FC70FA">
        <w:rPr>
          <w:noProof/>
        </w:rPr>
        <w:t>humans.</w:t>
      </w:r>
      <w:r w:rsidR="003D3285">
        <w:rPr>
          <w:noProof/>
        </w:rPr>
        <w:t xml:space="preserve"> </w:t>
      </w:r>
      <w:r w:rsidR="00B75D84">
        <w:rPr>
          <w:noProof/>
        </w:rPr>
        <w:t xml:space="preserve"> </w:t>
      </w:r>
      <w:r w:rsidR="00E81E6C">
        <w:rPr>
          <w:noProof/>
        </w:rPr>
        <w:t>Stated another way, h</w:t>
      </w:r>
      <w:r w:rsidR="00A50295">
        <w:rPr>
          <w:noProof/>
        </w:rPr>
        <w:t xml:space="preserve">uman third molar </w:t>
      </w:r>
      <w:r w:rsidR="00736610">
        <w:rPr>
          <w:noProof/>
        </w:rPr>
        <w:t xml:space="preserve">maturity </w:t>
      </w:r>
      <w:r w:rsidR="00A50295">
        <w:rPr>
          <w:noProof/>
        </w:rPr>
        <w:t>extend</w:t>
      </w:r>
      <w:r w:rsidR="00736610">
        <w:rPr>
          <w:noProof/>
        </w:rPr>
        <w:t>s</w:t>
      </w:r>
      <w:r w:rsidR="00A50295">
        <w:rPr>
          <w:noProof/>
        </w:rPr>
        <w:t xml:space="preserve"> further into </w:t>
      </w:r>
      <w:r w:rsidR="00736610">
        <w:rPr>
          <w:noProof/>
        </w:rPr>
        <w:t xml:space="preserve">skeletal </w:t>
      </w:r>
      <w:r w:rsidR="00A50295">
        <w:rPr>
          <w:noProof/>
        </w:rPr>
        <w:t>development</w:t>
      </w:r>
      <w:r w:rsidR="00E81E6C">
        <w:rPr>
          <w:noProof/>
        </w:rPr>
        <w:t xml:space="preserve"> than it does for chimpanzees</w:t>
      </w:r>
      <w:r w:rsidR="00A50295">
        <w:rPr>
          <w:noProof/>
        </w:rPr>
        <w:t>.</w:t>
      </w:r>
    </w:p>
    <w:p w:rsidR="00E74243" w:rsidRDefault="00BB3588" w:rsidP="00035E40">
      <w:r>
        <w:t>F</w:t>
      </w:r>
      <w:r w:rsidR="00A50295">
        <w:t xml:space="preserve">usion events have never been considered in the </w:t>
      </w:r>
      <w:r>
        <w:t>context of long-bone growth as no studies previously have both types of data simultaneously.  With dental score a problematic frame of reference for comparison between species, f</w:t>
      </w:r>
      <w:r w:rsidR="00A50295">
        <w:t>usion events as a proportion of growth in length were analysed</w:t>
      </w:r>
      <w:r>
        <w:t>.  This was done only</w:t>
      </w:r>
      <w:r w:rsidR="00A50295">
        <w:t xml:space="preserve"> for </w:t>
      </w:r>
      <w:r w:rsidR="00A50295">
        <w:rPr>
          <w:i/>
        </w:rPr>
        <w:t xml:space="preserve">Pan </w:t>
      </w:r>
      <w:proofErr w:type="gramStart"/>
      <w:r w:rsidR="00A50295" w:rsidRPr="00DF4C39">
        <w:rPr>
          <w:i/>
        </w:rPr>
        <w:t>troglodytes</w:t>
      </w:r>
      <w:proofErr w:type="gramEnd"/>
      <w:r w:rsidR="00895EA9">
        <w:t xml:space="preserve"> due to sample limitations for </w:t>
      </w:r>
      <w:r w:rsidR="00895EA9">
        <w:rPr>
          <w:i/>
        </w:rPr>
        <w:t>Pan paniscus</w:t>
      </w:r>
      <w:r w:rsidR="00A50295">
        <w:t>.  It was found that there w</w:t>
      </w:r>
      <w:r w:rsidR="00E1353F">
        <w:t xml:space="preserve">ere </w:t>
      </w:r>
      <w:r w:rsidR="00A50295">
        <w:t>no difference</w:t>
      </w:r>
      <w:r w:rsidR="00113E37">
        <w:t>s</w:t>
      </w:r>
      <w:r w:rsidR="00A50295">
        <w:t xml:space="preserve"> </w:t>
      </w:r>
      <w:r>
        <w:t>between chimpanzees and humans</w:t>
      </w:r>
      <w:r w:rsidR="00A50295">
        <w:t>.</w:t>
      </w:r>
    </w:p>
    <w:p w:rsidR="004D2A84" w:rsidRDefault="004D2A84">
      <w:pPr>
        <w:spacing w:before="0" w:after="200" w:line="276" w:lineRule="auto"/>
        <w:jc w:val="left"/>
        <w:rPr>
          <w:noProof/>
          <w:color w:val="000000" w:themeColor="text1"/>
        </w:rPr>
      </w:pPr>
      <w:r>
        <w:rPr>
          <w:noProof/>
          <w:color w:val="000000" w:themeColor="text1"/>
        </w:rPr>
        <w:br w:type="page"/>
      </w:r>
    </w:p>
    <w:p w:rsidR="00A35CA0" w:rsidRPr="00CA5FBB" w:rsidRDefault="008943E4" w:rsidP="00CA5FBB">
      <w:pPr>
        <w:pStyle w:val="Heading1"/>
        <w:rPr>
          <w:b w:val="0"/>
          <w:noProof/>
        </w:rPr>
      </w:pPr>
      <w:bookmarkStart w:id="2659" w:name="_Toc372916594"/>
      <w:bookmarkStart w:id="2660" w:name="_Toc372916848"/>
      <w:bookmarkStart w:id="2661" w:name="_Toc372917069"/>
      <w:bookmarkStart w:id="2662" w:name="_Toc372917285"/>
      <w:bookmarkStart w:id="2663" w:name="_Toc372917499"/>
      <w:bookmarkStart w:id="2664" w:name="_Toc372917709"/>
      <w:bookmarkStart w:id="2665" w:name="_Toc372917918"/>
      <w:bookmarkStart w:id="2666" w:name="_Toc372918127"/>
      <w:bookmarkStart w:id="2667" w:name="_Toc372918336"/>
      <w:bookmarkStart w:id="2668" w:name="_Toc372918539"/>
      <w:bookmarkStart w:id="2669" w:name="_Toc372918744"/>
      <w:bookmarkStart w:id="2670" w:name="_Toc372918949"/>
      <w:bookmarkStart w:id="2671" w:name="_Toc372919150"/>
      <w:bookmarkStart w:id="2672" w:name="_Toc372919352"/>
      <w:bookmarkStart w:id="2673" w:name="_Toc372919646"/>
      <w:bookmarkStart w:id="2674" w:name="_Toc372919843"/>
      <w:bookmarkStart w:id="2675" w:name="_Toc372920040"/>
      <w:bookmarkStart w:id="2676" w:name="_Toc372920237"/>
      <w:bookmarkStart w:id="2677" w:name="_Toc372920435"/>
      <w:bookmarkStart w:id="2678" w:name="_Toc372920632"/>
      <w:bookmarkStart w:id="2679" w:name="_Toc372920828"/>
      <w:bookmarkStart w:id="2680" w:name="_Toc372921024"/>
      <w:bookmarkStart w:id="2681" w:name="_Toc372921220"/>
      <w:bookmarkStart w:id="2682" w:name="_Toc372921416"/>
      <w:bookmarkStart w:id="2683" w:name="_Toc372921618"/>
      <w:bookmarkStart w:id="2684" w:name="_Toc372921814"/>
      <w:bookmarkStart w:id="2685" w:name="_Toc372922010"/>
      <w:bookmarkStart w:id="2686" w:name="_Toc372928290"/>
      <w:bookmarkStart w:id="2687" w:name="_Toc372928594"/>
      <w:bookmarkStart w:id="2688" w:name="_Toc372928790"/>
      <w:bookmarkStart w:id="2689" w:name="_Toc372981793"/>
      <w:bookmarkStart w:id="2690" w:name="_Toc373072020"/>
      <w:bookmarkStart w:id="2691" w:name="_Toc373147337"/>
      <w:bookmarkStart w:id="2692" w:name="_Toc373477873"/>
      <w:bookmarkStart w:id="2693" w:name="_Toc373480871"/>
      <w:bookmarkStart w:id="2694" w:name="_Toc372916595"/>
      <w:bookmarkStart w:id="2695" w:name="_Toc372916849"/>
      <w:bookmarkStart w:id="2696" w:name="_Toc372917070"/>
      <w:bookmarkStart w:id="2697" w:name="_Toc372917286"/>
      <w:bookmarkStart w:id="2698" w:name="_Toc372917500"/>
      <w:bookmarkStart w:id="2699" w:name="_Toc372917710"/>
      <w:bookmarkStart w:id="2700" w:name="_Toc372917919"/>
      <w:bookmarkStart w:id="2701" w:name="_Toc372918128"/>
      <w:bookmarkStart w:id="2702" w:name="_Toc372918337"/>
      <w:bookmarkStart w:id="2703" w:name="_Toc372918540"/>
      <w:bookmarkStart w:id="2704" w:name="_Toc372918745"/>
      <w:bookmarkStart w:id="2705" w:name="_Toc372918950"/>
      <w:bookmarkStart w:id="2706" w:name="_Toc372919151"/>
      <w:bookmarkStart w:id="2707" w:name="_Toc372919353"/>
      <w:bookmarkStart w:id="2708" w:name="_Toc372919647"/>
      <w:bookmarkStart w:id="2709" w:name="_Toc372919844"/>
      <w:bookmarkStart w:id="2710" w:name="_Toc372920041"/>
      <w:bookmarkStart w:id="2711" w:name="_Toc372920238"/>
      <w:bookmarkStart w:id="2712" w:name="_Toc372920436"/>
      <w:bookmarkStart w:id="2713" w:name="_Toc372920633"/>
      <w:bookmarkStart w:id="2714" w:name="_Toc372920829"/>
      <w:bookmarkStart w:id="2715" w:name="_Toc372921025"/>
      <w:bookmarkStart w:id="2716" w:name="_Toc372921221"/>
      <w:bookmarkStart w:id="2717" w:name="_Toc372921417"/>
      <w:bookmarkStart w:id="2718" w:name="_Toc372921619"/>
      <w:bookmarkStart w:id="2719" w:name="_Toc372921815"/>
      <w:bookmarkStart w:id="2720" w:name="_Toc372922011"/>
      <w:bookmarkStart w:id="2721" w:name="_Toc372928291"/>
      <w:bookmarkStart w:id="2722" w:name="_Toc372928595"/>
      <w:bookmarkStart w:id="2723" w:name="_Toc372928791"/>
      <w:bookmarkStart w:id="2724" w:name="_Toc372981794"/>
      <w:bookmarkStart w:id="2725" w:name="_Toc373072021"/>
      <w:bookmarkStart w:id="2726" w:name="_Toc373147338"/>
      <w:bookmarkStart w:id="2727" w:name="_Toc373477874"/>
      <w:bookmarkStart w:id="2728" w:name="_Toc373480872"/>
      <w:bookmarkStart w:id="2729" w:name="_Toc372916596"/>
      <w:bookmarkStart w:id="2730" w:name="_Toc372916850"/>
      <w:bookmarkStart w:id="2731" w:name="_Toc372917071"/>
      <w:bookmarkStart w:id="2732" w:name="_Toc372917287"/>
      <w:bookmarkStart w:id="2733" w:name="_Toc372917501"/>
      <w:bookmarkStart w:id="2734" w:name="_Toc372917711"/>
      <w:bookmarkStart w:id="2735" w:name="_Toc372917920"/>
      <w:bookmarkStart w:id="2736" w:name="_Toc372918129"/>
      <w:bookmarkStart w:id="2737" w:name="_Toc372918338"/>
      <w:bookmarkStart w:id="2738" w:name="_Toc372918541"/>
      <w:bookmarkStart w:id="2739" w:name="_Toc372918746"/>
      <w:bookmarkStart w:id="2740" w:name="_Toc372918951"/>
      <w:bookmarkStart w:id="2741" w:name="_Toc372919152"/>
      <w:bookmarkStart w:id="2742" w:name="_Toc372919354"/>
      <w:bookmarkStart w:id="2743" w:name="_Toc372919648"/>
      <w:bookmarkStart w:id="2744" w:name="_Toc372919845"/>
      <w:bookmarkStart w:id="2745" w:name="_Toc372920042"/>
      <w:bookmarkStart w:id="2746" w:name="_Toc372920239"/>
      <w:bookmarkStart w:id="2747" w:name="_Toc372920437"/>
      <w:bookmarkStart w:id="2748" w:name="_Toc372920634"/>
      <w:bookmarkStart w:id="2749" w:name="_Toc372920830"/>
      <w:bookmarkStart w:id="2750" w:name="_Toc372921026"/>
      <w:bookmarkStart w:id="2751" w:name="_Toc372921222"/>
      <w:bookmarkStart w:id="2752" w:name="_Toc372921418"/>
      <w:bookmarkStart w:id="2753" w:name="_Toc372921620"/>
      <w:bookmarkStart w:id="2754" w:name="_Toc372921816"/>
      <w:bookmarkStart w:id="2755" w:name="_Toc372922012"/>
      <w:bookmarkStart w:id="2756" w:name="_Toc372928292"/>
      <w:bookmarkStart w:id="2757" w:name="_Toc372928596"/>
      <w:bookmarkStart w:id="2758" w:name="_Toc372928792"/>
      <w:bookmarkStart w:id="2759" w:name="_Toc372981795"/>
      <w:bookmarkStart w:id="2760" w:name="_Toc373072022"/>
      <w:bookmarkStart w:id="2761" w:name="_Toc373147339"/>
      <w:bookmarkStart w:id="2762" w:name="_Toc373477875"/>
      <w:bookmarkStart w:id="2763" w:name="_Toc373480873"/>
      <w:bookmarkStart w:id="2764" w:name="_Toc372916597"/>
      <w:bookmarkStart w:id="2765" w:name="_Toc372916851"/>
      <w:bookmarkStart w:id="2766" w:name="_Toc372917072"/>
      <w:bookmarkStart w:id="2767" w:name="_Toc372917288"/>
      <w:bookmarkStart w:id="2768" w:name="_Toc372917502"/>
      <w:bookmarkStart w:id="2769" w:name="_Toc372917712"/>
      <w:bookmarkStart w:id="2770" w:name="_Toc372917921"/>
      <w:bookmarkStart w:id="2771" w:name="_Toc372918130"/>
      <w:bookmarkStart w:id="2772" w:name="_Toc372918339"/>
      <w:bookmarkStart w:id="2773" w:name="_Toc372918542"/>
      <w:bookmarkStart w:id="2774" w:name="_Toc372918747"/>
      <w:bookmarkStart w:id="2775" w:name="_Toc372918952"/>
      <w:bookmarkStart w:id="2776" w:name="_Toc372919153"/>
      <w:bookmarkStart w:id="2777" w:name="_Toc372919355"/>
      <w:bookmarkStart w:id="2778" w:name="_Toc372919649"/>
      <w:bookmarkStart w:id="2779" w:name="_Toc372919846"/>
      <w:bookmarkStart w:id="2780" w:name="_Toc372920043"/>
      <w:bookmarkStart w:id="2781" w:name="_Toc372920240"/>
      <w:bookmarkStart w:id="2782" w:name="_Toc372920438"/>
      <w:bookmarkStart w:id="2783" w:name="_Toc372920635"/>
      <w:bookmarkStart w:id="2784" w:name="_Toc372920831"/>
      <w:bookmarkStart w:id="2785" w:name="_Toc372921027"/>
      <w:bookmarkStart w:id="2786" w:name="_Toc372921223"/>
      <w:bookmarkStart w:id="2787" w:name="_Toc372921419"/>
      <w:bookmarkStart w:id="2788" w:name="_Toc372921621"/>
      <w:bookmarkStart w:id="2789" w:name="_Toc372921817"/>
      <w:bookmarkStart w:id="2790" w:name="_Toc372922013"/>
      <w:bookmarkStart w:id="2791" w:name="_Toc372928293"/>
      <w:bookmarkStart w:id="2792" w:name="_Toc372928597"/>
      <w:bookmarkStart w:id="2793" w:name="_Toc372928793"/>
      <w:bookmarkStart w:id="2794" w:name="_Toc372981796"/>
      <w:bookmarkStart w:id="2795" w:name="_Toc373072023"/>
      <w:bookmarkStart w:id="2796" w:name="_Toc373147340"/>
      <w:bookmarkStart w:id="2797" w:name="_Toc373477876"/>
      <w:bookmarkStart w:id="2798" w:name="_Toc373480874"/>
      <w:bookmarkStart w:id="2799" w:name="_Toc372916598"/>
      <w:bookmarkStart w:id="2800" w:name="_Toc372916852"/>
      <w:bookmarkStart w:id="2801" w:name="_Toc372917073"/>
      <w:bookmarkStart w:id="2802" w:name="_Toc372917289"/>
      <w:bookmarkStart w:id="2803" w:name="_Toc372917503"/>
      <w:bookmarkStart w:id="2804" w:name="_Toc372917713"/>
      <w:bookmarkStart w:id="2805" w:name="_Toc372917922"/>
      <w:bookmarkStart w:id="2806" w:name="_Toc372918131"/>
      <w:bookmarkStart w:id="2807" w:name="_Toc372918340"/>
      <w:bookmarkStart w:id="2808" w:name="_Toc372918543"/>
      <w:bookmarkStart w:id="2809" w:name="_Toc372918748"/>
      <w:bookmarkStart w:id="2810" w:name="_Toc372918953"/>
      <w:bookmarkStart w:id="2811" w:name="_Toc372919154"/>
      <w:bookmarkStart w:id="2812" w:name="_Toc372919356"/>
      <w:bookmarkStart w:id="2813" w:name="_Toc372919650"/>
      <w:bookmarkStart w:id="2814" w:name="_Toc372919847"/>
      <w:bookmarkStart w:id="2815" w:name="_Toc372920044"/>
      <w:bookmarkStart w:id="2816" w:name="_Toc372920241"/>
      <w:bookmarkStart w:id="2817" w:name="_Toc372920439"/>
      <w:bookmarkStart w:id="2818" w:name="_Toc372920636"/>
      <w:bookmarkStart w:id="2819" w:name="_Toc372920832"/>
      <w:bookmarkStart w:id="2820" w:name="_Toc372921028"/>
      <w:bookmarkStart w:id="2821" w:name="_Toc372921224"/>
      <w:bookmarkStart w:id="2822" w:name="_Toc372921420"/>
      <w:bookmarkStart w:id="2823" w:name="_Toc372921622"/>
      <w:bookmarkStart w:id="2824" w:name="_Toc372921818"/>
      <w:bookmarkStart w:id="2825" w:name="_Toc372922014"/>
      <w:bookmarkStart w:id="2826" w:name="_Toc372928294"/>
      <w:bookmarkStart w:id="2827" w:name="_Toc372928598"/>
      <w:bookmarkStart w:id="2828" w:name="_Toc372928794"/>
      <w:bookmarkStart w:id="2829" w:name="_Toc372981797"/>
      <w:bookmarkStart w:id="2830" w:name="_Toc373072024"/>
      <w:bookmarkStart w:id="2831" w:name="_Toc373147341"/>
      <w:bookmarkStart w:id="2832" w:name="_Toc373477877"/>
      <w:bookmarkStart w:id="2833" w:name="_Toc373480875"/>
      <w:bookmarkStart w:id="2834" w:name="_Toc372916599"/>
      <w:bookmarkStart w:id="2835" w:name="_Toc372916853"/>
      <w:bookmarkStart w:id="2836" w:name="_Toc372917074"/>
      <w:bookmarkStart w:id="2837" w:name="_Toc372917290"/>
      <w:bookmarkStart w:id="2838" w:name="_Toc372917504"/>
      <w:bookmarkStart w:id="2839" w:name="_Toc372917714"/>
      <w:bookmarkStart w:id="2840" w:name="_Toc372917923"/>
      <w:bookmarkStart w:id="2841" w:name="_Toc372918132"/>
      <w:bookmarkStart w:id="2842" w:name="_Toc372918341"/>
      <w:bookmarkStart w:id="2843" w:name="_Toc372918544"/>
      <w:bookmarkStart w:id="2844" w:name="_Toc372918749"/>
      <w:bookmarkStart w:id="2845" w:name="_Toc372918954"/>
      <w:bookmarkStart w:id="2846" w:name="_Toc372919155"/>
      <w:bookmarkStart w:id="2847" w:name="_Toc372919357"/>
      <w:bookmarkStart w:id="2848" w:name="_Toc372919651"/>
      <w:bookmarkStart w:id="2849" w:name="_Toc372919848"/>
      <w:bookmarkStart w:id="2850" w:name="_Toc372920045"/>
      <w:bookmarkStart w:id="2851" w:name="_Toc372920242"/>
      <w:bookmarkStart w:id="2852" w:name="_Toc372920440"/>
      <w:bookmarkStart w:id="2853" w:name="_Toc372920637"/>
      <w:bookmarkStart w:id="2854" w:name="_Toc372920833"/>
      <w:bookmarkStart w:id="2855" w:name="_Toc372921029"/>
      <w:bookmarkStart w:id="2856" w:name="_Toc372921225"/>
      <w:bookmarkStart w:id="2857" w:name="_Toc372921421"/>
      <w:bookmarkStart w:id="2858" w:name="_Toc372921623"/>
      <w:bookmarkStart w:id="2859" w:name="_Toc372921819"/>
      <w:bookmarkStart w:id="2860" w:name="_Toc372922015"/>
      <w:bookmarkStart w:id="2861" w:name="_Toc372928295"/>
      <w:bookmarkStart w:id="2862" w:name="_Toc372928599"/>
      <w:bookmarkStart w:id="2863" w:name="_Toc372928795"/>
      <w:bookmarkStart w:id="2864" w:name="_Toc372981798"/>
      <w:bookmarkStart w:id="2865" w:name="_Toc373072025"/>
      <w:bookmarkStart w:id="2866" w:name="_Toc373147342"/>
      <w:bookmarkStart w:id="2867" w:name="_Toc373477878"/>
      <w:bookmarkStart w:id="2868" w:name="_Toc373480876"/>
      <w:bookmarkStart w:id="2869" w:name="_Toc372916600"/>
      <w:bookmarkStart w:id="2870" w:name="_Toc372916854"/>
      <w:bookmarkStart w:id="2871" w:name="_Toc372917075"/>
      <w:bookmarkStart w:id="2872" w:name="_Toc372917291"/>
      <w:bookmarkStart w:id="2873" w:name="_Toc372917505"/>
      <w:bookmarkStart w:id="2874" w:name="_Toc372917715"/>
      <w:bookmarkStart w:id="2875" w:name="_Toc372917924"/>
      <w:bookmarkStart w:id="2876" w:name="_Toc372918133"/>
      <w:bookmarkStart w:id="2877" w:name="_Toc372918342"/>
      <w:bookmarkStart w:id="2878" w:name="_Toc372918545"/>
      <w:bookmarkStart w:id="2879" w:name="_Toc372918750"/>
      <w:bookmarkStart w:id="2880" w:name="_Toc372918955"/>
      <w:bookmarkStart w:id="2881" w:name="_Toc372919156"/>
      <w:bookmarkStart w:id="2882" w:name="_Toc372919358"/>
      <w:bookmarkStart w:id="2883" w:name="_Toc372919652"/>
      <w:bookmarkStart w:id="2884" w:name="_Toc372919849"/>
      <w:bookmarkStart w:id="2885" w:name="_Toc372920046"/>
      <w:bookmarkStart w:id="2886" w:name="_Toc372920243"/>
      <w:bookmarkStart w:id="2887" w:name="_Toc372920441"/>
      <w:bookmarkStart w:id="2888" w:name="_Toc372920638"/>
      <w:bookmarkStart w:id="2889" w:name="_Toc372920834"/>
      <w:bookmarkStart w:id="2890" w:name="_Toc372921030"/>
      <w:bookmarkStart w:id="2891" w:name="_Toc372921226"/>
      <w:bookmarkStart w:id="2892" w:name="_Toc372921422"/>
      <w:bookmarkStart w:id="2893" w:name="_Toc372921624"/>
      <w:bookmarkStart w:id="2894" w:name="_Toc372921820"/>
      <w:bookmarkStart w:id="2895" w:name="_Toc372922016"/>
      <w:bookmarkStart w:id="2896" w:name="_Toc372928296"/>
      <w:bookmarkStart w:id="2897" w:name="_Toc372928600"/>
      <w:bookmarkStart w:id="2898" w:name="_Toc372928796"/>
      <w:bookmarkStart w:id="2899" w:name="_Toc372981799"/>
      <w:bookmarkStart w:id="2900" w:name="_Toc373072026"/>
      <w:bookmarkStart w:id="2901" w:name="_Toc373147343"/>
      <w:bookmarkStart w:id="2902" w:name="_Toc373477879"/>
      <w:bookmarkStart w:id="2903" w:name="_Toc373480877"/>
      <w:bookmarkStart w:id="2904" w:name="_Toc372916601"/>
      <w:bookmarkStart w:id="2905" w:name="_Toc372916855"/>
      <w:bookmarkStart w:id="2906" w:name="_Toc372917076"/>
      <w:bookmarkStart w:id="2907" w:name="_Toc372917292"/>
      <w:bookmarkStart w:id="2908" w:name="_Toc372917506"/>
      <w:bookmarkStart w:id="2909" w:name="_Toc372917716"/>
      <w:bookmarkStart w:id="2910" w:name="_Toc372917925"/>
      <w:bookmarkStart w:id="2911" w:name="_Toc372918134"/>
      <w:bookmarkStart w:id="2912" w:name="_Toc372918343"/>
      <w:bookmarkStart w:id="2913" w:name="_Toc372918546"/>
      <w:bookmarkStart w:id="2914" w:name="_Toc372918751"/>
      <w:bookmarkStart w:id="2915" w:name="_Toc372918956"/>
      <w:bookmarkStart w:id="2916" w:name="_Toc372919157"/>
      <w:bookmarkStart w:id="2917" w:name="_Toc372919359"/>
      <w:bookmarkStart w:id="2918" w:name="_Toc372919653"/>
      <w:bookmarkStart w:id="2919" w:name="_Toc372919850"/>
      <w:bookmarkStart w:id="2920" w:name="_Toc372920047"/>
      <w:bookmarkStart w:id="2921" w:name="_Toc372920244"/>
      <w:bookmarkStart w:id="2922" w:name="_Toc372920442"/>
      <w:bookmarkStart w:id="2923" w:name="_Toc372920639"/>
      <w:bookmarkStart w:id="2924" w:name="_Toc372920835"/>
      <w:bookmarkStart w:id="2925" w:name="_Toc372921031"/>
      <w:bookmarkStart w:id="2926" w:name="_Toc372921227"/>
      <w:bookmarkStart w:id="2927" w:name="_Toc372921423"/>
      <w:bookmarkStart w:id="2928" w:name="_Toc372921625"/>
      <w:bookmarkStart w:id="2929" w:name="_Toc372921821"/>
      <w:bookmarkStart w:id="2930" w:name="_Toc372922017"/>
      <w:bookmarkStart w:id="2931" w:name="_Toc372928297"/>
      <w:bookmarkStart w:id="2932" w:name="_Toc372928601"/>
      <w:bookmarkStart w:id="2933" w:name="_Toc372928797"/>
      <w:bookmarkStart w:id="2934" w:name="_Toc372981800"/>
      <w:bookmarkStart w:id="2935" w:name="_Toc373072027"/>
      <w:bookmarkStart w:id="2936" w:name="_Toc373147344"/>
      <w:bookmarkStart w:id="2937" w:name="_Toc373477880"/>
      <w:bookmarkStart w:id="2938" w:name="_Toc373480878"/>
      <w:bookmarkStart w:id="2939" w:name="_Toc372916602"/>
      <w:bookmarkStart w:id="2940" w:name="_Toc372916856"/>
      <w:bookmarkStart w:id="2941" w:name="_Toc372917077"/>
      <w:bookmarkStart w:id="2942" w:name="_Toc372917293"/>
      <w:bookmarkStart w:id="2943" w:name="_Toc372917507"/>
      <w:bookmarkStart w:id="2944" w:name="_Toc372917717"/>
      <w:bookmarkStart w:id="2945" w:name="_Toc372917926"/>
      <w:bookmarkStart w:id="2946" w:name="_Toc372918135"/>
      <w:bookmarkStart w:id="2947" w:name="_Toc372918344"/>
      <w:bookmarkStart w:id="2948" w:name="_Toc372918547"/>
      <w:bookmarkStart w:id="2949" w:name="_Toc372918752"/>
      <w:bookmarkStart w:id="2950" w:name="_Toc372918957"/>
      <w:bookmarkStart w:id="2951" w:name="_Toc372919158"/>
      <w:bookmarkStart w:id="2952" w:name="_Toc372919360"/>
      <w:bookmarkStart w:id="2953" w:name="_Toc372919654"/>
      <w:bookmarkStart w:id="2954" w:name="_Toc372919851"/>
      <w:bookmarkStart w:id="2955" w:name="_Toc372920048"/>
      <w:bookmarkStart w:id="2956" w:name="_Toc372920245"/>
      <w:bookmarkStart w:id="2957" w:name="_Toc372920443"/>
      <w:bookmarkStart w:id="2958" w:name="_Toc372920640"/>
      <w:bookmarkStart w:id="2959" w:name="_Toc372920836"/>
      <w:bookmarkStart w:id="2960" w:name="_Toc372921032"/>
      <w:bookmarkStart w:id="2961" w:name="_Toc372921228"/>
      <w:bookmarkStart w:id="2962" w:name="_Toc372921424"/>
      <w:bookmarkStart w:id="2963" w:name="_Toc372921626"/>
      <w:bookmarkStart w:id="2964" w:name="_Toc372921822"/>
      <w:bookmarkStart w:id="2965" w:name="_Toc372922018"/>
      <w:bookmarkStart w:id="2966" w:name="_Toc372928298"/>
      <w:bookmarkStart w:id="2967" w:name="_Toc372928602"/>
      <w:bookmarkStart w:id="2968" w:name="_Toc372928798"/>
      <w:bookmarkStart w:id="2969" w:name="_Toc372981801"/>
      <w:bookmarkStart w:id="2970" w:name="_Toc373072028"/>
      <w:bookmarkStart w:id="2971" w:name="_Toc373147345"/>
      <w:bookmarkStart w:id="2972" w:name="_Toc373477881"/>
      <w:bookmarkStart w:id="2973" w:name="_Toc373480879"/>
      <w:bookmarkStart w:id="2974" w:name="_Toc372916603"/>
      <w:bookmarkStart w:id="2975" w:name="_Toc372916857"/>
      <w:bookmarkStart w:id="2976" w:name="_Toc372917078"/>
      <w:bookmarkStart w:id="2977" w:name="_Toc372917294"/>
      <w:bookmarkStart w:id="2978" w:name="_Toc372917508"/>
      <w:bookmarkStart w:id="2979" w:name="_Toc372917718"/>
      <w:bookmarkStart w:id="2980" w:name="_Toc372917927"/>
      <w:bookmarkStart w:id="2981" w:name="_Toc372918136"/>
      <w:bookmarkStart w:id="2982" w:name="_Toc372918345"/>
      <w:bookmarkStart w:id="2983" w:name="_Toc372918548"/>
      <w:bookmarkStart w:id="2984" w:name="_Toc372918753"/>
      <w:bookmarkStart w:id="2985" w:name="_Toc372918958"/>
      <w:bookmarkStart w:id="2986" w:name="_Toc372919159"/>
      <w:bookmarkStart w:id="2987" w:name="_Toc372919361"/>
      <w:bookmarkStart w:id="2988" w:name="_Toc372919655"/>
      <w:bookmarkStart w:id="2989" w:name="_Toc372919852"/>
      <w:bookmarkStart w:id="2990" w:name="_Toc372920049"/>
      <w:bookmarkStart w:id="2991" w:name="_Toc372920246"/>
      <w:bookmarkStart w:id="2992" w:name="_Toc372920444"/>
      <w:bookmarkStart w:id="2993" w:name="_Toc372920641"/>
      <w:bookmarkStart w:id="2994" w:name="_Toc372920837"/>
      <w:bookmarkStart w:id="2995" w:name="_Toc372921033"/>
      <w:bookmarkStart w:id="2996" w:name="_Toc372921229"/>
      <w:bookmarkStart w:id="2997" w:name="_Toc372921425"/>
      <w:bookmarkStart w:id="2998" w:name="_Toc372921627"/>
      <w:bookmarkStart w:id="2999" w:name="_Toc372921823"/>
      <w:bookmarkStart w:id="3000" w:name="_Toc372922019"/>
      <w:bookmarkStart w:id="3001" w:name="_Toc372928299"/>
      <w:bookmarkStart w:id="3002" w:name="_Toc372928603"/>
      <w:bookmarkStart w:id="3003" w:name="_Toc372928799"/>
      <w:bookmarkStart w:id="3004" w:name="_Toc372981802"/>
      <w:bookmarkStart w:id="3005" w:name="_Toc373072029"/>
      <w:bookmarkStart w:id="3006" w:name="_Toc373147346"/>
      <w:bookmarkStart w:id="3007" w:name="_Toc373477882"/>
      <w:bookmarkStart w:id="3008" w:name="_Toc373480880"/>
      <w:bookmarkStart w:id="3009" w:name="_Toc372916604"/>
      <w:bookmarkStart w:id="3010" w:name="_Toc372916858"/>
      <w:bookmarkStart w:id="3011" w:name="_Toc372917079"/>
      <w:bookmarkStart w:id="3012" w:name="_Toc372917295"/>
      <w:bookmarkStart w:id="3013" w:name="_Toc372917509"/>
      <w:bookmarkStart w:id="3014" w:name="_Toc372917719"/>
      <w:bookmarkStart w:id="3015" w:name="_Toc372917928"/>
      <w:bookmarkStart w:id="3016" w:name="_Toc372918137"/>
      <w:bookmarkStart w:id="3017" w:name="_Toc372918346"/>
      <w:bookmarkStart w:id="3018" w:name="_Toc372918549"/>
      <w:bookmarkStart w:id="3019" w:name="_Toc372918754"/>
      <w:bookmarkStart w:id="3020" w:name="_Toc372918959"/>
      <w:bookmarkStart w:id="3021" w:name="_Toc372919160"/>
      <w:bookmarkStart w:id="3022" w:name="_Toc372919362"/>
      <w:bookmarkStart w:id="3023" w:name="_Toc372919656"/>
      <w:bookmarkStart w:id="3024" w:name="_Toc372919853"/>
      <w:bookmarkStart w:id="3025" w:name="_Toc372920050"/>
      <w:bookmarkStart w:id="3026" w:name="_Toc372920247"/>
      <w:bookmarkStart w:id="3027" w:name="_Toc372920445"/>
      <w:bookmarkStart w:id="3028" w:name="_Toc372920642"/>
      <w:bookmarkStart w:id="3029" w:name="_Toc372920838"/>
      <w:bookmarkStart w:id="3030" w:name="_Toc372921034"/>
      <w:bookmarkStart w:id="3031" w:name="_Toc372921230"/>
      <w:bookmarkStart w:id="3032" w:name="_Toc372921426"/>
      <w:bookmarkStart w:id="3033" w:name="_Toc372921628"/>
      <w:bookmarkStart w:id="3034" w:name="_Toc372921824"/>
      <w:bookmarkStart w:id="3035" w:name="_Toc372922020"/>
      <w:bookmarkStart w:id="3036" w:name="_Toc372928300"/>
      <w:bookmarkStart w:id="3037" w:name="_Toc372928604"/>
      <w:bookmarkStart w:id="3038" w:name="_Toc372928800"/>
      <w:bookmarkStart w:id="3039" w:name="_Toc372981803"/>
      <w:bookmarkStart w:id="3040" w:name="_Toc373072030"/>
      <w:bookmarkStart w:id="3041" w:name="_Toc373147347"/>
      <w:bookmarkStart w:id="3042" w:name="_Toc373477883"/>
      <w:bookmarkStart w:id="3043" w:name="_Toc373480881"/>
      <w:bookmarkStart w:id="3044" w:name="_Toc372916605"/>
      <w:bookmarkStart w:id="3045" w:name="_Toc372916859"/>
      <w:bookmarkStart w:id="3046" w:name="_Toc372917080"/>
      <w:bookmarkStart w:id="3047" w:name="_Toc372917296"/>
      <w:bookmarkStart w:id="3048" w:name="_Toc372917510"/>
      <w:bookmarkStart w:id="3049" w:name="_Toc372917720"/>
      <w:bookmarkStart w:id="3050" w:name="_Toc372917929"/>
      <w:bookmarkStart w:id="3051" w:name="_Toc372918138"/>
      <w:bookmarkStart w:id="3052" w:name="_Toc372918347"/>
      <w:bookmarkStart w:id="3053" w:name="_Toc372918550"/>
      <w:bookmarkStart w:id="3054" w:name="_Toc372918755"/>
      <w:bookmarkStart w:id="3055" w:name="_Toc372918960"/>
      <w:bookmarkStart w:id="3056" w:name="_Toc372919161"/>
      <w:bookmarkStart w:id="3057" w:name="_Toc372919363"/>
      <w:bookmarkStart w:id="3058" w:name="_Toc372919657"/>
      <w:bookmarkStart w:id="3059" w:name="_Toc372919854"/>
      <w:bookmarkStart w:id="3060" w:name="_Toc372920051"/>
      <w:bookmarkStart w:id="3061" w:name="_Toc372920248"/>
      <w:bookmarkStart w:id="3062" w:name="_Toc372920446"/>
      <w:bookmarkStart w:id="3063" w:name="_Toc372920643"/>
      <w:bookmarkStart w:id="3064" w:name="_Toc372920839"/>
      <w:bookmarkStart w:id="3065" w:name="_Toc372921035"/>
      <w:bookmarkStart w:id="3066" w:name="_Toc372921231"/>
      <w:bookmarkStart w:id="3067" w:name="_Toc372921427"/>
      <w:bookmarkStart w:id="3068" w:name="_Toc372921629"/>
      <w:bookmarkStart w:id="3069" w:name="_Toc372921825"/>
      <w:bookmarkStart w:id="3070" w:name="_Toc372922021"/>
      <w:bookmarkStart w:id="3071" w:name="_Toc372928301"/>
      <w:bookmarkStart w:id="3072" w:name="_Toc372928605"/>
      <w:bookmarkStart w:id="3073" w:name="_Toc372928801"/>
      <w:bookmarkStart w:id="3074" w:name="_Toc372981804"/>
      <w:bookmarkStart w:id="3075" w:name="_Toc373072031"/>
      <w:bookmarkStart w:id="3076" w:name="_Toc373147348"/>
      <w:bookmarkStart w:id="3077" w:name="_Toc373477884"/>
      <w:bookmarkStart w:id="3078" w:name="_Toc373480882"/>
      <w:bookmarkStart w:id="3079" w:name="_Toc372916606"/>
      <w:bookmarkStart w:id="3080" w:name="_Toc372916860"/>
      <w:bookmarkStart w:id="3081" w:name="_Toc372917081"/>
      <w:bookmarkStart w:id="3082" w:name="_Toc372917297"/>
      <w:bookmarkStart w:id="3083" w:name="_Toc372917511"/>
      <w:bookmarkStart w:id="3084" w:name="_Toc372917721"/>
      <w:bookmarkStart w:id="3085" w:name="_Toc372917930"/>
      <w:bookmarkStart w:id="3086" w:name="_Toc372918139"/>
      <w:bookmarkStart w:id="3087" w:name="_Toc372918348"/>
      <w:bookmarkStart w:id="3088" w:name="_Toc372918551"/>
      <w:bookmarkStart w:id="3089" w:name="_Toc372918756"/>
      <w:bookmarkStart w:id="3090" w:name="_Toc372918961"/>
      <w:bookmarkStart w:id="3091" w:name="_Toc372919162"/>
      <w:bookmarkStart w:id="3092" w:name="_Toc372919364"/>
      <w:bookmarkStart w:id="3093" w:name="_Toc372919658"/>
      <w:bookmarkStart w:id="3094" w:name="_Toc372919855"/>
      <w:bookmarkStart w:id="3095" w:name="_Toc372920052"/>
      <w:bookmarkStart w:id="3096" w:name="_Toc372920249"/>
      <w:bookmarkStart w:id="3097" w:name="_Toc372920447"/>
      <w:bookmarkStart w:id="3098" w:name="_Toc372920644"/>
      <w:bookmarkStart w:id="3099" w:name="_Toc372920840"/>
      <w:bookmarkStart w:id="3100" w:name="_Toc372921036"/>
      <w:bookmarkStart w:id="3101" w:name="_Toc372921232"/>
      <w:bookmarkStart w:id="3102" w:name="_Toc372921428"/>
      <w:bookmarkStart w:id="3103" w:name="_Toc372921630"/>
      <w:bookmarkStart w:id="3104" w:name="_Toc372921826"/>
      <w:bookmarkStart w:id="3105" w:name="_Toc372922022"/>
      <w:bookmarkStart w:id="3106" w:name="_Toc372928302"/>
      <w:bookmarkStart w:id="3107" w:name="_Toc372928606"/>
      <w:bookmarkStart w:id="3108" w:name="_Toc372928802"/>
      <w:bookmarkStart w:id="3109" w:name="_Toc372981805"/>
      <w:bookmarkStart w:id="3110" w:name="_Toc373072032"/>
      <w:bookmarkStart w:id="3111" w:name="_Toc373147349"/>
      <w:bookmarkStart w:id="3112" w:name="_Toc373477885"/>
      <w:bookmarkStart w:id="3113" w:name="_Toc373480883"/>
      <w:bookmarkStart w:id="3114" w:name="_Toc372916607"/>
      <w:bookmarkStart w:id="3115" w:name="_Toc372916861"/>
      <w:bookmarkStart w:id="3116" w:name="_Toc372917082"/>
      <w:bookmarkStart w:id="3117" w:name="_Toc372917298"/>
      <w:bookmarkStart w:id="3118" w:name="_Toc372917512"/>
      <w:bookmarkStart w:id="3119" w:name="_Toc372917722"/>
      <w:bookmarkStart w:id="3120" w:name="_Toc372917931"/>
      <w:bookmarkStart w:id="3121" w:name="_Toc372918140"/>
      <w:bookmarkStart w:id="3122" w:name="_Toc372918349"/>
      <w:bookmarkStart w:id="3123" w:name="_Toc372918552"/>
      <w:bookmarkStart w:id="3124" w:name="_Toc372918757"/>
      <w:bookmarkStart w:id="3125" w:name="_Toc372918962"/>
      <w:bookmarkStart w:id="3126" w:name="_Toc372919163"/>
      <w:bookmarkStart w:id="3127" w:name="_Toc372919365"/>
      <w:bookmarkStart w:id="3128" w:name="_Toc372919659"/>
      <w:bookmarkStart w:id="3129" w:name="_Toc372919856"/>
      <w:bookmarkStart w:id="3130" w:name="_Toc372920053"/>
      <w:bookmarkStart w:id="3131" w:name="_Toc372920250"/>
      <w:bookmarkStart w:id="3132" w:name="_Toc372920448"/>
      <w:bookmarkStart w:id="3133" w:name="_Toc372920645"/>
      <w:bookmarkStart w:id="3134" w:name="_Toc372920841"/>
      <w:bookmarkStart w:id="3135" w:name="_Toc372921037"/>
      <w:bookmarkStart w:id="3136" w:name="_Toc372921233"/>
      <w:bookmarkStart w:id="3137" w:name="_Toc372921429"/>
      <w:bookmarkStart w:id="3138" w:name="_Toc372921631"/>
      <w:bookmarkStart w:id="3139" w:name="_Toc372921827"/>
      <w:bookmarkStart w:id="3140" w:name="_Toc372922023"/>
      <w:bookmarkStart w:id="3141" w:name="_Toc372928303"/>
      <w:bookmarkStart w:id="3142" w:name="_Toc372928607"/>
      <w:bookmarkStart w:id="3143" w:name="_Toc372928803"/>
      <w:bookmarkStart w:id="3144" w:name="_Toc372981806"/>
      <w:bookmarkStart w:id="3145" w:name="_Toc373072033"/>
      <w:bookmarkStart w:id="3146" w:name="_Toc373147350"/>
      <w:bookmarkStart w:id="3147" w:name="_Toc373477886"/>
      <w:bookmarkStart w:id="3148" w:name="_Toc373480884"/>
      <w:bookmarkStart w:id="3149" w:name="_Toc372916608"/>
      <w:bookmarkStart w:id="3150" w:name="_Toc372916862"/>
      <w:bookmarkStart w:id="3151" w:name="_Toc372917083"/>
      <w:bookmarkStart w:id="3152" w:name="_Toc372917299"/>
      <w:bookmarkStart w:id="3153" w:name="_Toc372917513"/>
      <w:bookmarkStart w:id="3154" w:name="_Toc372917723"/>
      <w:bookmarkStart w:id="3155" w:name="_Toc372917932"/>
      <w:bookmarkStart w:id="3156" w:name="_Toc372918141"/>
      <w:bookmarkStart w:id="3157" w:name="_Toc372918350"/>
      <w:bookmarkStart w:id="3158" w:name="_Toc372918553"/>
      <w:bookmarkStart w:id="3159" w:name="_Toc372918758"/>
      <w:bookmarkStart w:id="3160" w:name="_Toc372918963"/>
      <w:bookmarkStart w:id="3161" w:name="_Toc372919164"/>
      <w:bookmarkStart w:id="3162" w:name="_Toc372919366"/>
      <w:bookmarkStart w:id="3163" w:name="_Toc372919660"/>
      <w:bookmarkStart w:id="3164" w:name="_Toc372919857"/>
      <w:bookmarkStart w:id="3165" w:name="_Toc372920054"/>
      <w:bookmarkStart w:id="3166" w:name="_Toc372920251"/>
      <w:bookmarkStart w:id="3167" w:name="_Toc372920449"/>
      <w:bookmarkStart w:id="3168" w:name="_Toc372920646"/>
      <w:bookmarkStart w:id="3169" w:name="_Toc372920842"/>
      <w:bookmarkStart w:id="3170" w:name="_Toc372921038"/>
      <w:bookmarkStart w:id="3171" w:name="_Toc372921234"/>
      <w:bookmarkStart w:id="3172" w:name="_Toc372921430"/>
      <w:bookmarkStart w:id="3173" w:name="_Toc372921632"/>
      <w:bookmarkStart w:id="3174" w:name="_Toc372921828"/>
      <w:bookmarkStart w:id="3175" w:name="_Toc372922024"/>
      <w:bookmarkStart w:id="3176" w:name="_Toc372928304"/>
      <w:bookmarkStart w:id="3177" w:name="_Toc372928608"/>
      <w:bookmarkStart w:id="3178" w:name="_Toc372928804"/>
      <w:bookmarkStart w:id="3179" w:name="_Toc372981807"/>
      <w:bookmarkStart w:id="3180" w:name="_Toc373072034"/>
      <w:bookmarkStart w:id="3181" w:name="_Toc373147351"/>
      <w:bookmarkStart w:id="3182" w:name="_Toc373477887"/>
      <w:bookmarkStart w:id="3183" w:name="_Toc373480885"/>
      <w:bookmarkStart w:id="3184" w:name="_Toc372916609"/>
      <w:bookmarkStart w:id="3185" w:name="_Toc372916863"/>
      <w:bookmarkStart w:id="3186" w:name="_Toc372917084"/>
      <w:bookmarkStart w:id="3187" w:name="_Toc372917300"/>
      <w:bookmarkStart w:id="3188" w:name="_Toc372917514"/>
      <w:bookmarkStart w:id="3189" w:name="_Toc372917724"/>
      <w:bookmarkStart w:id="3190" w:name="_Toc372917933"/>
      <w:bookmarkStart w:id="3191" w:name="_Toc372918142"/>
      <w:bookmarkStart w:id="3192" w:name="_Toc372918351"/>
      <w:bookmarkStart w:id="3193" w:name="_Toc372918554"/>
      <w:bookmarkStart w:id="3194" w:name="_Toc372918759"/>
      <w:bookmarkStart w:id="3195" w:name="_Toc372918964"/>
      <w:bookmarkStart w:id="3196" w:name="_Toc372919165"/>
      <w:bookmarkStart w:id="3197" w:name="_Toc372919367"/>
      <w:bookmarkStart w:id="3198" w:name="_Toc372919661"/>
      <w:bookmarkStart w:id="3199" w:name="_Toc372919858"/>
      <w:bookmarkStart w:id="3200" w:name="_Toc372920055"/>
      <w:bookmarkStart w:id="3201" w:name="_Toc372920252"/>
      <w:bookmarkStart w:id="3202" w:name="_Toc372920450"/>
      <w:bookmarkStart w:id="3203" w:name="_Toc372920647"/>
      <w:bookmarkStart w:id="3204" w:name="_Toc372920843"/>
      <w:bookmarkStart w:id="3205" w:name="_Toc372921039"/>
      <w:bookmarkStart w:id="3206" w:name="_Toc372921235"/>
      <w:bookmarkStart w:id="3207" w:name="_Toc372921431"/>
      <w:bookmarkStart w:id="3208" w:name="_Toc372921633"/>
      <w:bookmarkStart w:id="3209" w:name="_Toc372921829"/>
      <w:bookmarkStart w:id="3210" w:name="_Toc372922025"/>
      <w:bookmarkStart w:id="3211" w:name="_Toc372928305"/>
      <w:bookmarkStart w:id="3212" w:name="_Toc372928609"/>
      <w:bookmarkStart w:id="3213" w:name="_Toc372928805"/>
      <w:bookmarkStart w:id="3214" w:name="_Toc372981808"/>
      <w:bookmarkStart w:id="3215" w:name="_Toc373072035"/>
      <w:bookmarkStart w:id="3216" w:name="_Toc373147352"/>
      <w:bookmarkStart w:id="3217" w:name="_Toc373477888"/>
      <w:bookmarkStart w:id="3218" w:name="_Toc373480886"/>
      <w:bookmarkStart w:id="3219" w:name="_Toc373477889"/>
      <w:bookmarkStart w:id="3220" w:name="_Toc373480887"/>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r w:rsidRPr="00CA5FBB">
        <w:rPr>
          <w:noProof/>
        </w:rPr>
        <w:lastRenderedPageBreak/>
        <w:t>Discussion</w:t>
      </w:r>
      <w:bookmarkEnd w:id="3219"/>
      <w:bookmarkEnd w:id="3220"/>
    </w:p>
    <w:p w:rsidR="00A35CA0" w:rsidRDefault="00A50295" w:rsidP="00CA5FBB">
      <w:pPr>
        <w:pStyle w:val="Heading2"/>
      </w:pPr>
      <w:bookmarkStart w:id="3221" w:name="_Toc372916611"/>
      <w:bookmarkStart w:id="3222" w:name="_Toc372916865"/>
      <w:bookmarkStart w:id="3223" w:name="_Toc372917086"/>
      <w:bookmarkStart w:id="3224" w:name="_Toc372917302"/>
      <w:bookmarkStart w:id="3225" w:name="_Toc372917516"/>
      <w:bookmarkStart w:id="3226" w:name="_Toc372917726"/>
      <w:bookmarkStart w:id="3227" w:name="_Toc372917935"/>
      <w:bookmarkStart w:id="3228" w:name="_Toc372918144"/>
      <w:bookmarkStart w:id="3229" w:name="_Toc372918353"/>
      <w:bookmarkStart w:id="3230" w:name="_Toc372918556"/>
      <w:bookmarkStart w:id="3231" w:name="_Toc372918761"/>
      <w:bookmarkStart w:id="3232" w:name="_Toc372918966"/>
      <w:bookmarkStart w:id="3233" w:name="_Toc372919167"/>
      <w:bookmarkStart w:id="3234" w:name="_Toc372919369"/>
      <w:bookmarkStart w:id="3235" w:name="_Toc372919663"/>
      <w:bookmarkStart w:id="3236" w:name="_Toc372919860"/>
      <w:bookmarkStart w:id="3237" w:name="_Toc372920057"/>
      <w:bookmarkStart w:id="3238" w:name="_Toc372920254"/>
      <w:bookmarkStart w:id="3239" w:name="_Toc372920452"/>
      <w:bookmarkStart w:id="3240" w:name="_Toc372920649"/>
      <w:bookmarkStart w:id="3241" w:name="_Toc372920845"/>
      <w:bookmarkStart w:id="3242" w:name="_Toc372921041"/>
      <w:bookmarkStart w:id="3243" w:name="_Toc372921237"/>
      <w:bookmarkStart w:id="3244" w:name="_Toc372921433"/>
      <w:bookmarkStart w:id="3245" w:name="_Toc372921635"/>
      <w:bookmarkStart w:id="3246" w:name="_Toc372921831"/>
      <w:bookmarkStart w:id="3247" w:name="_Toc372922027"/>
      <w:bookmarkStart w:id="3248" w:name="_Toc372928307"/>
      <w:bookmarkStart w:id="3249" w:name="_Toc372928611"/>
      <w:bookmarkStart w:id="3250" w:name="_Toc372928807"/>
      <w:bookmarkStart w:id="3251" w:name="_Toc372981810"/>
      <w:bookmarkStart w:id="3252" w:name="_Toc373072037"/>
      <w:bookmarkStart w:id="3253" w:name="_Toc373147354"/>
      <w:bookmarkStart w:id="3254" w:name="_Toc373477890"/>
      <w:bookmarkStart w:id="3255" w:name="_Toc373480888"/>
      <w:bookmarkStart w:id="3256" w:name="_Toc373477891"/>
      <w:bookmarkStart w:id="3257" w:name="_Toc373480889"/>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r w:rsidRPr="008708F0">
        <w:t>Introduction to discussion</w:t>
      </w:r>
      <w:bookmarkEnd w:id="3256"/>
      <w:bookmarkEnd w:id="3257"/>
    </w:p>
    <w:p w:rsidR="00E74243" w:rsidRDefault="00A50295" w:rsidP="00E204F1">
      <w:pPr>
        <w:rPr>
          <w:noProof/>
        </w:rPr>
      </w:pPr>
      <w:r>
        <w:rPr>
          <w:noProof/>
        </w:rPr>
        <w:t xml:space="preserve">This chapter will consider the implications that the </w:t>
      </w:r>
      <w:r w:rsidR="007D3788">
        <w:rPr>
          <w:noProof/>
        </w:rPr>
        <w:t xml:space="preserve">data produced in this </w:t>
      </w:r>
      <w:r>
        <w:rPr>
          <w:noProof/>
        </w:rPr>
        <w:t>study will have for developmental theory and the study of fossil hominids.  The</w:t>
      </w:r>
      <w:r w:rsidR="00E204F1">
        <w:rPr>
          <w:noProof/>
        </w:rPr>
        <w:t xml:space="preserve"> chapter will be broken into two main sections.  The applications within constructs </w:t>
      </w:r>
      <w:r w:rsidR="003F430C">
        <w:rPr>
          <w:noProof/>
        </w:rPr>
        <w:t>of</w:t>
      </w:r>
      <w:r w:rsidR="00E204F1">
        <w:rPr>
          <w:noProof/>
        </w:rPr>
        <w:t xml:space="preserve"> developmental theory will first be discussed (section 6.2).  The applications of intergrated data for understanding growth rate, sequence, and allometry will be </w:t>
      </w:r>
      <w:r w:rsidR="003F430C">
        <w:rPr>
          <w:noProof/>
        </w:rPr>
        <w:t>evaluat</w:t>
      </w:r>
      <w:r w:rsidR="00E204F1">
        <w:rPr>
          <w:noProof/>
        </w:rPr>
        <w:t xml:space="preserve">ed.  This section will be followed by an analysis of the practical applications for the </w:t>
      </w:r>
      <w:r>
        <w:rPr>
          <w:noProof/>
        </w:rPr>
        <w:t xml:space="preserve">study of fossil </w:t>
      </w:r>
      <w:r w:rsidR="00E204F1">
        <w:rPr>
          <w:noProof/>
        </w:rPr>
        <w:t>hominids (section 6.3)</w:t>
      </w:r>
      <w:r>
        <w:rPr>
          <w:noProof/>
        </w:rPr>
        <w:t>.</w:t>
      </w:r>
    </w:p>
    <w:p w:rsidR="00A35CA0" w:rsidRDefault="009516DB" w:rsidP="00CA5FBB">
      <w:pPr>
        <w:pStyle w:val="Heading2"/>
      </w:pPr>
      <w:bookmarkStart w:id="3258" w:name="_Toc372916614"/>
      <w:bookmarkStart w:id="3259" w:name="_Toc372916868"/>
      <w:bookmarkStart w:id="3260" w:name="_Toc372917089"/>
      <w:bookmarkStart w:id="3261" w:name="_Toc372917305"/>
      <w:bookmarkStart w:id="3262" w:name="_Toc372917519"/>
      <w:bookmarkStart w:id="3263" w:name="_Toc372917729"/>
      <w:bookmarkStart w:id="3264" w:name="_Toc372917938"/>
      <w:bookmarkStart w:id="3265" w:name="_Toc372918147"/>
      <w:bookmarkStart w:id="3266" w:name="_Toc372918356"/>
      <w:bookmarkStart w:id="3267" w:name="_Toc372918559"/>
      <w:bookmarkStart w:id="3268" w:name="_Toc372918764"/>
      <w:bookmarkStart w:id="3269" w:name="_Toc372918969"/>
      <w:bookmarkStart w:id="3270" w:name="_Toc372919170"/>
      <w:bookmarkStart w:id="3271" w:name="_Toc372919371"/>
      <w:bookmarkStart w:id="3272" w:name="_Toc372919665"/>
      <w:bookmarkStart w:id="3273" w:name="_Toc372919862"/>
      <w:bookmarkStart w:id="3274" w:name="_Toc372920059"/>
      <w:bookmarkStart w:id="3275" w:name="_Toc372920256"/>
      <w:bookmarkStart w:id="3276" w:name="_Toc372920454"/>
      <w:bookmarkStart w:id="3277" w:name="_Toc372920651"/>
      <w:bookmarkStart w:id="3278" w:name="_Toc372920847"/>
      <w:bookmarkStart w:id="3279" w:name="_Toc372921043"/>
      <w:bookmarkStart w:id="3280" w:name="_Toc372921239"/>
      <w:bookmarkStart w:id="3281" w:name="_Toc372921435"/>
      <w:bookmarkStart w:id="3282" w:name="_Toc372921637"/>
      <w:bookmarkStart w:id="3283" w:name="_Toc372921833"/>
      <w:bookmarkStart w:id="3284" w:name="_Toc372922029"/>
      <w:bookmarkStart w:id="3285" w:name="_Toc372928309"/>
      <w:bookmarkStart w:id="3286" w:name="_Toc372928613"/>
      <w:bookmarkStart w:id="3287" w:name="_Toc372928809"/>
      <w:bookmarkStart w:id="3288" w:name="_Toc372981812"/>
      <w:bookmarkStart w:id="3289" w:name="_Toc373072039"/>
      <w:bookmarkStart w:id="3290" w:name="_Toc373147356"/>
      <w:bookmarkStart w:id="3291" w:name="_Toc373477892"/>
      <w:bookmarkStart w:id="3292" w:name="_Toc373480890"/>
      <w:bookmarkStart w:id="3293" w:name="_Toc373477893"/>
      <w:bookmarkStart w:id="3294" w:name="_Toc373480891"/>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r>
        <w:t xml:space="preserve">Application of the results of this study to </w:t>
      </w:r>
      <w:r w:rsidR="00A50295" w:rsidRPr="008708F0">
        <w:t>developmental theory</w:t>
      </w:r>
      <w:bookmarkEnd w:id="3293"/>
      <w:bookmarkEnd w:id="3294"/>
    </w:p>
    <w:p w:rsidR="00A35CA0" w:rsidRDefault="00ED267A" w:rsidP="00CA5FBB">
      <w:pPr>
        <w:rPr>
          <w:noProof/>
          <w:color w:val="000000"/>
        </w:rPr>
      </w:pPr>
      <w:r>
        <w:rPr>
          <w:noProof/>
        </w:rPr>
        <w:t xml:space="preserve">As presented in Chapter 2, there remains theoretical debate regarding the differences in developmental patterns between humans and other apes.  This was framed within the context of </w:t>
      </w:r>
      <w:r w:rsidR="00EF3A52">
        <w:rPr>
          <w:noProof/>
        </w:rPr>
        <w:t xml:space="preserve">the study of </w:t>
      </w:r>
      <w:r>
        <w:rPr>
          <w:noProof/>
        </w:rPr>
        <w:t xml:space="preserve">heterochrony.  </w:t>
      </w:r>
      <w:r w:rsidR="003061C1">
        <w:rPr>
          <w:noProof/>
        </w:rPr>
        <w:t>D</w:t>
      </w:r>
      <w:r w:rsidR="00A50295">
        <w:rPr>
          <w:noProof/>
        </w:rPr>
        <w:t xml:space="preserve">ebate </w:t>
      </w:r>
      <w:r>
        <w:rPr>
          <w:noProof/>
        </w:rPr>
        <w:t>has foc</w:t>
      </w:r>
      <w:r w:rsidR="003061C1">
        <w:rPr>
          <w:noProof/>
        </w:rPr>
        <w:t>u</w:t>
      </w:r>
      <w:r>
        <w:rPr>
          <w:noProof/>
        </w:rPr>
        <w:t xml:space="preserve">sed on the </w:t>
      </w:r>
      <w:r w:rsidR="00A50295">
        <w:rPr>
          <w:noProof/>
        </w:rPr>
        <w:t xml:space="preserve">fundamental questions </w:t>
      </w:r>
      <w:r>
        <w:rPr>
          <w:noProof/>
        </w:rPr>
        <w:t>of</w:t>
      </w:r>
      <w:r w:rsidR="00A50295">
        <w:rPr>
          <w:noProof/>
        </w:rPr>
        <w:t xml:space="preserve"> whether humans demonstrate neoteny, hypermorphosis, or a mixture of both patterns when compared to other </w:t>
      </w:r>
      <w:r>
        <w:rPr>
          <w:noProof/>
        </w:rPr>
        <w:t>apes</w:t>
      </w:r>
      <w:r w:rsidR="00A50295">
        <w:rPr>
          <w:noProof/>
        </w:rPr>
        <w:t>.  Th</w:t>
      </w:r>
      <w:r>
        <w:rPr>
          <w:noProof/>
        </w:rPr>
        <w:t>ere</w:t>
      </w:r>
      <w:r w:rsidR="00A50295">
        <w:rPr>
          <w:noProof/>
        </w:rPr>
        <w:t xml:space="preserve"> </w:t>
      </w:r>
      <w:r>
        <w:rPr>
          <w:noProof/>
        </w:rPr>
        <w:t>remains</w:t>
      </w:r>
      <w:r w:rsidR="00A50295">
        <w:rPr>
          <w:noProof/>
        </w:rPr>
        <w:t xml:space="preserve"> a lack consensus </w:t>
      </w:r>
      <w:r>
        <w:rPr>
          <w:noProof/>
        </w:rPr>
        <w:t xml:space="preserve">and a primary reason for differing perspectives relates to </w:t>
      </w:r>
      <w:r w:rsidR="00AC1515">
        <w:rPr>
          <w:noProof/>
        </w:rPr>
        <w:t xml:space="preserve">incomplete data </w:t>
      </w:r>
      <w:r w:rsidR="00B2740B">
        <w:rPr>
          <w:noProof/>
        </w:rPr>
        <w:t xml:space="preserve">required for an integrated analysis of </w:t>
      </w:r>
      <w:r w:rsidR="00AC1515">
        <w:rPr>
          <w:noProof/>
        </w:rPr>
        <w:t>skeletal sub-systems.</w:t>
      </w:r>
      <w:r w:rsidR="00A50295">
        <w:rPr>
          <w:noProof/>
        </w:rPr>
        <w:t xml:space="preserve">  Often one feature or aspect of development was analysed and used as evidence to support </w:t>
      </w:r>
      <w:r w:rsidR="00A50295">
        <w:rPr>
          <w:noProof/>
          <w:color w:val="000000" w:themeColor="text1"/>
        </w:rPr>
        <w:t xml:space="preserve">one theory while different evidence was used to support another.  For example, Penin </w:t>
      </w:r>
      <w:r w:rsidR="00A50295">
        <w:rPr>
          <w:i/>
          <w:noProof/>
          <w:color w:val="000000" w:themeColor="text1"/>
        </w:rPr>
        <w:t>et al</w:t>
      </w:r>
      <w:r w:rsidR="004618BB">
        <w:rPr>
          <w:noProof/>
          <w:color w:val="000000" w:themeColor="text1"/>
        </w:rPr>
        <w:t>.</w:t>
      </w:r>
      <w:r w:rsidR="00A50295">
        <w:rPr>
          <w:noProof/>
          <w:color w:val="000000" w:themeColor="text1"/>
        </w:rPr>
        <w:t xml:space="preserve"> (20</w:t>
      </w:r>
      <w:r w:rsidR="00BF0F6B">
        <w:rPr>
          <w:noProof/>
          <w:color w:val="000000" w:themeColor="text1"/>
        </w:rPr>
        <w:t>02) and Bastir and Rosas (2004)</w:t>
      </w:r>
      <w:r w:rsidR="00A50295">
        <w:rPr>
          <w:noProof/>
          <w:color w:val="000000" w:themeColor="text1"/>
        </w:rPr>
        <w:t xml:space="preserve"> </w:t>
      </w:r>
      <w:r w:rsidR="00FE1F87">
        <w:rPr>
          <w:noProof/>
          <w:color w:val="000000" w:themeColor="text1"/>
        </w:rPr>
        <w:t xml:space="preserve">analysed </w:t>
      </w:r>
      <w:r w:rsidR="00A50295">
        <w:rPr>
          <w:noProof/>
          <w:color w:val="000000" w:themeColor="text1"/>
        </w:rPr>
        <w:t xml:space="preserve">facial morphology and concluded that humans demonstrate neoteny.  McKinney and McNamara (1991), Parker (1996), and Vrba (1996) </w:t>
      </w:r>
      <w:r w:rsidR="00A92C7F">
        <w:rPr>
          <w:noProof/>
          <w:color w:val="000000" w:themeColor="text1"/>
        </w:rPr>
        <w:t>measured</w:t>
      </w:r>
      <w:r w:rsidR="00A50295">
        <w:rPr>
          <w:noProof/>
          <w:color w:val="000000" w:themeColor="text1"/>
        </w:rPr>
        <w:t xml:space="preserve"> overall somatic growth and came</w:t>
      </w:r>
      <w:r w:rsidR="00F82576">
        <w:rPr>
          <w:noProof/>
          <w:color w:val="000000" w:themeColor="text1"/>
        </w:rPr>
        <w:t xml:space="preserve"> to the conclusion that humans we</w:t>
      </w:r>
      <w:r w:rsidR="00A50295">
        <w:rPr>
          <w:noProof/>
          <w:color w:val="000000" w:themeColor="text1"/>
        </w:rPr>
        <w:t>re hypermorphic.  Opposing arguments l</w:t>
      </w:r>
      <w:r w:rsidR="00186A0B">
        <w:rPr>
          <w:noProof/>
          <w:color w:val="000000" w:themeColor="text1"/>
        </w:rPr>
        <w:t>ooking at the same region we</w:t>
      </w:r>
      <w:r w:rsidR="00A50295">
        <w:rPr>
          <w:noProof/>
          <w:color w:val="000000" w:themeColor="text1"/>
        </w:rPr>
        <w:t>re essentially absent, either because only a single group of researchers considered that region or the data only support</w:t>
      </w:r>
      <w:r w:rsidR="00B853A5">
        <w:rPr>
          <w:noProof/>
          <w:color w:val="000000" w:themeColor="text1"/>
        </w:rPr>
        <w:t>ed</w:t>
      </w:r>
      <w:r w:rsidR="00A50295">
        <w:rPr>
          <w:noProof/>
          <w:color w:val="000000" w:themeColor="text1"/>
        </w:rPr>
        <w:t xml:space="preserve"> that theory for lack of better evidence.  For example, </w:t>
      </w:r>
      <w:r w:rsidR="00A50295">
        <w:rPr>
          <w:noProof/>
          <w:color w:val="000000"/>
        </w:rPr>
        <w:t xml:space="preserve">Vrba (1996) suggested that the longer period of human growth allowed for distortions in body shape between ancestor and descendant to occur.  Given the information Vrba </w:t>
      </w:r>
      <w:r w:rsidR="00BF0F6B">
        <w:rPr>
          <w:noProof/>
          <w:color w:val="000000"/>
        </w:rPr>
        <w:t>(1996)</w:t>
      </w:r>
      <w:r w:rsidR="00B2740B">
        <w:rPr>
          <w:noProof/>
          <w:color w:val="000000"/>
        </w:rPr>
        <w:t xml:space="preserve"> </w:t>
      </w:r>
      <w:r w:rsidR="00A50295">
        <w:rPr>
          <w:noProof/>
          <w:color w:val="000000"/>
        </w:rPr>
        <w:t xml:space="preserve">had at that time, this </w:t>
      </w:r>
      <w:r w:rsidR="00874D24">
        <w:rPr>
          <w:noProof/>
          <w:color w:val="000000"/>
        </w:rPr>
        <w:t xml:space="preserve">conclusion </w:t>
      </w:r>
      <w:r w:rsidR="00A50295">
        <w:rPr>
          <w:noProof/>
          <w:color w:val="000000"/>
        </w:rPr>
        <w:t>could be reached simply because it could not be refuted by skeletal ev</w:t>
      </w:r>
      <w:r w:rsidR="00392F7F">
        <w:rPr>
          <w:noProof/>
          <w:color w:val="000000"/>
        </w:rPr>
        <w:t>idence that did not yet exist.</w:t>
      </w:r>
    </w:p>
    <w:p w:rsidR="00671999" w:rsidRDefault="00392F7F" w:rsidP="00ED267A">
      <w:pPr>
        <w:rPr>
          <w:noProof/>
          <w:color w:val="000000"/>
        </w:rPr>
      </w:pPr>
      <w:r>
        <w:rPr>
          <w:noProof/>
          <w:color w:val="000000"/>
        </w:rPr>
        <w:t>T</w:t>
      </w:r>
      <w:r w:rsidR="00A50295">
        <w:rPr>
          <w:noProof/>
          <w:color w:val="000000"/>
        </w:rPr>
        <w:t xml:space="preserve">his section </w:t>
      </w:r>
      <w:r>
        <w:rPr>
          <w:noProof/>
          <w:color w:val="000000"/>
        </w:rPr>
        <w:t>will</w:t>
      </w:r>
      <w:r w:rsidR="00A50295">
        <w:rPr>
          <w:noProof/>
          <w:color w:val="000000"/>
        </w:rPr>
        <w:t xml:space="preserve"> attempt to bridge some of these contradictions by use of the integrated data from th</w:t>
      </w:r>
      <w:r>
        <w:rPr>
          <w:noProof/>
          <w:color w:val="000000"/>
        </w:rPr>
        <w:t>e present</w:t>
      </w:r>
      <w:r w:rsidR="00A50295">
        <w:rPr>
          <w:noProof/>
          <w:color w:val="000000"/>
        </w:rPr>
        <w:t xml:space="preserve"> study </w:t>
      </w:r>
      <w:r>
        <w:rPr>
          <w:noProof/>
          <w:color w:val="000000"/>
        </w:rPr>
        <w:t>by means of the</w:t>
      </w:r>
      <w:r w:rsidR="00A50295">
        <w:rPr>
          <w:noProof/>
          <w:color w:val="000000"/>
        </w:rPr>
        <w:t xml:space="preserve"> addition of new data that had not existed during the formation of p</w:t>
      </w:r>
      <w:r>
        <w:rPr>
          <w:noProof/>
          <w:color w:val="000000"/>
        </w:rPr>
        <w:t>ast</w:t>
      </w:r>
      <w:r w:rsidR="00A50295">
        <w:rPr>
          <w:noProof/>
          <w:color w:val="000000"/>
        </w:rPr>
        <w:t xml:space="preserve"> </w:t>
      </w:r>
      <w:r>
        <w:rPr>
          <w:noProof/>
          <w:color w:val="000000"/>
        </w:rPr>
        <w:t>models</w:t>
      </w:r>
      <w:r w:rsidR="00A50295">
        <w:rPr>
          <w:noProof/>
          <w:color w:val="000000"/>
        </w:rPr>
        <w:t xml:space="preserve">.  This will be </w:t>
      </w:r>
      <w:r w:rsidR="00572CC4">
        <w:rPr>
          <w:noProof/>
          <w:color w:val="000000"/>
        </w:rPr>
        <w:t>approached in the same manner in which these data have been analyses where growth rate and sequences of developmental events will be considered separately.</w:t>
      </w:r>
    </w:p>
    <w:p w:rsidR="00671999" w:rsidRDefault="00671999">
      <w:pPr>
        <w:spacing w:before="0" w:after="200" w:line="276" w:lineRule="auto"/>
        <w:jc w:val="left"/>
        <w:rPr>
          <w:noProof/>
          <w:color w:val="000000"/>
        </w:rPr>
      </w:pPr>
      <w:r>
        <w:rPr>
          <w:noProof/>
          <w:color w:val="000000"/>
        </w:rPr>
        <w:br w:type="page"/>
      </w:r>
    </w:p>
    <w:p w:rsidR="00A35CA0" w:rsidRDefault="00A50295" w:rsidP="00CA5FBB">
      <w:pPr>
        <w:pStyle w:val="Heading3"/>
      </w:pPr>
      <w:bookmarkStart w:id="3295" w:name="_Toc373477894"/>
      <w:bookmarkStart w:id="3296" w:name="_Toc373480892"/>
      <w:bookmarkStart w:id="3297" w:name="_Toc373477895"/>
      <w:bookmarkStart w:id="3298" w:name="_Toc373480893"/>
      <w:bookmarkEnd w:id="3295"/>
      <w:bookmarkEnd w:id="3296"/>
      <w:r w:rsidRPr="008708F0">
        <w:lastRenderedPageBreak/>
        <w:t>Growth rate</w:t>
      </w:r>
      <w:bookmarkEnd w:id="3297"/>
      <w:bookmarkEnd w:id="3298"/>
      <w:r w:rsidR="005B7461">
        <w:t xml:space="preserve"> </w:t>
      </w:r>
    </w:p>
    <w:p w:rsidR="00A35CA0" w:rsidRDefault="005520D4" w:rsidP="00CA5FBB">
      <w:pPr>
        <w:spacing w:before="120" w:line="240" w:lineRule="auto"/>
        <w:rPr>
          <w:b/>
          <w:i/>
          <w:noProof/>
        </w:rPr>
      </w:pPr>
      <w:r w:rsidRPr="00450A4C">
        <w:rPr>
          <w:b/>
          <w:i/>
          <w:noProof/>
        </w:rPr>
        <w:t>6.2.1a Growth rate with respect to time</w:t>
      </w:r>
    </w:p>
    <w:p w:rsidR="004019B6" w:rsidRDefault="00A50295" w:rsidP="004019B6">
      <w:pPr>
        <w:spacing w:before="120"/>
        <w:rPr>
          <w:noProof/>
        </w:rPr>
      </w:pPr>
      <w:r>
        <w:rPr>
          <w:noProof/>
        </w:rPr>
        <w:t xml:space="preserve">This study did not use individuals with known age and as such growth rate with respect to years was not </w:t>
      </w:r>
      <w:r w:rsidR="00BA71F9">
        <w:rPr>
          <w:noProof/>
        </w:rPr>
        <w:t>measureable</w:t>
      </w:r>
      <w:r>
        <w:rPr>
          <w:noProof/>
        </w:rPr>
        <w:t xml:space="preserve">.  </w:t>
      </w:r>
      <w:r w:rsidR="00BA71F9">
        <w:rPr>
          <w:noProof/>
        </w:rPr>
        <w:t xml:space="preserve">As previously stated, </w:t>
      </w:r>
      <w:r>
        <w:rPr>
          <w:noProof/>
        </w:rPr>
        <w:t xml:space="preserve">estimated chronological ages from dental development would be possible using Kuykendall’s (1996) </w:t>
      </w:r>
      <w:r w:rsidR="00BA71F9">
        <w:rPr>
          <w:noProof/>
        </w:rPr>
        <w:t>regression equation</w:t>
      </w:r>
      <w:r w:rsidR="004019B6">
        <w:rPr>
          <w:noProof/>
        </w:rPr>
        <w:t xml:space="preserve"> for dental age</w:t>
      </w:r>
      <w:r w:rsidR="00BA71F9">
        <w:rPr>
          <w:noProof/>
        </w:rPr>
        <w:t>.  However, with this information already well-established in the litera</w:t>
      </w:r>
      <w:r w:rsidR="00B4526A">
        <w:rPr>
          <w:noProof/>
        </w:rPr>
        <w:t xml:space="preserve">ture </w:t>
      </w:r>
      <w:r w:rsidR="00BA71F9">
        <w:rPr>
          <w:noProof/>
        </w:rPr>
        <w:t>such</w:t>
      </w:r>
      <w:r>
        <w:rPr>
          <w:noProof/>
        </w:rPr>
        <w:t xml:space="preserve"> </w:t>
      </w:r>
      <w:r w:rsidR="001B1AEA">
        <w:rPr>
          <w:noProof/>
        </w:rPr>
        <w:t xml:space="preserve">data </w:t>
      </w:r>
      <w:r>
        <w:rPr>
          <w:noProof/>
        </w:rPr>
        <w:t>would add n</w:t>
      </w:r>
      <w:r w:rsidR="00A41752">
        <w:rPr>
          <w:noProof/>
        </w:rPr>
        <w:t>o</w:t>
      </w:r>
      <w:r>
        <w:rPr>
          <w:noProof/>
        </w:rPr>
        <w:t xml:space="preserve"> new </w:t>
      </w:r>
      <w:r w:rsidR="00A41752">
        <w:rPr>
          <w:noProof/>
        </w:rPr>
        <w:t>insights in</w:t>
      </w:r>
      <w:r>
        <w:rPr>
          <w:noProof/>
        </w:rPr>
        <w:t xml:space="preserve">to </w:t>
      </w:r>
      <w:r w:rsidR="00BA71F9">
        <w:rPr>
          <w:noProof/>
        </w:rPr>
        <w:t xml:space="preserve">such </w:t>
      </w:r>
      <w:r>
        <w:rPr>
          <w:noProof/>
        </w:rPr>
        <w:t>considerations</w:t>
      </w:r>
      <w:r w:rsidR="004019B6">
        <w:rPr>
          <w:noProof/>
        </w:rPr>
        <w:t xml:space="preserve"> and as estimates, such ‘ages’ </w:t>
      </w:r>
      <w:r w:rsidR="001B1AEA">
        <w:rPr>
          <w:noProof/>
        </w:rPr>
        <w:t>would not represent</w:t>
      </w:r>
      <w:r w:rsidR="004019B6">
        <w:rPr>
          <w:noProof/>
        </w:rPr>
        <w:t xml:space="preserve"> real data points.  The lack of chronological age data required that the assessment focus on aspects of relative growth between </w:t>
      </w:r>
      <w:r w:rsidR="001B1AEA">
        <w:rPr>
          <w:noProof/>
        </w:rPr>
        <w:t xml:space="preserve">different skeletal </w:t>
      </w:r>
      <w:r w:rsidR="004019B6">
        <w:rPr>
          <w:noProof/>
        </w:rPr>
        <w:t>sub-systems.</w:t>
      </w:r>
    </w:p>
    <w:p w:rsidR="00A35CA0" w:rsidRDefault="00FD5141" w:rsidP="00CA5FBB">
      <w:pPr>
        <w:spacing w:before="120"/>
        <w:rPr>
          <w:b/>
          <w:i/>
          <w:noProof/>
        </w:rPr>
      </w:pPr>
      <w:r w:rsidRPr="00FD5141">
        <w:rPr>
          <w:b/>
          <w:i/>
          <w:noProof/>
        </w:rPr>
        <w:t xml:space="preserve">6.2.1b </w:t>
      </w:r>
      <w:r w:rsidR="008943E4" w:rsidRPr="00CA5FBB">
        <w:rPr>
          <w:b/>
          <w:i/>
          <w:noProof/>
        </w:rPr>
        <w:t>Growth rate with respect to dental development</w:t>
      </w:r>
      <w:r w:rsidR="001F0952">
        <w:rPr>
          <w:b/>
          <w:i/>
          <w:noProof/>
        </w:rPr>
        <w:t xml:space="preserve"> in </w:t>
      </w:r>
      <w:r w:rsidR="001F0952">
        <w:rPr>
          <w:b/>
          <w:noProof/>
        </w:rPr>
        <w:t>Pan troglodytes</w:t>
      </w:r>
    </w:p>
    <w:p w:rsidR="00843339" w:rsidRDefault="00833298" w:rsidP="00833298">
      <w:pPr>
        <w:spacing w:before="120"/>
        <w:rPr>
          <w:noProof/>
        </w:rPr>
      </w:pPr>
      <w:r>
        <w:rPr>
          <w:noProof/>
          <w:lang w:val="en-GB" w:eastAsia="en-GB"/>
        </w:rPr>
        <w:drawing>
          <wp:anchor distT="0" distB="0" distL="114300" distR="114300" simplePos="0" relativeHeight="251679744" behindDoc="0" locked="0" layoutInCell="1" allowOverlap="1" wp14:anchorId="4A98257F" wp14:editId="49E3579F">
            <wp:simplePos x="0" y="0"/>
            <wp:positionH relativeFrom="column">
              <wp:posOffset>1560195</wp:posOffset>
            </wp:positionH>
            <wp:positionV relativeFrom="paragraph">
              <wp:posOffset>2996565</wp:posOffset>
            </wp:positionV>
            <wp:extent cx="2639060" cy="2256155"/>
            <wp:effectExtent l="0" t="0" r="889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9060" cy="2256155"/>
                    </a:xfrm>
                    <a:prstGeom prst="rect">
                      <a:avLst/>
                    </a:prstGeom>
                    <a:noFill/>
                    <a:ln>
                      <a:noFill/>
                    </a:ln>
                  </pic:spPr>
                </pic:pic>
              </a:graphicData>
            </a:graphic>
          </wp:anchor>
        </w:drawing>
      </w:r>
      <w:r w:rsidR="00A50295">
        <w:rPr>
          <w:noProof/>
        </w:rPr>
        <w:t>Th</w:t>
      </w:r>
      <w:r w:rsidR="00914DF6">
        <w:rPr>
          <w:noProof/>
        </w:rPr>
        <w:t xml:space="preserve">e data produced in this study </w:t>
      </w:r>
      <w:r w:rsidR="00B4526A">
        <w:rPr>
          <w:noProof/>
        </w:rPr>
        <w:t>includ</w:t>
      </w:r>
      <w:r w:rsidR="00914DF6">
        <w:rPr>
          <w:noProof/>
        </w:rPr>
        <w:t>ed both</w:t>
      </w:r>
      <w:r w:rsidR="00A41752">
        <w:rPr>
          <w:noProof/>
        </w:rPr>
        <w:t xml:space="preserve"> Demirjian dental score </w:t>
      </w:r>
      <w:r w:rsidR="00914DF6">
        <w:rPr>
          <w:noProof/>
        </w:rPr>
        <w:t xml:space="preserve">and </w:t>
      </w:r>
      <w:r w:rsidR="00A41752">
        <w:rPr>
          <w:noProof/>
        </w:rPr>
        <w:t>long-bone length</w:t>
      </w:r>
      <w:r w:rsidR="00914DF6">
        <w:rPr>
          <w:noProof/>
        </w:rPr>
        <w:t>.  This</w:t>
      </w:r>
      <w:r w:rsidR="00A41752">
        <w:rPr>
          <w:noProof/>
        </w:rPr>
        <w:t xml:space="preserve"> provided a unique opportunity </w:t>
      </w:r>
      <w:r w:rsidR="00914DF6">
        <w:rPr>
          <w:noProof/>
        </w:rPr>
        <w:t>for comparison of two types of data that have never been collected before in a single dataset</w:t>
      </w:r>
      <w:r w:rsidR="00A41752">
        <w:rPr>
          <w:noProof/>
        </w:rPr>
        <w:t>.  Summary Demirjian dental score behav</w:t>
      </w:r>
      <w:r w:rsidR="00914DF6">
        <w:rPr>
          <w:noProof/>
        </w:rPr>
        <w:t>ed</w:t>
      </w:r>
      <w:r w:rsidR="00A41752">
        <w:rPr>
          <w:noProof/>
        </w:rPr>
        <w:t xml:space="preserve"> effectively as a continuous variable and as such provided an equivalent measure to a ‘maturational clock.’  Linear regression of long-bone length </w:t>
      </w:r>
      <w:r w:rsidR="004C2B87">
        <w:rPr>
          <w:noProof/>
        </w:rPr>
        <w:t xml:space="preserve">as a function of </w:t>
      </w:r>
      <w:r w:rsidR="00A41752">
        <w:rPr>
          <w:noProof/>
        </w:rPr>
        <w:t>dental maturity score</w:t>
      </w:r>
      <w:r w:rsidR="00914DF6">
        <w:rPr>
          <w:noProof/>
        </w:rPr>
        <w:t xml:space="preserve"> </w:t>
      </w:r>
      <w:r w:rsidR="001F0952">
        <w:rPr>
          <w:noProof/>
        </w:rPr>
        <w:t xml:space="preserve">for </w:t>
      </w:r>
      <w:r w:rsidR="001F0952">
        <w:rPr>
          <w:i/>
          <w:noProof/>
        </w:rPr>
        <w:t xml:space="preserve">Pan troglodytes </w:t>
      </w:r>
      <w:r w:rsidR="00A41752">
        <w:rPr>
          <w:noProof/>
        </w:rPr>
        <w:t xml:space="preserve">found the relationship to be significantly linear for all long-bones.  </w:t>
      </w:r>
      <w:r w:rsidR="00914DF6">
        <w:rPr>
          <w:noProof/>
        </w:rPr>
        <w:t>Th</w:t>
      </w:r>
      <w:r w:rsidR="0071593C">
        <w:rPr>
          <w:noProof/>
        </w:rPr>
        <w:t xml:space="preserve">e question remains as to how this relationship compares to that observed for growth rate relative to chronological time.  It has been </w:t>
      </w:r>
      <w:r w:rsidR="00914DF6">
        <w:rPr>
          <w:noProof/>
        </w:rPr>
        <w:t xml:space="preserve">observed </w:t>
      </w:r>
      <w:r w:rsidR="0071593C">
        <w:rPr>
          <w:noProof/>
        </w:rPr>
        <w:t xml:space="preserve">that chimpanzee growth relative to time does not demonstrate the delayed period of growth associated in humans with childhood (Bogin 1997).  However, this does not necessarily imply that chimpanzee growth relative to time is necessarily linear.  </w:t>
      </w:r>
      <w:r w:rsidR="00843339">
        <w:rPr>
          <w:noProof/>
        </w:rPr>
        <w:t xml:space="preserve">Chimpanzee growth appears slightly geometric until near the end of growth when there is a </w:t>
      </w:r>
      <w:r w:rsidR="0071593C">
        <w:rPr>
          <w:noProof/>
        </w:rPr>
        <w:t xml:space="preserve">slowing </w:t>
      </w:r>
      <w:r w:rsidR="00843339">
        <w:rPr>
          <w:noProof/>
        </w:rPr>
        <w:t>down just prior to</w:t>
      </w:r>
      <w:r w:rsidR="0071593C">
        <w:rPr>
          <w:noProof/>
        </w:rPr>
        <w:t xml:space="preserve"> adulthood </w:t>
      </w:r>
      <w:r w:rsidR="00914DF6">
        <w:rPr>
          <w:noProof/>
        </w:rPr>
        <w:t xml:space="preserve">(Kimura and Hamada </w:t>
      </w:r>
      <w:r w:rsidR="00A41752">
        <w:rPr>
          <w:noProof/>
        </w:rPr>
        <w:t>1996</w:t>
      </w:r>
      <w:r w:rsidR="00914DF6">
        <w:rPr>
          <w:noProof/>
        </w:rPr>
        <w:t xml:space="preserve">, Leigh and Shea 1996, Shea </w:t>
      </w:r>
      <w:r w:rsidR="00A41752">
        <w:rPr>
          <w:noProof/>
        </w:rPr>
        <w:t>1981)</w:t>
      </w:r>
      <w:r w:rsidR="0071593C">
        <w:rPr>
          <w:noProof/>
        </w:rPr>
        <w:t xml:space="preserve">. </w:t>
      </w:r>
      <w:r w:rsidR="00843339">
        <w:rPr>
          <w:noProof/>
        </w:rPr>
        <w:t>A representation of this growth curve is presented in Figure 6.1.</w:t>
      </w:r>
    </w:p>
    <w:p w:rsidR="00843339" w:rsidRDefault="00843339" w:rsidP="00833298">
      <w:pPr>
        <w:autoSpaceDE w:val="0"/>
        <w:autoSpaceDN w:val="0"/>
        <w:adjustRightInd w:val="0"/>
        <w:spacing w:before="60" w:line="240" w:lineRule="auto"/>
        <w:rPr>
          <w:noProof/>
        </w:rPr>
      </w:pPr>
      <w:bookmarkStart w:id="3299" w:name="_Toc373147487"/>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6</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1</w:t>
      </w:r>
      <w:r w:rsidR="008943E4" w:rsidRPr="00997A01">
        <w:rPr>
          <w:b/>
        </w:rPr>
        <w:fldChar w:fldCharType="end"/>
      </w:r>
      <w:r>
        <w:rPr>
          <w:noProof/>
        </w:rPr>
        <w:t xml:space="preserve"> Representation of a chimpanzee growth curve relative to time based on </w:t>
      </w:r>
      <w:r w:rsidR="006D198F">
        <w:rPr>
          <w:noProof/>
        </w:rPr>
        <w:t xml:space="preserve">analysis in </w:t>
      </w:r>
      <w:r>
        <w:rPr>
          <w:noProof/>
        </w:rPr>
        <w:t>prior studies by Kimura and Hamada (1996), Leigh and Shea (1996)</w:t>
      </w:r>
      <w:bookmarkEnd w:id="3299"/>
      <w:r w:rsidR="00EA05B3">
        <w:rPr>
          <w:noProof/>
        </w:rPr>
        <w:t>.</w:t>
      </w:r>
    </w:p>
    <w:p w:rsidR="00A35CA0" w:rsidRDefault="00843339" w:rsidP="00CA5FBB">
      <w:pPr>
        <w:rPr>
          <w:noProof/>
        </w:rPr>
      </w:pPr>
      <w:r>
        <w:rPr>
          <w:noProof/>
        </w:rPr>
        <w:lastRenderedPageBreak/>
        <w:t>Th</w:t>
      </w:r>
      <w:r w:rsidR="00EC037B">
        <w:rPr>
          <w:noProof/>
        </w:rPr>
        <w:t>ere are two question raised in relation to this topic</w:t>
      </w:r>
      <w:r w:rsidR="00641CDA">
        <w:rPr>
          <w:noProof/>
        </w:rPr>
        <w:t xml:space="preserve">.  First, the relationship between dental score and </w:t>
      </w:r>
      <w:r w:rsidR="00A74473">
        <w:rPr>
          <w:noProof/>
        </w:rPr>
        <w:t xml:space="preserve">chronological </w:t>
      </w:r>
      <w:r w:rsidR="00641CDA">
        <w:rPr>
          <w:noProof/>
        </w:rPr>
        <w:t xml:space="preserve">time should be considered as this may go some way to explaining the linear relationships found when comparing long-bone length to dental score.  Second, a consideration of what portion of the </w:t>
      </w:r>
      <w:r w:rsidR="00364C2E">
        <w:rPr>
          <w:noProof/>
        </w:rPr>
        <w:t xml:space="preserve">entire </w:t>
      </w:r>
      <w:r w:rsidR="00641CDA">
        <w:rPr>
          <w:noProof/>
        </w:rPr>
        <w:t xml:space="preserve">growth </w:t>
      </w:r>
      <w:r w:rsidR="00364C2E">
        <w:rPr>
          <w:noProof/>
        </w:rPr>
        <w:t xml:space="preserve">period </w:t>
      </w:r>
      <w:r w:rsidR="00641CDA">
        <w:rPr>
          <w:noProof/>
        </w:rPr>
        <w:t xml:space="preserve">was actually being measured by dental score must also be </w:t>
      </w:r>
      <w:r w:rsidR="0037534D">
        <w:rPr>
          <w:noProof/>
        </w:rPr>
        <w:t xml:space="preserve">assessed </w:t>
      </w:r>
      <w:r w:rsidR="00641CDA">
        <w:rPr>
          <w:noProof/>
        </w:rPr>
        <w:t xml:space="preserve">as it has been found that </w:t>
      </w:r>
      <w:r w:rsidR="00291235">
        <w:rPr>
          <w:noProof/>
        </w:rPr>
        <w:t>growth</w:t>
      </w:r>
      <w:r w:rsidR="00564AF0">
        <w:rPr>
          <w:noProof/>
        </w:rPr>
        <w:t xml:space="preserve"> </w:t>
      </w:r>
      <w:r w:rsidR="00795570">
        <w:rPr>
          <w:noProof/>
        </w:rPr>
        <w:t xml:space="preserve">relative to time </w:t>
      </w:r>
      <w:r w:rsidR="00564AF0">
        <w:rPr>
          <w:noProof/>
        </w:rPr>
        <w:t>in chimpanzees</w:t>
      </w:r>
      <w:r w:rsidR="00291235">
        <w:rPr>
          <w:noProof/>
        </w:rPr>
        <w:t xml:space="preserve"> is non-</w:t>
      </w:r>
      <w:r w:rsidR="00D75A91">
        <w:rPr>
          <w:noProof/>
        </w:rPr>
        <w:t>linear</w:t>
      </w:r>
      <w:r w:rsidR="00291235">
        <w:rPr>
          <w:noProof/>
        </w:rPr>
        <w:t xml:space="preserve"> for the entirety of the development</w:t>
      </w:r>
      <w:r w:rsidR="00D75A91">
        <w:rPr>
          <w:noProof/>
        </w:rPr>
        <w:t xml:space="preserve">.  In this study it was found that growth </w:t>
      </w:r>
      <w:r w:rsidR="00641CDA">
        <w:rPr>
          <w:noProof/>
        </w:rPr>
        <w:t>continues after complete dental maturity (DS64)</w:t>
      </w:r>
      <w:r w:rsidR="00D75A91">
        <w:rPr>
          <w:noProof/>
        </w:rPr>
        <w:t xml:space="preserve"> and this may include the tapering-off of growth observed in both chimpanzees and humans</w:t>
      </w:r>
      <w:r w:rsidR="00641CDA">
        <w:rPr>
          <w:noProof/>
        </w:rPr>
        <w:t>.</w:t>
      </w:r>
      <w:r>
        <w:rPr>
          <w:noProof/>
        </w:rPr>
        <w:t xml:space="preserve">  </w:t>
      </w:r>
      <w:r w:rsidR="00E63B8C">
        <w:rPr>
          <w:noProof/>
        </w:rPr>
        <w:t xml:space="preserve">In order to address this first question, </w:t>
      </w:r>
      <w:r w:rsidR="00875EDB">
        <w:rPr>
          <w:noProof/>
        </w:rPr>
        <w:t xml:space="preserve">the relationship between Kuykendall’s (1996) </w:t>
      </w:r>
      <w:r w:rsidR="00A50295">
        <w:rPr>
          <w:noProof/>
        </w:rPr>
        <w:t>regression equation for 8 teeth</w:t>
      </w:r>
      <w:r w:rsidR="00875EDB">
        <w:rPr>
          <w:noProof/>
        </w:rPr>
        <w:t xml:space="preserve"> and </w:t>
      </w:r>
      <w:r w:rsidR="00432EEF">
        <w:rPr>
          <w:noProof/>
        </w:rPr>
        <w:t xml:space="preserve">chronological </w:t>
      </w:r>
      <w:r w:rsidR="00875EDB">
        <w:rPr>
          <w:noProof/>
        </w:rPr>
        <w:t xml:space="preserve">time is considered.  This relationship is demonstrated </w:t>
      </w:r>
      <w:r w:rsidR="00A50295">
        <w:rPr>
          <w:noProof/>
        </w:rPr>
        <w:t xml:space="preserve">in </w:t>
      </w:r>
      <w:r w:rsidR="0007410B">
        <w:rPr>
          <w:noProof/>
        </w:rPr>
        <w:t>F</w:t>
      </w:r>
      <w:r w:rsidR="00A50295">
        <w:rPr>
          <w:noProof/>
        </w:rPr>
        <w:t>igure 6.</w:t>
      </w:r>
      <w:r w:rsidR="00EC037B">
        <w:rPr>
          <w:noProof/>
        </w:rPr>
        <w:t>2</w:t>
      </w:r>
      <w:r w:rsidR="00A50295">
        <w:rPr>
          <w:noProof/>
        </w:rPr>
        <w:t>.</w:t>
      </w:r>
      <w:r w:rsidR="00875EDB">
        <w:rPr>
          <w:noProof/>
        </w:rPr>
        <w:t xml:space="preserve">  </w:t>
      </w:r>
      <w:r w:rsidR="00C563AD">
        <w:rPr>
          <w:noProof/>
        </w:rPr>
        <w:t xml:space="preserve">The regression curve for </w:t>
      </w:r>
      <w:r w:rsidR="00875EDB">
        <w:rPr>
          <w:noProof/>
        </w:rPr>
        <w:t xml:space="preserve">Demirjian scores </w:t>
      </w:r>
      <w:r w:rsidR="00C563AD">
        <w:rPr>
          <w:noProof/>
        </w:rPr>
        <w:t>relative and</w:t>
      </w:r>
      <w:r w:rsidR="00875EDB">
        <w:rPr>
          <w:noProof/>
        </w:rPr>
        <w:t xml:space="preserve"> chronological years </w:t>
      </w:r>
      <w:r>
        <w:rPr>
          <w:noProof/>
        </w:rPr>
        <w:t xml:space="preserve">has a </w:t>
      </w:r>
      <w:r w:rsidR="001F0952">
        <w:rPr>
          <w:noProof/>
        </w:rPr>
        <w:t xml:space="preserve">slightly </w:t>
      </w:r>
      <w:r w:rsidR="00875EDB">
        <w:rPr>
          <w:noProof/>
        </w:rPr>
        <w:t>geometric</w:t>
      </w:r>
      <w:r w:rsidR="001F0952">
        <w:rPr>
          <w:noProof/>
        </w:rPr>
        <w:t xml:space="preserve"> slope</w:t>
      </w:r>
      <w:r w:rsidR="00875EDB">
        <w:rPr>
          <w:noProof/>
        </w:rPr>
        <w:t>.</w:t>
      </w:r>
    </w:p>
    <w:p w:rsidR="00A50295" w:rsidRDefault="00C71A59" w:rsidP="00A50295">
      <w:pPr>
        <w:autoSpaceDE w:val="0"/>
        <w:autoSpaceDN w:val="0"/>
        <w:adjustRightInd w:val="0"/>
        <w:spacing w:line="240" w:lineRule="auto"/>
        <w:rPr>
          <w:noProof/>
        </w:rPr>
      </w:pPr>
      <w:r>
        <w:rPr>
          <w:noProof/>
          <w:lang w:val="en-GB" w:eastAsia="en-GB"/>
        </w:rPr>
        <w:drawing>
          <wp:anchor distT="0" distB="0" distL="114300" distR="114300" simplePos="0" relativeHeight="251674624" behindDoc="0" locked="1" layoutInCell="1" allowOverlap="0" wp14:anchorId="6B832FC1" wp14:editId="22CBF128">
            <wp:simplePos x="0" y="0"/>
            <wp:positionH relativeFrom="column">
              <wp:posOffset>596900</wp:posOffset>
            </wp:positionH>
            <wp:positionV relativeFrom="paragraph">
              <wp:posOffset>23495</wp:posOffset>
            </wp:positionV>
            <wp:extent cx="4572000" cy="3286760"/>
            <wp:effectExtent l="0" t="0" r="19050" b="27940"/>
            <wp:wrapTopAndBottom/>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bookmarkStart w:id="3300" w:name="_Toc373147488"/>
      <w:proofErr w:type="gramStart"/>
      <w:r w:rsidR="000A22EF" w:rsidRPr="00997A01">
        <w:rPr>
          <w:b/>
        </w:rPr>
        <w:t xml:space="preserve">Figure </w:t>
      </w:r>
      <w:r w:rsidR="008943E4" w:rsidRPr="00997A01">
        <w:rPr>
          <w:b/>
        </w:rPr>
        <w:fldChar w:fldCharType="begin"/>
      </w:r>
      <w:r w:rsidR="000A22EF" w:rsidRPr="00997A01">
        <w:rPr>
          <w:b/>
        </w:rPr>
        <w:instrText xml:space="preserve"> STYLEREF 1 \s </w:instrText>
      </w:r>
      <w:r w:rsidR="008943E4" w:rsidRPr="00997A01">
        <w:rPr>
          <w:b/>
        </w:rPr>
        <w:fldChar w:fldCharType="separate"/>
      </w:r>
      <w:r w:rsidR="00795735">
        <w:rPr>
          <w:b/>
          <w:noProof/>
        </w:rPr>
        <w:t>6</w:t>
      </w:r>
      <w:r w:rsidR="008943E4" w:rsidRPr="00997A01">
        <w:rPr>
          <w:b/>
        </w:rPr>
        <w:fldChar w:fldCharType="end"/>
      </w:r>
      <w:r w:rsidR="000A22EF" w:rsidRPr="00997A01">
        <w:rPr>
          <w:b/>
        </w:rPr>
        <w:t>.</w:t>
      </w:r>
      <w:proofErr w:type="gramEnd"/>
      <w:r w:rsidR="008943E4" w:rsidRPr="00997A01">
        <w:rPr>
          <w:b/>
        </w:rPr>
        <w:fldChar w:fldCharType="begin"/>
      </w:r>
      <w:r w:rsidR="000A22EF" w:rsidRPr="00997A01">
        <w:rPr>
          <w:b/>
        </w:rPr>
        <w:instrText xml:space="preserve"> SEQ Figure \* ARABIC \s 1 </w:instrText>
      </w:r>
      <w:r w:rsidR="008943E4" w:rsidRPr="00997A01">
        <w:rPr>
          <w:b/>
        </w:rPr>
        <w:fldChar w:fldCharType="separate"/>
      </w:r>
      <w:r w:rsidR="00795735">
        <w:rPr>
          <w:b/>
          <w:noProof/>
        </w:rPr>
        <w:t>2</w:t>
      </w:r>
      <w:r w:rsidR="008943E4" w:rsidRPr="00997A01">
        <w:rPr>
          <w:b/>
        </w:rPr>
        <w:fldChar w:fldCharType="end"/>
      </w:r>
      <w:r w:rsidR="000A22EF">
        <w:rPr>
          <w:noProof/>
        </w:rPr>
        <w:t xml:space="preserve"> </w:t>
      </w:r>
      <w:r w:rsidR="008012D2">
        <w:rPr>
          <w:noProof/>
        </w:rPr>
        <w:t xml:space="preserve">Reproduction of </w:t>
      </w:r>
      <w:r w:rsidR="000A22EF">
        <w:rPr>
          <w:noProof/>
        </w:rPr>
        <w:t>Kuykendall’s (1996) regression for dental score relative to chronological age.</w:t>
      </w:r>
      <w:bookmarkEnd w:id="3300"/>
    </w:p>
    <w:p w:rsidR="005D4784" w:rsidRPr="005D4784" w:rsidRDefault="00C35B25" w:rsidP="007A4150">
      <w:pPr>
        <w:rPr>
          <w:b/>
          <w:noProof/>
        </w:rPr>
      </w:pPr>
      <w:r>
        <w:rPr>
          <w:noProof/>
        </w:rPr>
        <w:t xml:space="preserve">Comparison of Figures 6.1 and 6.2 demonstrates that </w:t>
      </w:r>
      <w:r w:rsidR="00564AF0">
        <w:rPr>
          <w:noProof/>
        </w:rPr>
        <w:t xml:space="preserve">the shape of the curve for dental score relative to </w:t>
      </w:r>
      <w:r w:rsidR="00373321">
        <w:rPr>
          <w:noProof/>
        </w:rPr>
        <w:t xml:space="preserve">chronological time </w:t>
      </w:r>
      <w:r w:rsidR="00432EEF">
        <w:rPr>
          <w:noProof/>
        </w:rPr>
        <w:t>behaves with a slightly inverted</w:t>
      </w:r>
      <w:r w:rsidR="00C71A59">
        <w:rPr>
          <w:noProof/>
        </w:rPr>
        <w:t xml:space="preserve"> curve </w:t>
      </w:r>
      <w:r>
        <w:rPr>
          <w:noProof/>
        </w:rPr>
        <w:t xml:space="preserve">compared to </w:t>
      </w:r>
      <w:r w:rsidR="00C71A59">
        <w:rPr>
          <w:noProof/>
        </w:rPr>
        <w:t xml:space="preserve">to that found for growth relative to </w:t>
      </w:r>
      <w:r w:rsidR="003827D9">
        <w:rPr>
          <w:noProof/>
        </w:rPr>
        <w:t xml:space="preserve">chronological </w:t>
      </w:r>
      <w:r w:rsidR="00C71A59">
        <w:rPr>
          <w:noProof/>
        </w:rPr>
        <w:t xml:space="preserve">time.  </w:t>
      </w:r>
      <w:r w:rsidR="008D7359">
        <w:rPr>
          <w:noProof/>
        </w:rPr>
        <w:t>Leight and Shea (1996) provided parametric growth curves for chimpanzees but they did not</w:t>
      </w:r>
      <w:r w:rsidR="00C71A59">
        <w:rPr>
          <w:noProof/>
        </w:rPr>
        <w:t xml:space="preserve"> provided a </w:t>
      </w:r>
      <w:r w:rsidR="008D7359">
        <w:rPr>
          <w:noProof/>
        </w:rPr>
        <w:t xml:space="preserve">numeric </w:t>
      </w:r>
      <w:r w:rsidR="00C71A59">
        <w:rPr>
          <w:noProof/>
        </w:rPr>
        <w:t>regression equation for chimpanzee growth</w:t>
      </w:r>
      <w:r w:rsidR="008D7359">
        <w:rPr>
          <w:noProof/>
        </w:rPr>
        <w:t>.  No other studies have provided this information</w:t>
      </w:r>
      <w:r w:rsidR="00C71A59">
        <w:rPr>
          <w:noProof/>
        </w:rPr>
        <w:t xml:space="preserve"> and it is likely that with the increasing segment early in growth and decreasing segment near the end of growth that </w:t>
      </w:r>
      <w:r w:rsidR="005C08AC">
        <w:rPr>
          <w:noProof/>
        </w:rPr>
        <w:t xml:space="preserve">a regression function for this curve </w:t>
      </w:r>
      <w:r w:rsidR="00C71A59">
        <w:rPr>
          <w:noProof/>
        </w:rPr>
        <w:t>would be a relatively complex polynomial.  This makes direct comparison</w:t>
      </w:r>
      <w:r w:rsidR="008D7359">
        <w:rPr>
          <w:noProof/>
        </w:rPr>
        <w:t>, certainly of the entire growth curve,</w:t>
      </w:r>
      <w:r w:rsidR="00C71A59">
        <w:rPr>
          <w:noProof/>
        </w:rPr>
        <w:t xml:space="preserve"> unquantifiable.  However,</w:t>
      </w:r>
      <w:r w:rsidR="008D7359">
        <w:rPr>
          <w:noProof/>
        </w:rPr>
        <w:t xml:space="preserve"> when considering the increasing segment early in growth,</w:t>
      </w:r>
      <w:r w:rsidR="00C71A59">
        <w:rPr>
          <w:noProof/>
        </w:rPr>
        <w:t xml:space="preserve"> it may be </w:t>
      </w:r>
      <w:r w:rsidR="008D7359">
        <w:rPr>
          <w:noProof/>
        </w:rPr>
        <w:lastRenderedPageBreak/>
        <w:t>suggested</w:t>
      </w:r>
      <w:r w:rsidR="00C71A59">
        <w:rPr>
          <w:noProof/>
        </w:rPr>
        <w:t xml:space="preserve"> that the o</w:t>
      </w:r>
      <w:r w:rsidR="008B2970">
        <w:rPr>
          <w:noProof/>
        </w:rPr>
        <w:t>p</w:t>
      </w:r>
      <w:r w:rsidR="00C71A59">
        <w:rPr>
          <w:noProof/>
        </w:rPr>
        <w:t>posing effects of growth vs. time as opposed to dental score vs.</w:t>
      </w:r>
      <w:r w:rsidR="008B2970">
        <w:rPr>
          <w:noProof/>
        </w:rPr>
        <w:t xml:space="preserve"> time may counteract each other</w:t>
      </w:r>
      <w:r w:rsidR="002C3A4C">
        <w:rPr>
          <w:noProof/>
        </w:rPr>
        <w:t xml:space="preserve">.  This partially explains the </w:t>
      </w:r>
      <w:r w:rsidR="00C71A59">
        <w:rPr>
          <w:noProof/>
        </w:rPr>
        <w:t>much more linear relationship for compari</w:t>
      </w:r>
      <w:r w:rsidR="002C3A4C">
        <w:rPr>
          <w:noProof/>
        </w:rPr>
        <w:t>sons of</w:t>
      </w:r>
      <w:r w:rsidR="00C71A59">
        <w:rPr>
          <w:noProof/>
        </w:rPr>
        <w:t xml:space="preserve"> growth in long-bone length to dental score.</w:t>
      </w:r>
    </w:p>
    <w:p w:rsidR="00E74243" w:rsidRPr="002C3A4C" w:rsidRDefault="008B11CA" w:rsidP="008B11CA">
      <w:pPr>
        <w:rPr>
          <w:noProof/>
        </w:rPr>
      </w:pPr>
      <w:r>
        <w:rPr>
          <w:noProof/>
        </w:rPr>
        <w:t>The second question that must be addressed is the effect of not having a dental reference for length data beyond DS64.</w:t>
      </w:r>
      <w:r w:rsidR="002C3A4C">
        <w:rPr>
          <w:noProof/>
        </w:rPr>
        <w:t xml:space="preserve">  </w:t>
      </w:r>
      <w:r w:rsidR="00616BDB">
        <w:rPr>
          <w:noProof/>
        </w:rPr>
        <w:t xml:space="preserve">It is possible that full dental maturity </w:t>
      </w:r>
      <w:r w:rsidR="00524364">
        <w:rPr>
          <w:noProof/>
        </w:rPr>
        <w:t>meant that</w:t>
      </w:r>
      <w:r w:rsidR="00386A06">
        <w:rPr>
          <w:noProof/>
        </w:rPr>
        <w:t xml:space="preserve"> </w:t>
      </w:r>
      <w:r w:rsidR="00616BDB">
        <w:rPr>
          <w:noProof/>
        </w:rPr>
        <w:t xml:space="preserve">observation </w:t>
      </w:r>
      <w:r w:rsidR="00524364">
        <w:rPr>
          <w:noProof/>
        </w:rPr>
        <w:t xml:space="preserve">ceased </w:t>
      </w:r>
      <w:r w:rsidR="00386A06">
        <w:rPr>
          <w:noProof/>
        </w:rPr>
        <w:t xml:space="preserve">prior to </w:t>
      </w:r>
      <w:r w:rsidR="00616BDB">
        <w:rPr>
          <w:noProof/>
        </w:rPr>
        <w:t>the slow down in growth near complete maturation.  The potential effect of this is demonstrated in</w:t>
      </w:r>
      <w:r w:rsidR="00A50295">
        <w:rPr>
          <w:noProof/>
        </w:rPr>
        <w:t xml:space="preserve"> </w:t>
      </w:r>
      <w:r w:rsidR="00BE1DC7">
        <w:rPr>
          <w:noProof/>
        </w:rPr>
        <w:t>F</w:t>
      </w:r>
      <w:r w:rsidR="00616BDB">
        <w:rPr>
          <w:noProof/>
        </w:rPr>
        <w:t>igure 6.3</w:t>
      </w:r>
      <w:r w:rsidR="00A50295">
        <w:rPr>
          <w:noProof/>
        </w:rPr>
        <w:t>.</w:t>
      </w:r>
    </w:p>
    <w:p w:rsidR="00A50295" w:rsidRDefault="00A50295" w:rsidP="00A50295">
      <w:pPr>
        <w:autoSpaceDE w:val="0"/>
        <w:autoSpaceDN w:val="0"/>
        <w:adjustRightInd w:val="0"/>
        <w:spacing w:line="240" w:lineRule="auto"/>
        <w:jc w:val="center"/>
        <w:rPr>
          <w:noProof/>
        </w:rPr>
      </w:pPr>
      <w:r>
        <w:rPr>
          <w:noProof/>
          <w:lang w:val="en-GB" w:eastAsia="en-GB"/>
        </w:rPr>
        <w:drawing>
          <wp:inline distT="0" distB="0" distL="0" distR="0" wp14:anchorId="3EB2A311" wp14:editId="662688A2">
            <wp:extent cx="4495800" cy="3105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95800" cy="3105150"/>
                    </a:xfrm>
                    <a:prstGeom prst="rect">
                      <a:avLst/>
                    </a:prstGeom>
                    <a:noFill/>
                    <a:ln>
                      <a:noFill/>
                    </a:ln>
                  </pic:spPr>
                </pic:pic>
              </a:graphicData>
            </a:graphic>
          </wp:inline>
        </w:drawing>
      </w:r>
    </w:p>
    <w:p w:rsidR="00A50295" w:rsidRDefault="000A22EF" w:rsidP="00A50295">
      <w:pPr>
        <w:spacing w:line="240" w:lineRule="auto"/>
        <w:rPr>
          <w:noProof/>
        </w:rPr>
      </w:pPr>
      <w:bookmarkStart w:id="3301" w:name="_Toc373147489"/>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6</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3</w:t>
      </w:r>
      <w:r w:rsidR="008943E4" w:rsidRPr="00997A01">
        <w:rPr>
          <w:b/>
        </w:rPr>
        <w:fldChar w:fldCharType="end"/>
      </w:r>
      <w:r w:rsidR="005B7461">
        <w:rPr>
          <w:b/>
        </w:rPr>
        <w:t xml:space="preserve"> </w:t>
      </w:r>
      <w:r>
        <w:rPr>
          <w:noProof/>
        </w:rPr>
        <w:t xml:space="preserve">Demonstration of the limitation of </w:t>
      </w:r>
      <w:r w:rsidR="00386A06">
        <w:rPr>
          <w:noProof/>
        </w:rPr>
        <w:t>DS</w:t>
      </w:r>
      <w:r>
        <w:rPr>
          <w:noProof/>
        </w:rPr>
        <w:t xml:space="preserve">64 individuals </w:t>
      </w:r>
      <w:r w:rsidR="007B3D6C">
        <w:rPr>
          <w:noProof/>
        </w:rPr>
        <w:t>for</w:t>
      </w:r>
      <w:r>
        <w:rPr>
          <w:noProof/>
        </w:rPr>
        <w:t xml:space="preserve"> observing chimpanzee growth curves.</w:t>
      </w:r>
      <w:bookmarkEnd w:id="3301"/>
    </w:p>
    <w:p w:rsidR="001C2BE8" w:rsidRDefault="00FA2348" w:rsidP="00E00D8D">
      <w:pPr>
        <w:rPr>
          <w:noProof/>
        </w:rPr>
      </w:pPr>
      <w:r>
        <w:rPr>
          <w:noProof/>
        </w:rPr>
        <w:t>A</w:t>
      </w:r>
      <w:r w:rsidR="00616BDB">
        <w:rPr>
          <w:noProof/>
        </w:rPr>
        <w:t xml:space="preserve"> number of long-bone epiphyses </w:t>
      </w:r>
      <w:r>
        <w:rPr>
          <w:noProof/>
        </w:rPr>
        <w:t xml:space="preserve">were </w:t>
      </w:r>
      <w:r w:rsidR="00616BDB">
        <w:rPr>
          <w:noProof/>
        </w:rPr>
        <w:t>observed to fuse beyond dental score</w:t>
      </w:r>
      <w:r>
        <w:rPr>
          <w:noProof/>
        </w:rPr>
        <w:t xml:space="preserve"> and with this as evidence</w:t>
      </w:r>
      <w:r w:rsidR="00616BDB">
        <w:rPr>
          <w:noProof/>
        </w:rPr>
        <w:t>, it is likely that growth continued beyond the period observed</w:t>
      </w:r>
      <w:r>
        <w:rPr>
          <w:noProof/>
        </w:rPr>
        <w:t xml:space="preserve"> by dental score</w:t>
      </w:r>
      <w:r w:rsidR="00616BDB">
        <w:rPr>
          <w:noProof/>
        </w:rPr>
        <w:t xml:space="preserve"> in this study.  </w:t>
      </w:r>
      <w:r w:rsidR="005E7418">
        <w:rPr>
          <w:noProof/>
        </w:rPr>
        <w:t>There have been no studies of growth</w:t>
      </w:r>
      <w:r w:rsidR="00DC4777">
        <w:rPr>
          <w:noProof/>
        </w:rPr>
        <w:t xml:space="preserve"> in long-bone length</w:t>
      </w:r>
      <w:r w:rsidR="005E7418">
        <w:rPr>
          <w:noProof/>
        </w:rPr>
        <w:t xml:space="preserve"> relative to chronological time that have also presented dental maturity data.  Without age at death being known for the sample in the present study there are no means to determine how much of an effect the limitation of dental score has on the analysis of the data.  However, it should be kept in mind that this later-stage slowing of growth only accounts for a small portion of the growth curve</w:t>
      </w:r>
      <w:r w:rsidR="00E00D8D">
        <w:rPr>
          <w:noProof/>
        </w:rPr>
        <w:t>.</w:t>
      </w:r>
      <w:r w:rsidR="007C4C4B">
        <w:rPr>
          <w:noProof/>
        </w:rPr>
        <w:t xml:space="preserve">  </w:t>
      </w:r>
      <w:r w:rsidR="005256EE">
        <w:rPr>
          <w:noProof/>
        </w:rPr>
        <w:t>Additionally, even i</w:t>
      </w:r>
      <w:r w:rsidR="00BB78EC">
        <w:rPr>
          <w:noProof/>
        </w:rPr>
        <w:t>f dental maturation did extend to</w:t>
      </w:r>
      <w:r w:rsidR="00171AF3">
        <w:rPr>
          <w:noProof/>
        </w:rPr>
        <w:t xml:space="preserve"> or beyond</w:t>
      </w:r>
      <w:r w:rsidR="00BB78EC">
        <w:rPr>
          <w:noProof/>
        </w:rPr>
        <w:t xml:space="preserve"> </w:t>
      </w:r>
      <w:r w:rsidR="0025326C">
        <w:rPr>
          <w:noProof/>
        </w:rPr>
        <w:t>the end of skeletal development</w:t>
      </w:r>
      <w:r w:rsidR="00BB78EC">
        <w:rPr>
          <w:noProof/>
        </w:rPr>
        <w:t xml:space="preserve"> there would be no </w:t>
      </w:r>
      <w:r w:rsidR="0025326C">
        <w:rPr>
          <w:noProof/>
        </w:rPr>
        <w:t xml:space="preserve">means to assess if it would or would not </w:t>
      </w:r>
      <w:r w:rsidR="00BB78EC">
        <w:rPr>
          <w:noProof/>
        </w:rPr>
        <w:t xml:space="preserve">slow in tandem with skeletal development, thereby maintaining a linear skeletal-dental relationship.  </w:t>
      </w:r>
      <w:r w:rsidR="008C344C">
        <w:rPr>
          <w:noProof/>
        </w:rPr>
        <w:t>S</w:t>
      </w:r>
      <w:r w:rsidR="00BB78EC">
        <w:rPr>
          <w:noProof/>
        </w:rPr>
        <w:t xml:space="preserve">uch an observation remains speculative and the present pattern of maturation must be accepted </w:t>
      </w:r>
      <w:r w:rsidR="00255836">
        <w:rPr>
          <w:noProof/>
        </w:rPr>
        <w:t xml:space="preserve">as </w:t>
      </w:r>
      <w:r w:rsidR="00BB78EC">
        <w:rPr>
          <w:noProof/>
        </w:rPr>
        <w:t xml:space="preserve">it is.  </w:t>
      </w:r>
      <w:r w:rsidR="005E7418">
        <w:rPr>
          <w:noProof/>
        </w:rPr>
        <w:t xml:space="preserve">The </w:t>
      </w:r>
      <w:r w:rsidR="005E7418">
        <w:rPr>
          <w:noProof/>
        </w:rPr>
        <w:lastRenderedPageBreak/>
        <w:t>result that dental score relative to growth in length of long-bones</w:t>
      </w:r>
      <w:r w:rsidR="003F5DC2">
        <w:rPr>
          <w:noProof/>
        </w:rPr>
        <w:t xml:space="preserve"> </w:t>
      </w:r>
      <w:r w:rsidR="00E00D8D">
        <w:rPr>
          <w:noProof/>
        </w:rPr>
        <w:t xml:space="preserve">shows a high degree of linearity </w:t>
      </w:r>
      <w:r w:rsidR="00936D31">
        <w:rPr>
          <w:noProof/>
        </w:rPr>
        <w:t xml:space="preserve">for the period of maturation observed </w:t>
      </w:r>
      <w:r w:rsidR="005E7418">
        <w:rPr>
          <w:noProof/>
        </w:rPr>
        <w:t xml:space="preserve">is still very important.  </w:t>
      </w:r>
      <w:r w:rsidR="00E00D8D">
        <w:rPr>
          <w:noProof/>
        </w:rPr>
        <w:t>It implies that as a maturational ‘clock’ that dental mineralization provi</w:t>
      </w:r>
      <w:r w:rsidR="007C4C4B">
        <w:rPr>
          <w:noProof/>
        </w:rPr>
        <w:t>des a well-regulated reference.</w:t>
      </w:r>
      <w:r w:rsidR="007D0309">
        <w:rPr>
          <w:noProof/>
        </w:rPr>
        <w:t xml:space="preserve">  </w:t>
      </w:r>
      <w:r w:rsidR="001C2BE8">
        <w:rPr>
          <w:noProof/>
        </w:rPr>
        <w:t>It may be question</w:t>
      </w:r>
      <w:r w:rsidR="00A227BF">
        <w:rPr>
          <w:noProof/>
        </w:rPr>
        <w:t>ed</w:t>
      </w:r>
      <w:r w:rsidR="001C2BE8">
        <w:rPr>
          <w:noProof/>
        </w:rPr>
        <w:t xml:space="preserve"> how well humans adhere to the principle that long-bone length is linearly related to dental score.  It was noted in Chapter 3 that human and chimpanzee dental score regression curves relative to time demon</w:t>
      </w:r>
      <w:r w:rsidR="00EA0519">
        <w:rPr>
          <w:noProof/>
        </w:rPr>
        <w:t>s</w:t>
      </w:r>
      <w:r w:rsidR="001C2BE8">
        <w:rPr>
          <w:noProof/>
        </w:rPr>
        <w:t xml:space="preserve">trated differences consistent with differences in growth pattern between the two species.  This may imply that the same </w:t>
      </w:r>
      <w:r w:rsidR="009434B8">
        <w:rPr>
          <w:noProof/>
        </w:rPr>
        <w:t xml:space="preserve">relationship between dental mineralization and skeletal development </w:t>
      </w:r>
      <w:r w:rsidR="001C2BE8">
        <w:rPr>
          <w:noProof/>
        </w:rPr>
        <w:t>would be observed</w:t>
      </w:r>
      <w:r w:rsidR="006E6C51">
        <w:rPr>
          <w:noProof/>
        </w:rPr>
        <w:t xml:space="preserve"> in humans</w:t>
      </w:r>
      <w:r w:rsidR="001C2BE8">
        <w:rPr>
          <w:noProof/>
        </w:rPr>
        <w:t xml:space="preserve">.  However, it has also been shown </w:t>
      </w:r>
      <w:r w:rsidR="008C2E4F">
        <w:rPr>
          <w:noProof/>
        </w:rPr>
        <w:t>that</w:t>
      </w:r>
      <w:r w:rsidR="00D2174D">
        <w:rPr>
          <w:noProof/>
        </w:rPr>
        <w:t xml:space="preserve"> there is an offset </w:t>
      </w:r>
      <w:r w:rsidR="001A1CFE">
        <w:rPr>
          <w:noProof/>
        </w:rPr>
        <w:t>between</w:t>
      </w:r>
      <w:r w:rsidR="00D2174D">
        <w:rPr>
          <w:noProof/>
        </w:rPr>
        <w:t xml:space="preserve"> skeletal</w:t>
      </w:r>
      <w:r w:rsidR="001A1CFE">
        <w:rPr>
          <w:noProof/>
        </w:rPr>
        <w:t xml:space="preserve"> and </w:t>
      </w:r>
      <w:r w:rsidR="008C2E4F">
        <w:rPr>
          <w:noProof/>
        </w:rPr>
        <w:t>dental sequences in humans</w:t>
      </w:r>
      <w:r w:rsidR="006C7925">
        <w:rPr>
          <w:noProof/>
        </w:rPr>
        <w:t xml:space="preserve"> for the third molar</w:t>
      </w:r>
      <w:r w:rsidR="008C2E4F">
        <w:rPr>
          <w:noProof/>
        </w:rPr>
        <w:t>, meaning that the period of total growth for human dental developmental is not directly analagous to chimpanzees</w:t>
      </w:r>
      <w:r w:rsidR="007D0309">
        <w:rPr>
          <w:noProof/>
        </w:rPr>
        <w:t>.  This makes</w:t>
      </w:r>
      <w:r w:rsidR="001C2BE8">
        <w:rPr>
          <w:noProof/>
        </w:rPr>
        <w:t xml:space="preserve"> direct comparison not technically valid as the same period of skeletal</w:t>
      </w:r>
      <w:r w:rsidR="00B27D0E">
        <w:rPr>
          <w:noProof/>
        </w:rPr>
        <w:t xml:space="preserve"> growth would not be observed.</w:t>
      </w:r>
    </w:p>
    <w:p w:rsidR="00A35CA0" w:rsidRDefault="00B27D0E" w:rsidP="00CA5FBB">
      <w:pPr>
        <w:rPr>
          <w:b/>
          <w:i/>
          <w:noProof/>
        </w:rPr>
      </w:pPr>
      <w:r>
        <w:rPr>
          <w:b/>
          <w:i/>
          <w:noProof/>
        </w:rPr>
        <w:t>6.2.1c</w:t>
      </w:r>
      <w:r w:rsidRPr="00FD5141">
        <w:rPr>
          <w:b/>
          <w:i/>
          <w:noProof/>
        </w:rPr>
        <w:t xml:space="preserve"> </w:t>
      </w:r>
      <w:r w:rsidR="008943E4" w:rsidRPr="00CA5FBB">
        <w:rPr>
          <w:b/>
          <w:i/>
          <w:noProof/>
        </w:rPr>
        <w:t>Growth rate with respect to dental development</w:t>
      </w:r>
      <w:r>
        <w:rPr>
          <w:b/>
          <w:i/>
          <w:noProof/>
        </w:rPr>
        <w:t xml:space="preserve"> in </w:t>
      </w:r>
      <w:r>
        <w:rPr>
          <w:b/>
          <w:noProof/>
        </w:rPr>
        <w:t>Pan paniscus</w:t>
      </w:r>
    </w:p>
    <w:p w:rsidR="00A35CA0" w:rsidRDefault="00D256B6" w:rsidP="00CA5FBB">
      <w:pPr>
        <w:rPr>
          <w:b/>
          <w:i/>
          <w:noProof/>
        </w:rPr>
      </w:pPr>
      <w:r>
        <w:rPr>
          <w:noProof/>
        </w:rPr>
        <w:t xml:space="preserve">As noted in Chapter 4, growth rate relative to dental development was not evaluated for </w:t>
      </w:r>
      <w:r>
        <w:rPr>
          <w:i/>
          <w:noProof/>
        </w:rPr>
        <w:t>Pan paniscus</w:t>
      </w:r>
      <w:r>
        <w:rPr>
          <w:noProof/>
        </w:rPr>
        <w:t xml:space="preserve"> due to sample size limitations.</w:t>
      </w:r>
      <w:r w:rsidR="00A50295">
        <w:rPr>
          <w:noProof/>
        </w:rPr>
        <w:t xml:space="preserve">  However, with assumed consistency for dental development, as indicated by Boughner </w:t>
      </w:r>
      <w:r w:rsidR="00EA0519">
        <w:rPr>
          <w:i/>
          <w:noProof/>
        </w:rPr>
        <w:t>et al</w:t>
      </w:r>
      <w:r w:rsidR="00EA0519">
        <w:rPr>
          <w:noProof/>
        </w:rPr>
        <w:t>.</w:t>
      </w:r>
      <w:r w:rsidR="00A50295">
        <w:rPr>
          <w:noProof/>
        </w:rPr>
        <w:t xml:space="preserve"> (2012) and long-bone growth as indicated by Shea (1981), expectations should not have been different from the pattern observed in chimpanzees.  </w:t>
      </w:r>
      <w:r w:rsidR="0016254B">
        <w:rPr>
          <w:noProof/>
        </w:rPr>
        <w:t>To the extent possible given the limitations of the available data, t</w:t>
      </w:r>
      <w:r w:rsidR="00A50295">
        <w:rPr>
          <w:noProof/>
        </w:rPr>
        <w:t xml:space="preserve">he data for </w:t>
      </w:r>
      <w:r w:rsidR="00A50295">
        <w:rPr>
          <w:i/>
          <w:noProof/>
        </w:rPr>
        <w:t>Pan paniscus</w:t>
      </w:r>
      <w:r w:rsidR="00A50295">
        <w:rPr>
          <w:noProof/>
        </w:rPr>
        <w:t xml:space="preserve"> appeared to confirm this trend.  Thus, for comparisons of dental score to growth in length, this study has not expanded or brought forth any particularly new information relevant to developmental theory</w:t>
      </w:r>
      <w:r w:rsidR="00223F60">
        <w:rPr>
          <w:noProof/>
        </w:rPr>
        <w:t xml:space="preserve"> for this species</w:t>
      </w:r>
      <w:r w:rsidR="00A50295">
        <w:rPr>
          <w:noProof/>
        </w:rPr>
        <w:t>.  It has confir</w:t>
      </w:r>
      <w:r w:rsidR="0016254B">
        <w:rPr>
          <w:noProof/>
        </w:rPr>
        <w:t xml:space="preserve">med the results of past studies, notably Shea (1981) </w:t>
      </w:r>
      <w:r w:rsidR="00A50295">
        <w:rPr>
          <w:noProof/>
        </w:rPr>
        <w:t>and found expected trends.</w:t>
      </w:r>
    </w:p>
    <w:p w:rsidR="00A35CA0" w:rsidRDefault="00FD5141" w:rsidP="00CA5FBB">
      <w:pPr>
        <w:spacing w:line="240" w:lineRule="auto"/>
        <w:rPr>
          <w:b/>
          <w:i/>
          <w:noProof/>
        </w:rPr>
      </w:pPr>
      <w:r>
        <w:rPr>
          <w:b/>
          <w:i/>
          <w:noProof/>
        </w:rPr>
        <w:t>6.2.1</w:t>
      </w:r>
      <w:r w:rsidR="00337B55">
        <w:rPr>
          <w:b/>
          <w:i/>
          <w:noProof/>
        </w:rPr>
        <w:t>d</w:t>
      </w:r>
      <w:r w:rsidR="005520D4" w:rsidRPr="00CF6E81">
        <w:rPr>
          <w:b/>
          <w:i/>
          <w:noProof/>
        </w:rPr>
        <w:t xml:space="preserve"> Allometry and growth</w:t>
      </w:r>
    </w:p>
    <w:p w:rsidR="00EE5A99" w:rsidRDefault="008B0887" w:rsidP="006734F4">
      <w:pPr>
        <w:rPr>
          <w:noProof/>
        </w:rPr>
      </w:pPr>
      <w:r>
        <w:rPr>
          <w:noProof/>
        </w:rPr>
        <w:t>In Chapter 4, comparisons of log</w:t>
      </w:r>
      <w:r w:rsidRPr="00D256B6">
        <w:rPr>
          <w:noProof/>
          <w:vertAlign w:val="subscript"/>
        </w:rPr>
        <w:t>10</w:t>
      </w:r>
      <w:r>
        <w:rPr>
          <w:noProof/>
        </w:rPr>
        <w:t>-transformed intermembral ind</w:t>
      </w:r>
      <w:r w:rsidR="000C48A6">
        <w:rPr>
          <w:noProof/>
        </w:rPr>
        <w:t>ex</w:t>
      </w:r>
      <w:r>
        <w:rPr>
          <w:noProof/>
        </w:rPr>
        <w:t xml:space="preserve">es were made to results from Shea (1981).  Some of the individuals were the same as those used by Shea including all of the </w:t>
      </w:r>
      <w:r>
        <w:rPr>
          <w:i/>
          <w:noProof/>
        </w:rPr>
        <w:t>Pan paniscus</w:t>
      </w:r>
      <w:r>
        <w:rPr>
          <w:noProof/>
        </w:rPr>
        <w:t xml:space="preserve"> and </w:t>
      </w:r>
      <w:r>
        <w:rPr>
          <w:i/>
          <w:noProof/>
        </w:rPr>
        <w:t xml:space="preserve">Pan troglodytes troglodytes </w:t>
      </w:r>
      <w:r>
        <w:rPr>
          <w:noProof/>
        </w:rPr>
        <w:t xml:space="preserve">individuals, although his study did not include </w:t>
      </w:r>
      <w:r>
        <w:rPr>
          <w:i/>
          <w:noProof/>
        </w:rPr>
        <w:t>Pan troglodytes schweinfurthii</w:t>
      </w:r>
      <w:r>
        <w:rPr>
          <w:noProof/>
        </w:rPr>
        <w:t>.  The analysis performed in the present study reproduced the log</w:t>
      </w:r>
      <w:r w:rsidRPr="00C9756B">
        <w:rPr>
          <w:noProof/>
          <w:vertAlign w:val="subscript"/>
        </w:rPr>
        <w:t>10</w:t>
      </w:r>
      <w:r>
        <w:rPr>
          <w:noProof/>
        </w:rPr>
        <w:t>-transform regression performed by Shea and determined that exactly the same trend was observed with the inclusion of a new sub-species (</w:t>
      </w:r>
      <w:r>
        <w:rPr>
          <w:i/>
          <w:noProof/>
        </w:rPr>
        <w:t>Pan troglodytes schweinfurthii</w:t>
      </w:r>
      <w:r>
        <w:rPr>
          <w:noProof/>
        </w:rPr>
        <w:t xml:space="preserve">).  </w:t>
      </w:r>
      <w:r w:rsidR="00E3179A">
        <w:rPr>
          <w:noProof/>
        </w:rPr>
        <w:t xml:space="preserve">Limb length appears to remain isometrically scaled for all limbs during growth for both </w:t>
      </w:r>
      <w:r w:rsidR="00E3179A">
        <w:rPr>
          <w:i/>
          <w:noProof/>
        </w:rPr>
        <w:t>Pan troglodytes</w:t>
      </w:r>
      <w:r w:rsidR="00E3179A">
        <w:rPr>
          <w:noProof/>
        </w:rPr>
        <w:t xml:space="preserve"> and </w:t>
      </w:r>
      <w:r w:rsidR="00E3179A">
        <w:rPr>
          <w:i/>
          <w:noProof/>
        </w:rPr>
        <w:t>Pan paniscus</w:t>
      </w:r>
      <w:r w:rsidR="00E3179A">
        <w:rPr>
          <w:noProof/>
        </w:rPr>
        <w:t xml:space="preserve">.  </w:t>
      </w:r>
      <w:r w:rsidR="00F612FC">
        <w:rPr>
          <w:noProof/>
        </w:rPr>
        <w:t xml:space="preserve">Given that </w:t>
      </w:r>
      <w:r w:rsidR="00F612FC">
        <w:rPr>
          <w:i/>
          <w:noProof/>
        </w:rPr>
        <w:t>Pan paniscus</w:t>
      </w:r>
      <w:r w:rsidR="00F612FC">
        <w:rPr>
          <w:noProof/>
        </w:rPr>
        <w:t xml:space="preserve"> has an older separation time from all sub-species of </w:t>
      </w:r>
      <w:r w:rsidR="00F612FC">
        <w:rPr>
          <w:i/>
          <w:noProof/>
        </w:rPr>
        <w:t>Pan troglodytes</w:t>
      </w:r>
      <w:r w:rsidR="00F612FC">
        <w:rPr>
          <w:noProof/>
        </w:rPr>
        <w:t xml:space="preserve"> and Shea’s (1981) evidence suggested that </w:t>
      </w:r>
      <w:r w:rsidR="00F612FC">
        <w:rPr>
          <w:i/>
          <w:noProof/>
        </w:rPr>
        <w:t>Pan paniscus</w:t>
      </w:r>
      <w:r w:rsidR="00F612FC">
        <w:rPr>
          <w:noProof/>
        </w:rPr>
        <w:t xml:space="preserve"> and </w:t>
      </w:r>
      <w:r w:rsidR="00F612FC">
        <w:rPr>
          <w:i/>
          <w:noProof/>
        </w:rPr>
        <w:t>Pan troglodytes</w:t>
      </w:r>
      <w:r w:rsidR="00F612FC">
        <w:t xml:space="preserve"> shared the same pattern, it is not surprising that the sub-species of </w:t>
      </w:r>
      <w:r w:rsidR="00F612FC">
        <w:rPr>
          <w:i/>
        </w:rPr>
        <w:t xml:space="preserve">Pan </w:t>
      </w:r>
      <w:proofErr w:type="gramStart"/>
      <w:r w:rsidR="00F612FC">
        <w:rPr>
          <w:i/>
        </w:rPr>
        <w:t>troglodytes</w:t>
      </w:r>
      <w:proofErr w:type="gramEnd"/>
      <w:r w:rsidR="00F612FC">
        <w:t xml:space="preserve"> do not differ.  </w:t>
      </w:r>
      <w:r>
        <w:rPr>
          <w:noProof/>
        </w:rPr>
        <w:t xml:space="preserve">All of Shea’s (1981) observations of limb segment growth have also held true for both species including the addition of </w:t>
      </w:r>
      <w:r>
        <w:rPr>
          <w:i/>
          <w:noProof/>
        </w:rPr>
        <w:t>Pan troglodytes schweinfurthii</w:t>
      </w:r>
      <w:r w:rsidR="00E3179A">
        <w:rPr>
          <w:noProof/>
        </w:rPr>
        <w:t>.</w:t>
      </w:r>
      <w:r w:rsidR="00EE5A99">
        <w:rPr>
          <w:noProof/>
        </w:rPr>
        <w:br w:type="page"/>
      </w:r>
    </w:p>
    <w:p w:rsidR="00A35CA0" w:rsidRDefault="008012D2" w:rsidP="00CA5FBB">
      <w:pPr>
        <w:pStyle w:val="Heading3"/>
      </w:pPr>
      <w:bookmarkStart w:id="3302" w:name="_Toc373477896"/>
      <w:bookmarkStart w:id="3303" w:name="_Toc373480894"/>
      <w:bookmarkStart w:id="3304" w:name="_Toc372916618"/>
      <w:bookmarkStart w:id="3305" w:name="_Toc372916872"/>
      <w:bookmarkStart w:id="3306" w:name="_Toc372917093"/>
      <w:bookmarkStart w:id="3307" w:name="_Toc372917309"/>
      <w:bookmarkStart w:id="3308" w:name="_Toc372917523"/>
      <w:bookmarkStart w:id="3309" w:name="_Toc372917733"/>
      <w:bookmarkStart w:id="3310" w:name="_Toc372917942"/>
      <w:bookmarkStart w:id="3311" w:name="_Toc372918151"/>
      <w:bookmarkStart w:id="3312" w:name="_Toc372918360"/>
      <w:bookmarkStart w:id="3313" w:name="_Toc372918563"/>
      <w:bookmarkStart w:id="3314" w:name="_Toc372918768"/>
      <w:bookmarkStart w:id="3315" w:name="_Toc372918973"/>
      <w:bookmarkStart w:id="3316" w:name="_Toc372919174"/>
      <w:bookmarkStart w:id="3317" w:name="_Toc372919374"/>
      <w:bookmarkStart w:id="3318" w:name="_Toc372919668"/>
      <w:bookmarkStart w:id="3319" w:name="_Toc372919865"/>
      <w:bookmarkStart w:id="3320" w:name="_Toc372920062"/>
      <w:bookmarkStart w:id="3321" w:name="_Toc372920259"/>
      <w:bookmarkStart w:id="3322" w:name="_Toc372920457"/>
      <w:bookmarkStart w:id="3323" w:name="_Toc372920654"/>
      <w:bookmarkStart w:id="3324" w:name="_Toc372920850"/>
      <w:bookmarkStart w:id="3325" w:name="_Toc372921046"/>
      <w:bookmarkStart w:id="3326" w:name="_Toc372921242"/>
      <w:bookmarkStart w:id="3327" w:name="_Toc372921438"/>
      <w:bookmarkStart w:id="3328" w:name="_Toc372921640"/>
      <w:bookmarkStart w:id="3329" w:name="_Toc372921836"/>
      <w:bookmarkStart w:id="3330" w:name="_Toc372922032"/>
      <w:bookmarkStart w:id="3331" w:name="_Toc372928312"/>
      <w:bookmarkStart w:id="3332" w:name="_Toc372928616"/>
      <w:bookmarkStart w:id="3333" w:name="_Toc372928812"/>
      <w:bookmarkStart w:id="3334" w:name="_Toc372981815"/>
      <w:bookmarkStart w:id="3335" w:name="_Toc373072042"/>
      <w:bookmarkStart w:id="3336" w:name="_Toc373147359"/>
      <w:bookmarkStart w:id="3337" w:name="_Toc373477897"/>
      <w:bookmarkStart w:id="3338" w:name="_Toc373480895"/>
      <w:bookmarkStart w:id="3339" w:name="_Toc372916619"/>
      <w:bookmarkStart w:id="3340" w:name="_Toc372916873"/>
      <w:bookmarkStart w:id="3341" w:name="_Toc372917094"/>
      <w:bookmarkStart w:id="3342" w:name="_Toc372917310"/>
      <w:bookmarkStart w:id="3343" w:name="_Toc372917524"/>
      <w:bookmarkStart w:id="3344" w:name="_Toc372917734"/>
      <w:bookmarkStart w:id="3345" w:name="_Toc372917943"/>
      <w:bookmarkStart w:id="3346" w:name="_Toc372918152"/>
      <w:bookmarkStart w:id="3347" w:name="_Toc372918361"/>
      <w:bookmarkStart w:id="3348" w:name="_Toc372918564"/>
      <w:bookmarkStart w:id="3349" w:name="_Toc372918769"/>
      <w:bookmarkStart w:id="3350" w:name="_Toc372918974"/>
      <w:bookmarkStart w:id="3351" w:name="_Toc372919175"/>
      <w:bookmarkStart w:id="3352" w:name="_Toc372919375"/>
      <w:bookmarkStart w:id="3353" w:name="_Toc372919669"/>
      <w:bookmarkStart w:id="3354" w:name="_Toc372919866"/>
      <w:bookmarkStart w:id="3355" w:name="_Toc372920063"/>
      <w:bookmarkStart w:id="3356" w:name="_Toc372920260"/>
      <w:bookmarkStart w:id="3357" w:name="_Toc372920458"/>
      <w:bookmarkStart w:id="3358" w:name="_Toc372920655"/>
      <w:bookmarkStart w:id="3359" w:name="_Toc372920851"/>
      <w:bookmarkStart w:id="3360" w:name="_Toc372921047"/>
      <w:bookmarkStart w:id="3361" w:name="_Toc372921243"/>
      <w:bookmarkStart w:id="3362" w:name="_Toc372921439"/>
      <w:bookmarkStart w:id="3363" w:name="_Toc372921641"/>
      <w:bookmarkStart w:id="3364" w:name="_Toc372921837"/>
      <w:bookmarkStart w:id="3365" w:name="_Toc372922033"/>
      <w:bookmarkStart w:id="3366" w:name="_Toc372928313"/>
      <w:bookmarkStart w:id="3367" w:name="_Toc372928617"/>
      <w:bookmarkStart w:id="3368" w:name="_Toc372928813"/>
      <w:bookmarkStart w:id="3369" w:name="_Toc372981816"/>
      <w:bookmarkStart w:id="3370" w:name="_Toc373072043"/>
      <w:bookmarkStart w:id="3371" w:name="_Toc373147360"/>
      <w:bookmarkStart w:id="3372" w:name="_Toc373477898"/>
      <w:bookmarkStart w:id="3373" w:name="_Toc373480896"/>
      <w:bookmarkStart w:id="3374" w:name="_Toc373477899"/>
      <w:bookmarkStart w:id="3375" w:name="_Toc373480897"/>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r>
        <w:lastRenderedPageBreak/>
        <w:t>Patterns of g</w:t>
      </w:r>
      <w:r w:rsidRPr="008708F0">
        <w:t>rowth</w:t>
      </w:r>
      <w:r>
        <w:t xml:space="preserve">: </w:t>
      </w:r>
      <w:r w:rsidR="00DE38F3">
        <w:t>analysis of s</w:t>
      </w:r>
      <w:r>
        <w:t>equences</w:t>
      </w:r>
      <w:bookmarkEnd w:id="3374"/>
      <w:bookmarkEnd w:id="3375"/>
    </w:p>
    <w:p w:rsidR="00A35CA0" w:rsidRDefault="002F6B2C" w:rsidP="00CA5FBB">
      <w:pPr>
        <w:rPr>
          <w:noProof/>
        </w:rPr>
      </w:pPr>
      <w:r w:rsidRPr="002F6B2C">
        <w:rPr>
          <w:noProof/>
        </w:rPr>
        <w:t xml:space="preserve">The analysis of developmental sequence in this study focuses on epiphyseal fusion and the relationship between fusion events and dental development.  This section will focus on </w:t>
      </w:r>
      <w:r w:rsidRPr="002F6B2C">
        <w:rPr>
          <w:i/>
          <w:noProof/>
        </w:rPr>
        <w:t>Pan troglodytes</w:t>
      </w:r>
      <w:r w:rsidRPr="002F6B2C">
        <w:rPr>
          <w:noProof/>
        </w:rPr>
        <w:t xml:space="preserve"> as this is the </w:t>
      </w:r>
      <w:r w:rsidRPr="002F6B2C">
        <w:rPr>
          <w:i/>
          <w:noProof/>
        </w:rPr>
        <w:t xml:space="preserve">Pan </w:t>
      </w:r>
      <w:r w:rsidRPr="002F6B2C">
        <w:rPr>
          <w:noProof/>
        </w:rPr>
        <w:t xml:space="preserve">species from which the greater breadth of analysis was performed.  Epiphyseal fusion sequence seriations will first be considered and the relevance of general trends discussed.  Comparisons to humans as well as to general primate patterns will be made.  For the second part of this analysis the relationship between skeletal and dental development in humans and chimpanzees will be compared and the implications of differences </w:t>
      </w:r>
      <w:r w:rsidR="0061498E">
        <w:rPr>
          <w:noProof/>
        </w:rPr>
        <w:t xml:space="preserve">found </w:t>
      </w:r>
      <w:r w:rsidRPr="002F6B2C">
        <w:rPr>
          <w:noProof/>
        </w:rPr>
        <w:t>discussed.</w:t>
      </w:r>
    </w:p>
    <w:p w:rsidR="00467708" w:rsidRPr="00467708" w:rsidRDefault="00B37BFE" w:rsidP="00467708">
      <w:pPr>
        <w:rPr>
          <w:b/>
          <w:i/>
          <w:noProof/>
        </w:rPr>
      </w:pPr>
      <w:r>
        <w:rPr>
          <w:b/>
          <w:i/>
          <w:noProof/>
        </w:rPr>
        <w:t>6.2.2a</w:t>
      </w:r>
      <w:r w:rsidR="005520D4" w:rsidRPr="00FD5141">
        <w:rPr>
          <w:b/>
          <w:i/>
          <w:noProof/>
        </w:rPr>
        <w:t xml:space="preserve"> Se</w:t>
      </w:r>
      <w:r w:rsidR="00D1310E">
        <w:rPr>
          <w:b/>
          <w:i/>
          <w:noProof/>
        </w:rPr>
        <w:t>riatio</w:t>
      </w:r>
      <w:r w:rsidR="00016627">
        <w:rPr>
          <w:b/>
          <w:i/>
          <w:noProof/>
        </w:rPr>
        <w:t>n of epiphyseal fusion events</w:t>
      </w:r>
    </w:p>
    <w:p w:rsidR="00467708" w:rsidRPr="00467708" w:rsidRDefault="00467708" w:rsidP="009C6132">
      <w:pPr>
        <w:spacing w:before="120"/>
        <w:rPr>
          <w:noProof/>
          <w:u w:val="single"/>
        </w:rPr>
      </w:pPr>
      <w:r w:rsidRPr="00467708">
        <w:rPr>
          <w:noProof/>
          <w:u w:val="single"/>
        </w:rPr>
        <w:t>Analysis of chimpanz</w:t>
      </w:r>
      <w:r w:rsidR="0019364A">
        <w:rPr>
          <w:noProof/>
          <w:u w:val="single"/>
        </w:rPr>
        <w:t>ees</w:t>
      </w:r>
    </w:p>
    <w:p w:rsidR="00A35CA0" w:rsidRDefault="00F87CD1" w:rsidP="00CA5FBB">
      <w:pPr>
        <w:spacing w:before="120"/>
        <w:rPr>
          <w:noProof/>
        </w:rPr>
      </w:pPr>
      <w:r>
        <w:rPr>
          <w:noProof/>
        </w:rPr>
        <w:t xml:space="preserve">It Chapter 4 an attempt was made to distinguish sequence order in chimpanzees using </w:t>
      </w:r>
      <w:r w:rsidR="00800E6B">
        <w:rPr>
          <w:noProof/>
        </w:rPr>
        <w:t xml:space="preserve">both </w:t>
      </w:r>
      <w:r>
        <w:rPr>
          <w:noProof/>
        </w:rPr>
        <w:t>mean epiphyseal fusion score and contingency tables.  The results of these procedures produced general patterns but there remained a high degree of overlap between epiphyses that fused closely in sequence.  This pattern held true for both methods.  Comparisons between males and females followed generally similar trends and compari</w:t>
      </w:r>
      <w:r w:rsidR="00A92227">
        <w:rPr>
          <w:noProof/>
        </w:rPr>
        <w:t>son between the sexes did not determine any</w:t>
      </w:r>
      <w:r>
        <w:rPr>
          <w:noProof/>
        </w:rPr>
        <w:t xml:space="preserve"> </w:t>
      </w:r>
      <w:r w:rsidR="001F53B6">
        <w:rPr>
          <w:noProof/>
        </w:rPr>
        <w:t>statistically sig</w:t>
      </w:r>
      <w:r>
        <w:rPr>
          <w:noProof/>
        </w:rPr>
        <w:t>nificant differences overall.</w:t>
      </w:r>
    </w:p>
    <w:p w:rsidR="00467708" w:rsidRDefault="00467708" w:rsidP="009C6132">
      <w:pPr>
        <w:spacing w:before="120"/>
        <w:rPr>
          <w:noProof/>
        </w:rPr>
      </w:pPr>
      <w:r>
        <w:rPr>
          <w:noProof/>
        </w:rPr>
        <w:t xml:space="preserve">With the present study being the first to attempt to seriate epiphyseal fusion events by any method, comparisons with past studies are not possible.  </w:t>
      </w:r>
      <w:r w:rsidR="00C4713A">
        <w:rPr>
          <w:noProof/>
        </w:rPr>
        <w:t xml:space="preserve">It might be suggested that </w:t>
      </w:r>
      <w:r>
        <w:rPr>
          <w:noProof/>
        </w:rPr>
        <w:t xml:space="preserve">some general level of pattern comparison could be made with studies of epiphyseal fusion events done using known-age samples such as Bolter and Zihlman (2012), Kerley (1966) and Zihlman </w:t>
      </w:r>
      <w:r>
        <w:rPr>
          <w:i/>
          <w:noProof/>
        </w:rPr>
        <w:t>et al</w:t>
      </w:r>
      <w:r>
        <w:rPr>
          <w:noProof/>
        </w:rPr>
        <w:t>.</w:t>
      </w:r>
      <w:r w:rsidR="00C4713A">
        <w:rPr>
          <w:noProof/>
        </w:rPr>
        <w:t xml:space="preserve"> </w:t>
      </w:r>
      <w:r>
        <w:rPr>
          <w:noProof/>
        </w:rPr>
        <w:t>(2007).</w:t>
      </w:r>
      <w:r w:rsidR="00C4713A">
        <w:rPr>
          <w:noProof/>
        </w:rPr>
        <w:t xml:space="preserve">  Based on the estimated ages for fusion events produced in Chapter 4, it could be asserted that the resu</w:t>
      </w:r>
      <w:r w:rsidR="00506614">
        <w:rPr>
          <w:noProof/>
        </w:rPr>
        <w:t>lts of this study agree with patterns</w:t>
      </w:r>
      <w:r w:rsidR="00C4713A">
        <w:rPr>
          <w:noProof/>
        </w:rPr>
        <w:t xml:space="preserve"> found in these previous studies.  However, with respect to confirming sequence of epiphyseal fusion</w:t>
      </w:r>
      <w:r w:rsidR="00506614">
        <w:rPr>
          <w:noProof/>
        </w:rPr>
        <w:t>,</w:t>
      </w:r>
      <w:r w:rsidR="00C4713A">
        <w:rPr>
          <w:noProof/>
        </w:rPr>
        <w:t xml:space="preserve"> </w:t>
      </w:r>
      <w:r w:rsidR="009F4BB6">
        <w:rPr>
          <w:noProof/>
        </w:rPr>
        <w:t>very little more can be said and this is because the ranges of estimated fusion timing from the known-age samples overlap with even less precision than do fusion events found in the present study.  These studies also do not have as comprehensive of a list of epiphyses as those measured in the present study.</w:t>
      </w:r>
    </w:p>
    <w:p w:rsidR="00AA4B99" w:rsidRDefault="009F4BB6" w:rsidP="009C6132">
      <w:pPr>
        <w:spacing w:before="120"/>
        <w:rPr>
          <w:rFonts w:eastAsiaTheme="minorHAnsi"/>
          <w:lang w:val="en-GB"/>
        </w:rPr>
      </w:pPr>
      <w:r>
        <w:rPr>
          <w:noProof/>
        </w:rPr>
        <w:t>With this being said, a general consideration of pattern of epiphyseal fusion events may be considered with respect to fusion ev</w:t>
      </w:r>
      <w:r w:rsidR="004D720A">
        <w:rPr>
          <w:noProof/>
        </w:rPr>
        <w:t>ent groupings.</w:t>
      </w:r>
      <w:r w:rsidR="00A50295">
        <w:rPr>
          <w:noProof/>
        </w:rPr>
        <w:t xml:space="preserve">  Zihlman </w:t>
      </w:r>
      <w:r w:rsidR="00A50295">
        <w:rPr>
          <w:i/>
          <w:noProof/>
        </w:rPr>
        <w:t>et al</w:t>
      </w:r>
      <w:r w:rsidR="008A7EE0">
        <w:rPr>
          <w:i/>
          <w:noProof/>
        </w:rPr>
        <w:t>.</w:t>
      </w:r>
      <w:r w:rsidR="00A50295">
        <w:rPr>
          <w:noProof/>
        </w:rPr>
        <w:t xml:space="preserve"> (2007) note</w:t>
      </w:r>
      <w:r w:rsidR="004D720A">
        <w:rPr>
          <w:noProof/>
        </w:rPr>
        <w:t>d</w:t>
      </w:r>
      <w:r w:rsidR="00A50295">
        <w:rPr>
          <w:noProof/>
        </w:rPr>
        <w:t xml:space="preserve"> that the pattern of fusion they observed in their </w:t>
      </w:r>
      <w:r w:rsidR="00C60267">
        <w:rPr>
          <w:noProof/>
        </w:rPr>
        <w:t>T</w:t>
      </w:r>
      <w:r w:rsidR="00C60267">
        <w:rPr>
          <w:rFonts w:eastAsiaTheme="minorHAnsi"/>
          <w:lang w:val="en-GB"/>
        </w:rPr>
        <w:t>a</w:t>
      </w:r>
      <w:r w:rsidR="00C60267">
        <w:rPr>
          <w:noProof/>
        </w:rPr>
        <w:t xml:space="preserve">ï </w:t>
      </w:r>
      <w:r w:rsidR="004D720A">
        <w:rPr>
          <w:noProof/>
        </w:rPr>
        <w:t xml:space="preserve">forest chimpanzees sample </w:t>
      </w:r>
      <w:r w:rsidR="00A50295">
        <w:rPr>
          <w:noProof/>
        </w:rPr>
        <w:t xml:space="preserve">conforms to a previously observed pattern by </w:t>
      </w:r>
      <w:r w:rsidR="00A50295">
        <w:rPr>
          <w:rFonts w:eastAsiaTheme="minorHAnsi"/>
          <w:lang w:val="en-GB"/>
        </w:rPr>
        <w:t>Todd (1930), Schultz (1</w:t>
      </w:r>
      <w:r w:rsidR="004D720A">
        <w:rPr>
          <w:rFonts w:eastAsiaTheme="minorHAnsi"/>
          <w:lang w:val="en-GB"/>
        </w:rPr>
        <w:t>940, 1944), and Kerley (1966).</w:t>
      </w:r>
      <w:r w:rsidR="00A50295">
        <w:rPr>
          <w:rFonts w:eastAsiaTheme="minorHAnsi"/>
          <w:lang w:val="en-GB"/>
        </w:rPr>
        <w:t xml:space="preserve">  </w:t>
      </w:r>
      <w:r w:rsidR="00C60267">
        <w:rPr>
          <w:rFonts w:eastAsiaTheme="minorHAnsi"/>
          <w:lang w:val="en-GB"/>
        </w:rPr>
        <w:t>T</w:t>
      </w:r>
      <w:r w:rsidR="00A50295">
        <w:rPr>
          <w:rFonts w:eastAsiaTheme="minorHAnsi"/>
          <w:lang w:val="en-GB"/>
        </w:rPr>
        <w:t xml:space="preserve">he general sequence, from earliest to latest, was elbow, hip, ankle, knee, wrist, and shoulder.  </w:t>
      </w:r>
      <w:r w:rsidR="004A0546">
        <w:rPr>
          <w:rFonts w:eastAsiaTheme="minorHAnsi"/>
          <w:lang w:val="en-GB"/>
        </w:rPr>
        <w:t>It was also noted that the upper limb has a common pattern of fusion for all primates: first, elbow the</w:t>
      </w:r>
      <w:r w:rsidR="001834AA">
        <w:rPr>
          <w:rFonts w:eastAsiaTheme="minorHAnsi"/>
          <w:lang w:val="en-GB"/>
        </w:rPr>
        <w:t>n</w:t>
      </w:r>
      <w:r w:rsidR="004A0546">
        <w:rPr>
          <w:rFonts w:eastAsiaTheme="minorHAnsi"/>
          <w:lang w:val="en-GB"/>
        </w:rPr>
        <w:t xml:space="preserve"> wrist followed by shoulder (Shigehara 1980).  It was </w:t>
      </w:r>
      <w:r w:rsidR="004A0546">
        <w:rPr>
          <w:rFonts w:eastAsiaTheme="minorHAnsi"/>
          <w:lang w:val="en-GB"/>
        </w:rPr>
        <w:lastRenderedPageBreak/>
        <w:t>expected that the chimpanzees in the current study would demonstrate the same pattern</w:t>
      </w:r>
      <w:r w:rsidR="00A50295">
        <w:rPr>
          <w:rFonts w:eastAsiaTheme="minorHAnsi"/>
          <w:lang w:val="en-GB"/>
        </w:rPr>
        <w:t xml:space="preserve">.  </w:t>
      </w:r>
      <w:r w:rsidR="004A0546">
        <w:rPr>
          <w:rFonts w:eastAsiaTheme="minorHAnsi"/>
          <w:lang w:val="en-GB"/>
        </w:rPr>
        <w:t>Not only were t</w:t>
      </w:r>
      <w:r w:rsidR="00506614">
        <w:rPr>
          <w:rFonts w:eastAsiaTheme="minorHAnsi"/>
          <w:lang w:val="en-GB"/>
        </w:rPr>
        <w:t>hese regions evaluated in the present</w:t>
      </w:r>
      <w:r w:rsidR="004A0546">
        <w:rPr>
          <w:rFonts w:eastAsiaTheme="minorHAnsi"/>
          <w:lang w:val="en-GB"/>
        </w:rPr>
        <w:t xml:space="preserve"> study but other fusion centres in the hands, feet, and the pelvis were considered</w:t>
      </w:r>
      <w:r w:rsidR="00A50295">
        <w:rPr>
          <w:rFonts w:eastAsiaTheme="minorHAnsi"/>
          <w:lang w:val="en-GB"/>
        </w:rPr>
        <w:t xml:space="preserve">.  From </w:t>
      </w:r>
      <w:r w:rsidR="00E978F7">
        <w:rPr>
          <w:rFonts w:eastAsiaTheme="minorHAnsi"/>
          <w:lang w:val="en-GB"/>
        </w:rPr>
        <w:t xml:space="preserve">either the </w:t>
      </w:r>
      <w:r w:rsidR="00A50295">
        <w:rPr>
          <w:rFonts w:eastAsiaTheme="minorHAnsi"/>
          <w:lang w:val="en-GB"/>
        </w:rPr>
        <w:t xml:space="preserve">sequence of mid-fusion mean </w:t>
      </w:r>
      <w:r w:rsidR="00751C4F">
        <w:rPr>
          <w:rFonts w:eastAsiaTheme="minorHAnsi"/>
          <w:lang w:val="en-GB"/>
        </w:rPr>
        <w:t xml:space="preserve">epiphyseal fusion </w:t>
      </w:r>
      <w:r w:rsidR="00A50295">
        <w:rPr>
          <w:rFonts w:eastAsiaTheme="minorHAnsi"/>
          <w:lang w:val="en-GB"/>
        </w:rPr>
        <w:t xml:space="preserve">values </w:t>
      </w:r>
      <w:r w:rsidR="00E978F7">
        <w:rPr>
          <w:rFonts w:eastAsiaTheme="minorHAnsi"/>
          <w:lang w:val="en-GB"/>
        </w:rPr>
        <w:t xml:space="preserve">or modular sequences </w:t>
      </w:r>
      <w:r w:rsidR="00A50295">
        <w:rPr>
          <w:rFonts w:eastAsiaTheme="minorHAnsi"/>
          <w:lang w:val="en-GB"/>
        </w:rPr>
        <w:t xml:space="preserve">observed in </w:t>
      </w:r>
      <w:r w:rsidR="00E978F7">
        <w:rPr>
          <w:rFonts w:eastAsiaTheme="minorHAnsi"/>
          <w:lang w:val="en-GB"/>
        </w:rPr>
        <w:t>C</w:t>
      </w:r>
      <w:r w:rsidR="00A50295">
        <w:rPr>
          <w:rFonts w:eastAsiaTheme="minorHAnsi"/>
          <w:lang w:val="en-GB"/>
        </w:rPr>
        <w:t>hapter 5, it is possible to group these epiphyseal fusion events</w:t>
      </w:r>
      <w:r w:rsidR="00C06973">
        <w:rPr>
          <w:rFonts w:eastAsiaTheme="minorHAnsi"/>
          <w:lang w:val="en-GB"/>
        </w:rPr>
        <w:t xml:space="preserve"> as shown in</w:t>
      </w:r>
      <w:r w:rsidR="00AA4B99">
        <w:rPr>
          <w:rFonts w:eastAsiaTheme="minorHAnsi"/>
          <w:lang w:val="en-GB"/>
        </w:rPr>
        <w:t xml:space="preserve"> Figures 6.4 and 6.5</w:t>
      </w:r>
      <w:r w:rsidR="00A50295">
        <w:rPr>
          <w:rFonts w:eastAsiaTheme="minorHAnsi"/>
          <w:lang w:val="en-GB"/>
        </w:rPr>
        <w:t xml:space="preserve"> for male</w:t>
      </w:r>
      <w:r w:rsidR="00C06973">
        <w:rPr>
          <w:rFonts w:eastAsiaTheme="minorHAnsi"/>
          <w:lang w:val="en-GB"/>
        </w:rPr>
        <w:t>s</w:t>
      </w:r>
      <w:r w:rsidR="00A50295">
        <w:rPr>
          <w:rFonts w:eastAsiaTheme="minorHAnsi"/>
          <w:lang w:val="en-GB"/>
        </w:rPr>
        <w:t xml:space="preserve"> and female</w:t>
      </w:r>
      <w:r w:rsidR="00C06973">
        <w:rPr>
          <w:rFonts w:eastAsiaTheme="minorHAnsi"/>
          <w:lang w:val="en-GB"/>
        </w:rPr>
        <w:t>s</w:t>
      </w:r>
      <w:r w:rsidR="004B5CBC">
        <w:rPr>
          <w:rFonts w:eastAsiaTheme="minorHAnsi"/>
          <w:lang w:val="en-GB"/>
        </w:rPr>
        <w:t>.</w:t>
      </w:r>
      <w:r w:rsidR="00A50295">
        <w:rPr>
          <w:rFonts w:eastAsiaTheme="minorHAnsi"/>
          <w:lang w:val="en-GB"/>
        </w:rPr>
        <w:t xml:space="preserve">  The region between talar epiphyseal fusion and calcaneal epiphyseal fusion is distinguished </w:t>
      </w:r>
      <w:r w:rsidR="00506614">
        <w:rPr>
          <w:rFonts w:eastAsiaTheme="minorHAnsi"/>
          <w:lang w:val="en-GB"/>
        </w:rPr>
        <w:t xml:space="preserve">in these figures </w:t>
      </w:r>
      <w:r w:rsidR="00A50295">
        <w:rPr>
          <w:rFonts w:eastAsiaTheme="minorHAnsi"/>
          <w:lang w:val="en-GB"/>
        </w:rPr>
        <w:t>due to inconsistencies in values that will be discussed.</w:t>
      </w:r>
      <w:r w:rsidR="00951C20" w:rsidRPr="00951C20">
        <w:rPr>
          <w:rFonts w:eastAsiaTheme="minorHAnsi"/>
          <w:lang w:val="en-GB"/>
        </w:rPr>
        <w:t xml:space="preserve"> </w:t>
      </w:r>
      <w:r w:rsidR="00506614">
        <w:rPr>
          <w:rFonts w:eastAsiaTheme="minorHAnsi"/>
          <w:lang w:val="en-GB"/>
        </w:rPr>
        <w:t xml:space="preserve"> </w:t>
      </w:r>
      <w:r w:rsidR="00951C20">
        <w:rPr>
          <w:rFonts w:eastAsiaTheme="minorHAnsi"/>
          <w:lang w:val="en-GB"/>
        </w:rPr>
        <w:t>Modular sequence may also be used</w:t>
      </w:r>
      <w:r w:rsidR="00C920F9">
        <w:rPr>
          <w:rFonts w:eastAsiaTheme="minorHAnsi"/>
          <w:lang w:val="en-GB"/>
        </w:rPr>
        <w:t xml:space="preserve"> </w:t>
      </w:r>
      <w:r w:rsidR="00951C20">
        <w:rPr>
          <w:rFonts w:eastAsiaTheme="minorHAnsi"/>
          <w:lang w:val="en-GB"/>
        </w:rPr>
        <w:t xml:space="preserve">and </w:t>
      </w:r>
      <w:r w:rsidR="00941DFB">
        <w:rPr>
          <w:rFonts w:eastAsiaTheme="minorHAnsi"/>
          <w:lang w:val="en-GB"/>
        </w:rPr>
        <w:t>are</w:t>
      </w:r>
      <w:r w:rsidR="00951C20">
        <w:rPr>
          <w:rFonts w:eastAsiaTheme="minorHAnsi"/>
          <w:lang w:val="en-GB"/>
        </w:rPr>
        <w:t xml:space="preserve"> shown in </w:t>
      </w:r>
      <w:r w:rsidR="00B0573E">
        <w:rPr>
          <w:rFonts w:eastAsiaTheme="minorHAnsi"/>
          <w:lang w:val="en-GB"/>
        </w:rPr>
        <w:t>F</w:t>
      </w:r>
      <w:r w:rsidR="00951C20">
        <w:rPr>
          <w:rFonts w:eastAsiaTheme="minorHAnsi"/>
          <w:lang w:val="en-GB"/>
        </w:rPr>
        <w:t>igures 6.</w:t>
      </w:r>
      <w:r w:rsidR="00AA4B99">
        <w:rPr>
          <w:rFonts w:eastAsiaTheme="minorHAnsi"/>
          <w:lang w:val="en-GB"/>
        </w:rPr>
        <w:t>6</w:t>
      </w:r>
      <w:r w:rsidR="00951C20">
        <w:rPr>
          <w:rFonts w:eastAsiaTheme="minorHAnsi"/>
          <w:lang w:val="en-GB"/>
        </w:rPr>
        <w:t xml:space="preserve"> and 6.</w:t>
      </w:r>
      <w:r w:rsidR="00AA4B99">
        <w:rPr>
          <w:rFonts w:eastAsiaTheme="minorHAnsi"/>
          <w:lang w:val="en-GB"/>
        </w:rPr>
        <w:t>7</w:t>
      </w:r>
      <w:r w:rsidR="00AA7383">
        <w:rPr>
          <w:rFonts w:eastAsiaTheme="minorHAnsi"/>
          <w:lang w:val="en-GB"/>
        </w:rPr>
        <w:t>.</w:t>
      </w:r>
      <w:r w:rsidR="0071473A">
        <w:rPr>
          <w:rFonts w:eastAsiaTheme="minorHAnsi"/>
          <w:lang w:val="en-GB"/>
        </w:rPr>
        <w:t xml:space="preserve">  Table 6.1 provides a classification of epiphysis groupings.</w:t>
      </w:r>
    </w:p>
    <w:p w:rsidR="0071473A" w:rsidRDefault="0071473A" w:rsidP="007F458D">
      <w:pPr>
        <w:spacing w:before="120" w:after="120" w:line="240" w:lineRule="auto"/>
        <w:rPr>
          <w:noProof/>
        </w:rPr>
      </w:pPr>
      <w:bookmarkStart w:id="3376" w:name="_Toc373180189"/>
      <w:proofErr w:type="gramStart"/>
      <w:r w:rsidRPr="00997A01">
        <w:rPr>
          <w:b/>
        </w:rPr>
        <w:t xml:space="preserve">Table </w:t>
      </w:r>
      <w:r w:rsidR="008943E4">
        <w:rPr>
          <w:b/>
        </w:rPr>
        <w:fldChar w:fldCharType="begin"/>
      </w:r>
      <w:r>
        <w:rPr>
          <w:b/>
        </w:rPr>
        <w:instrText xml:space="preserve"> STYLEREF 1 \s </w:instrText>
      </w:r>
      <w:r w:rsidR="008943E4">
        <w:rPr>
          <w:b/>
        </w:rPr>
        <w:fldChar w:fldCharType="separate"/>
      </w:r>
      <w:r w:rsidR="00795735">
        <w:rPr>
          <w:b/>
          <w:noProof/>
        </w:rPr>
        <w:t>6</w:t>
      </w:r>
      <w:r w:rsidR="008943E4">
        <w:rPr>
          <w:b/>
        </w:rPr>
        <w:fldChar w:fldCharType="end"/>
      </w:r>
      <w:r>
        <w:rPr>
          <w:b/>
        </w:rPr>
        <w:t>.</w:t>
      </w:r>
      <w:proofErr w:type="gramEnd"/>
      <w:r w:rsidR="008943E4">
        <w:rPr>
          <w:b/>
        </w:rPr>
        <w:fldChar w:fldCharType="begin"/>
      </w:r>
      <w:r>
        <w:rPr>
          <w:b/>
        </w:rPr>
        <w:instrText xml:space="preserve"> SEQ Table \* ARABIC \s 1 </w:instrText>
      </w:r>
      <w:r w:rsidR="008943E4">
        <w:rPr>
          <w:b/>
        </w:rPr>
        <w:fldChar w:fldCharType="separate"/>
      </w:r>
      <w:proofErr w:type="gramStart"/>
      <w:r w:rsidR="00795735">
        <w:rPr>
          <w:b/>
          <w:noProof/>
        </w:rPr>
        <w:t>1</w:t>
      </w:r>
      <w:r w:rsidR="008943E4">
        <w:rPr>
          <w:b/>
        </w:rPr>
        <w:fldChar w:fldCharType="end"/>
      </w:r>
      <w:r>
        <w:rPr>
          <w:b/>
        </w:rPr>
        <w:t xml:space="preserve"> </w:t>
      </w:r>
      <w:r>
        <w:rPr>
          <w:noProof/>
        </w:rPr>
        <w:t>Epiphysis classification for regional comparison of epiphyses.</w:t>
      </w:r>
      <w:bookmarkEnd w:id="3376"/>
      <w:proofErr w:type="gramEnd"/>
    </w:p>
    <w:tbl>
      <w:tblPr>
        <w:tblW w:w="6920" w:type="dxa"/>
        <w:jc w:val="center"/>
        <w:tblInd w:w="93" w:type="dxa"/>
        <w:tblBorders>
          <w:top w:val="single" w:sz="4" w:space="0" w:color="auto"/>
          <w:bottom w:val="single" w:sz="4" w:space="0" w:color="auto"/>
        </w:tblBorders>
        <w:tblLook w:val="04A0" w:firstRow="1" w:lastRow="0" w:firstColumn="1" w:lastColumn="0" w:noHBand="0" w:noVBand="1"/>
      </w:tblPr>
      <w:tblGrid>
        <w:gridCol w:w="3500"/>
        <w:gridCol w:w="3420"/>
      </w:tblGrid>
      <w:tr w:rsidR="00B84099" w:rsidRPr="00B84099" w:rsidTr="007F458D">
        <w:trPr>
          <w:trHeight w:val="315"/>
          <w:jc w:val="center"/>
        </w:trPr>
        <w:tc>
          <w:tcPr>
            <w:tcW w:w="3500" w:type="dxa"/>
            <w:shd w:val="clear" w:color="auto" w:fill="auto"/>
            <w:noWrap/>
            <w:vAlign w:val="center"/>
            <w:hideMark/>
          </w:tcPr>
          <w:p w:rsidR="00B84099" w:rsidRPr="00B84099" w:rsidRDefault="007F458D" w:rsidP="00B84099">
            <w:pPr>
              <w:spacing w:before="0" w:line="240" w:lineRule="auto"/>
              <w:jc w:val="center"/>
              <w:rPr>
                <w:rFonts w:eastAsia="Times New Roman"/>
                <w:b/>
                <w:bCs/>
                <w:color w:val="000000"/>
                <w:lang w:val="en-GB" w:eastAsia="en-GB"/>
              </w:rPr>
            </w:pPr>
            <w:r>
              <w:rPr>
                <w:rFonts w:eastAsia="Times New Roman"/>
                <w:b/>
                <w:bCs/>
                <w:color w:val="000000"/>
                <w:lang w:eastAsia="en-GB"/>
              </w:rPr>
              <w:t>s</w:t>
            </w:r>
            <w:r w:rsidR="00B84099" w:rsidRPr="00B84099">
              <w:rPr>
                <w:rFonts w:eastAsia="Times New Roman"/>
                <w:b/>
                <w:bCs/>
                <w:color w:val="000000"/>
                <w:lang w:eastAsia="en-GB"/>
              </w:rPr>
              <w:t>houlder</w:t>
            </w:r>
            <w:r w:rsidR="003E10DE">
              <w:rPr>
                <w:rFonts w:eastAsia="Times New Roman"/>
                <w:b/>
                <w:bCs/>
                <w:color w:val="000000"/>
                <w:lang w:eastAsia="en-GB"/>
              </w:rPr>
              <w:t>:</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b/>
                <w:bCs/>
                <w:color w:val="000000"/>
                <w:lang w:val="en-GB" w:eastAsia="en-GB"/>
              </w:rPr>
            </w:pPr>
            <w:r w:rsidRPr="00B84099">
              <w:rPr>
                <w:rFonts w:eastAsia="Times New Roman"/>
                <w:b/>
                <w:bCs/>
                <w:color w:val="000000"/>
                <w:lang w:eastAsia="en-GB"/>
              </w:rPr>
              <w:t>elbow</w:t>
            </w:r>
            <w:r w:rsidR="003E10DE">
              <w:rPr>
                <w:rFonts w:eastAsia="Times New Roman"/>
                <w:b/>
                <w:bCs/>
                <w:color w:val="000000"/>
                <w:lang w:eastAsia="en-GB"/>
              </w:rPr>
              <w:t>:</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proximal humerus</w:t>
            </w:r>
          </w:p>
        </w:tc>
        <w:tc>
          <w:tcPr>
            <w:tcW w:w="3420" w:type="dxa"/>
            <w:shd w:val="clear" w:color="auto" w:fill="auto"/>
            <w:noWrap/>
            <w:vAlign w:val="center"/>
            <w:hideMark/>
          </w:tcPr>
          <w:p w:rsidR="00B84099" w:rsidRPr="00B84099" w:rsidRDefault="00FB5ED4" w:rsidP="00B84099">
            <w:pPr>
              <w:spacing w:before="0" w:line="240" w:lineRule="auto"/>
              <w:jc w:val="center"/>
              <w:rPr>
                <w:rFonts w:eastAsia="Times New Roman"/>
                <w:color w:val="000000"/>
                <w:lang w:val="en-GB" w:eastAsia="en-GB"/>
              </w:rPr>
            </w:pPr>
            <w:r>
              <w:rPr>
                <w:rFonts w:eastAsia="Times New Roman"/>
                <w:color w:val="000000"/>
                <w:lang w:val="en-GB" w:eastAsia="en-GB"/>
              </w:rPr>
              <w:t>distal humerus</w:t>
            </w:r>
          </w:p>
        </w:tc>
      </w:tr>
      <w:tr w:rsidR="00B84099" w:rsidRPr="00B84099" w:rsidTr="007F458D">
        <w:trPr>
          <w:trHeight w:val="315"/>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coracoid</w:t>
            </w:r>
          </w:p>
        </w:tc>
        <w:tc>
          <w:tcPr>
            <w:tcW w:w="3420" w:type="dxa"/>
            <w:shd w:val="clear" w:color="auto" w:fill="auto"/>
            <w:noWrap/>
            <w:vAlign w:val="center"/>
            <w:hideMark/>
          </w:tcPr>
          <w:p w:rsidR="00B84099" w:rsidRPr="00B84099" w:rsidRDefault="000E75D0" w:rsidP="00B84099">
            <w:pPr>
              <w:spacing w:before="0" w:line="240" w:lineRule="auto"/>
              <w:jc w:val="center"/>
              <w:rPr>
                <w:rFonts w:eastAsia="Times New Roman"/>
                <w:color w:val="000000"/>
                <w:lang w:val="en-GB" w:eastAsia="en-GB"/>
              </w:rPr>
            </w:pPr>
            <w:r>
              <w:rPr>
                <w:rFonts w:eastAsia="Times New Roman"/>
                <w:color w:val="000000"/>
                <w:lang w:val="en-GB" w:eastAsia="en-GB"/>
              </w:rPr>
              <w:t xml:space="preserve">humeral </w:t>
            </w:r>
            <w:r w:rsidR="00B84099" w:rsidRPr="00B84099">
              <w:rPr>
                <w:rFonts w:eastAsia="Times New Roman"/>
                <w:color w:val="000000"/>
                <w:lang w:eastAsia="en-GB"/>
              </w:rPr>
              <w:t>medial epicondyle</w:t>
            </w:r>
          </w:p>
        </w:tc>
      </w:tr>
      <w:tr w:rsidR="00B84099" w:rsidRPr="00B84099" w:rsidTr="007F458D">
        <w:trPr>
          <w:trHeight w:val="315"/>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sub-coracoid and glenoid</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proximal radius</w:t>
            </w:r>
          </w:p>
        </w:tc>
      </w:tr>
      <w:tr w:rsidR="00B84099" w:rsidRPr="00B84099" w:rsidTr="007F458D">
        <w:trPr>
          <w:trHeight w:val="315"/>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medial border of scapula</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proximal ulna</w:t>
            </w:r>
          </w:p>
        </w:tc>
      </w:tr>
      <w:tr w:rsidR="00B84099" w:rsidRPr="00B84099" w:rsidTr="007F458D">
        <w:trPr>
          <w:trHeight w:val="315"/>
          <w:jc w:val="center"/>
        </w:trPr>
        <w:tc>
          <w:tcPr>
            <w:tcW w:w="3500" w:type="dxa"/>
            <w:shd w:val="clear" w:color="auto" w:fill="auto"/>
            <w:noWrap/>
            <w:vAlign w:val="center"/>
            <w:hideMark/>
          </w:tcPr>
          <w:p w:rsidR="00B84099" w:rsidRPr="00B84099" w:rsidRDefault="007F458D" w:rsidP="00B84099">
            <w:pPr>
              <w:spacing w:before="0" w:line="240" w:lineRule="auto"/>
              <w:jc w:val="center"/>
              <w:rPr>
                <w:rFonts w:eastAsia="Times New Roman"/>
                <w:b/>
                <w:bCs/>
                <w:color w:val="000000"/>
                <w:lang w:val="en-GB" w:eastAsia="en-GB"/>
              </w:rPr>
            </w:pPr>
            <w:r>
              <w:rPr>
                <w:rFonts w:eastAsia="Times New Roman"/>
                <w:b/>
                <w:bCs/>
                <w:color w:val="000000"/>
                <w:lang w:eastAsia="en-GB"/>
              </w:rPr>
              <w:t>p</w:t>
            </w:r>
            <w:r w:rsidR="00B84099" w:rsidRPr="00B84099">
              <w:rPr>
                <w:rFonts w:eastAsia="Times New Roman"/>
                <w:b/>
                <w:bCs/>
                <w:color w:val="000000"/>
                <w:lang w:eastAsia="en-GB"/>
              </w:rPr>
              <w:t>elvis</w:t>
            </w:r>
            <w:r w:rsidR="003E10DE">
              <w:rPr>
                <w:rFonts w:eastAsia="Times New Roman"/>
                <w:b/>
                <w:bCs/>
                <w:color w:val="000000"/>
                <w:lang w:eastAsia="en-GB"/>
              </w:rPr>
              <w:t>:</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b/>
                <w:bCs/>
                <w:color w:val="000000"/>
                <w:lang w:val="en-GB" w:eastAsia="en-GB"/>
              </w:rPr>
            </w:pPr>
            <w:r w:rsidRPr="00B84099">
              <w:rPr>
                <w:rFonts w:eastAsia="Times New Roman"/>
                <w:b/>
                <w:bCs/>
                <w:color w:val="000000"/>
                <w:lang w:eastAsia="en-GB"/>
              </w:rPr>
              <w:t>hip</w:t>
            </w:r>
            <w:r w:rsidR="003E10DE">
              <w:rPr>
                <w:rFonts w:eastAsia="Times New Roman"/>
                <w:b/>
                <w:bCs/>
                <w:color w:val="000000"/>
                <w:lang w:eastAsia="en-GB"/>
              </w:rPr>
              <w:t>:</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iliac crest</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geater/lesser trochanter</w:t>
            </w:r>
          </w:p>
        </w:tc>
      </w:tr>
      <w:tr w:rsidR="00B84099" w:rsidRPr="00B84099" w:rsidTr="007F458D">
        <w:trPr>
          <w:trHeight w:val="315"/>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ischial epiphysis</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femoral head</w:t>
            </w:r>
          </w:p>
        </w:tc>
      </w:tr>
      <w:tr w:rsidR="00B84099" w:rsidRPr="00B84099" w:rsidTr="007F458D">
        <w:trPr>
          <w:trHeight w:val="315"/>
          <w:jc w:val="center"/>
        </w:trPr>
        <w:tc>
          <w:tcPr>
            <w:tcW w:w="3500" w:type="dxa"/>
            <w:shd w:val="clear" w:color="auto" w:fill="auto"/>
            <w:noWrap/>
            <w:vAlign w:val="bottom"/>
            <w:hideMark/>
          </w:tcPr>
          <w:p w:rsidR="00B84099" w:rsidRPr="00B84099" w:rsidRDefault="00B84099" w:rsidP="00B84099">
            <w:pPr>
              <w:spacing w:before="0" w:line="240" w:lineRule="auto"/>
              <w:jc w:val="left"/>
              <w:rPr>
                <w:rFonts w:ascii="Calibri" w:eastAsia="Times New Roman" w:hAnsi="Calibri"/>
                <w:color w:val="000000"/>
                <w:lang w:val="en-GB" w:eastAsia="en-GB"/>
              </w:rPr>
            </w:pPr>
            <w:r w:rsidRPr="00B84099">
              <w:rPr>
                <w:rFonts w:ascii="Calibri" w:eastAsia="Times New Roman" w:hAnsi="Calibri"/>
                <w:color w:val="000000"/>
                <w:lang w:val="en-GB" w:eastAsia="en-GB"/>
              </w:rPr>
              <w:t> </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acetabulum</w:t>
            </w:r>
          </w:p>
        </w:tc>
      </w:tr>
      <w:tr w:rsidR="00B84099" w:rsidRPr="00B84099" w:rsidTr="007F458D">
        <w:trPr>
          <w:trHeight w:val="315"/>
          <w:jc w:val="center"/>
        </w:trPr>
        <w:tc>
          <w:tcPr>
            <w:tcW w:w="3500" w:type="dxa"/>
            <w:shd w:val="clear" w:color="auto" w:fill="auto"/>
            <w:noWrap/>
            <w:vAlign w:val="center"/>
            <w:hideMark/>
          </w:tcPr>
          <w:p w:rsidR="00B84099" w:rsidRPr="00B84099" w:rsidRDefault="00B84099" w:rsidP="003E10DE">
            <w:pPr>
              <w:spacing w:before="0" w:line="240" w:lineRule="auto"/>
              <w:jc w:val="center"/>
              <w:rPr>
                <w:rFonts w:eastAsia="Times New Roman"/>
                <w:b/>
                <w:bCs/>
                <w:color w:val="000000"/>
                <w:lang w:val="en-GB" w:eastAsia="en-GB"/>
              </w:rPr>
            </w:pPr>
            <w:r w:rsidRPr="00B84099">
              <w:rPr>
                <w:rFonts w:eastAsia="Times New Roman"/>
                <w:b/>
                <w:bCs/>
                <w:color w:val="000000"/>
                <w:lang w:eastAsia="en-GB"/>
              </w:rPr>
              <w:t>hand</w:t>
            </w:r>
            <w:r w:rsidR="003E10DE">
              <w:rPr>
                <w:rFonts w:eastAsia="Times New Roman"/>
                <w:b/>
                <w:bCs/>
                <w:color w:val="000000"/>
                <w:lang w:eastAsia="en-GB"/>
              </w:rPr>
              <w:t>:</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b/>
                <w:bCs/>
                <w:color w:val="000000"/>
                <w:lang w:val="en-GB" w:eastAsia="en-GB"/>
              </w:rPr>
            </w:pPr>
            <w:r w:rsidRPr="00B84099">
              <w:rPr>
                <w:rFonts w:eastAsia="Times New Roman"/>
                <w:b/>
                <w:bCs/>
                <w:color w:val="000000"/>
                <w:lang w:eastAsia="en-GB"/>
              </w:rPr>
              <w:t>ankle</w:t>
            </w:r>
            <w:r w:rsidR="003E10DE">
              <w:rPr>
                <w:rFonts w:eastAsia="Times New Roman"/>
                <w:b/>
                <w:bCs/>
                <w:color w:val="000000"/>
                <w:lang w:eastAsia="en-GB"/>
              </w:rPr>
              <w:t>:</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base of metacarpal 1</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distal talus</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heads of metacarpals 2-5</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distal fibula</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distal phalanges</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calcaneus</w:t>
            </w:r>
          </w:p>
        </w:tc>
      </w:tr>
      <w:tr w:rsidR="00B84099" w:rsidRPr="00B84099" w:rsidTr="007F458D">
        <w:trPr>
          <w:trHeight w:val="315"/>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proximal and middle phalanges</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talus</w:t>
            </w:r>
          </w:p>
        </w:tc>
      </w:tr>
      <w:tr w:rsidR="00B84099" w:rsidRPr="00B84099" w:rsidTr="007F458D">
        <w:trPr>
          <w:trHeight w:val="315"/>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b/>
                <w:bCs/>
                <w:color w:val="000000"/>
                <w:lang w:val="en-GB" w:eastAsia="en-GB"/>
              </w:rPr>
            </w:pPr>
            <w:r w:rsidRPr="00B84099">
              <w:rPr>
                <w:rFonts w:eastAsia="Times New Roman"/>
                <w:b/>
                <w:bCs/>
                <w:color w:val="000000"/>
                <w:lang w:eastAsia="en-GB"/>
              </w:rPr>
              <w:t>foot</w:t>
            </w:r>
            <w:r w:rsidR="003E10DE">
              <w:rPr>
                <w:rFonts w:eastAsia="Times New Roman"/>
                <w:b/>
                <w:bCs/>
                <w:color w:val="000000"/>
                <w:lang w:eastAsia="en-GB"/>
              </w:rPr>
              <w:t>:</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b/>
                <w:bCs/>
                <w:color w:val="000000"/>
                <w:lang w:val="en-GB" w:eastAsia="en-GB"/>
              </w:rPr>
            </w:pPr>
            <w:r w:rsidRPr="00B84099">
              <w:rPr>
                <w:rFonts w:eastAsia="Times New Roman"/>
                <w:b/>
                <w:bCs/>
                <w:color w:val="000000"/>
                <w:lang w:eastAsia="en-GB"/>
              </w:rPr>
              <w:t>knee</w:t>
            </w:r>
            <w:r w:rsidR="003E10DE">
              <w:rPr>
                <w:rFonts w:eastAsia="Times New Roman"/>
                <w:b/>
                <w:bCs/>
                <w:color w:val="000000"/>
                <w:lang w:eastAsia="en-GB"/>
              </w:rPr>
              <w:t>:</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base of metatarsal 1</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proximal tibia</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heads of metatarsals 2-5</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proximal fibula</w:t>
            </w:r>
          </w:p>
        </w:tc>
      </w:tr>
      <w:tr w:rsidR="00B84099" w:rsidRPr="00B84099" w:rsidTr="007F458D">
        <w:trPr>
          <w:trHeight w:val="315"/>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distal phalanges</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distal femur</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proximal phalanges</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b/>
                <w:bCs/>
                <w:color w:val="000000"/>
                <w:lang w:val="en-GB" w:eastAsia="en-GB"/>
              </w:rPr>
            </w:pPr>
            <w:r w:rsidRPr="00B84099">
              <w:rPr>
                <w:rFonts w:eastAsia="Times New Roman"/>
                <w:b/>
                <w:bCs/>
                <w:color w:val="000000"/>
                <w:lang w:eastAsia="en-GB"/>
              </w:rPr>
              <w:t>wrist</w:t>
            </w:r>
            <w:r w:rsidR="003E10DE">
              <w:rPr>
                <w:rFonts w:eastAsia="Times New Roman"/>
                <w:b/>
                <w:bCs/>
                <w:color w:val="000000"/>
                <w:lang w:eastAsia="en-GB"/>
              </w:rPr>
              <w:t>:</w:t>
            </w:r>
          </w:p>
        </w:tc>
      </w:tr>
      <w:tr w:rsidR="00B84099" w:rsidRPr="00B84099" w:rsidTr="007F458D">
        <w:trPr>
          <w:trHeight w:val="300"/>
          <w:jc w:val="center"/>
        </w:trPr>
        <w:tc>
          <w:tcPr>
            <w:tcW w:w="350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middle phalanges</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val="en-GB" w:eastAsia="en-GB"/>
              </w:rPr>
              <w:t>distal radius</w:t>
            </w:r>
          </w:p>
        </w:tc>
      </w:tr>
      <w:tr w:rsidR="00B84099" w:rsidRPr="00B84099" w:rsidTr="007F458D">
        <w:trPr>
          <w:trHeight w:val="300"/>
          <w:jc w:val="center"/>
        </w:trPr>
        <w:tc>
          <w:tcPr>
            <w:tcW w:w="3500" w:type="dxa"/>
            <w:shd w:val="clear" w:color="auto" w:fill="auto"/>
            <w:noWrap/>
            <w:vAlign w:val="bottom"/>
            <w:hideMark/>
          </w:tcPr>
          <w:p w:rsidR="00B84099" w:rsidRPr="00B84099" w:rsidRDefault="00B84099" w:rsidP="00B84099">
            <w:pPr>
              <w:spacing w:before="0" w:line="240" w:lineRule="auto"/>
              <w:jc w:val="left"/>
              <w:rPr>
                <w:rFonts w:ascii="Calibri" w:eastAsia="Times New Roman" w:hAnsi="Calibri"/>
                <w:color w:val="000000"/>
                <w:lang w:val="en-GB" w:eastAsia="en-GB"/>
              </w:rPr>
            </w:pPr>
            <w:r w:rsidRPr="00B84099">
              <w:rPr>
                <w:rFonts w:ascii="Calibri" w:eastAsia="Times New Roman" w:hAnsi="Calibri"/>
                <w:color w:val="000000"/>
                <w:lang w:val="en-GB" w:eastAsia="en-GB"/>
              </w:rPr>
              <w:t> </w:t>
            </w:r>
          </w:p>
        </w:tc>
        <w:tc>
          <w:tcPr>
            <w:tcW w:w="3420" w:type="dxa"/>
            <w:shd w:val="clear" w:color="auto" w:fill="auto"/>
            <w:noWrap/>
            <w:vAlign w:val="center"/>
            <w:hideMark/>
          </w:tcPr>
          <w:p w:rsidR="00B84099" w:rsidRPr="00B84099" w:rsidRDefault="00B84099" w:rsidP="00B84099">
            <w:pPr>
              <w:spacing w:before="0" w:line="240" w:lineRule="auto"/>
              <w:jc w:val="center"/>
              <w:rPr>
                <w:rFonts w:eastAsia="Times New Roman"/>
                <w:color w:val="000000"/>
                <w:lang w:val="en-GB" w:eastAsia="en-GB"/>
              </w:rPr>
            </w:pPr>
            <w:r w:rsidRPr="00B84099">
              <w:rPr>
                <w:rFonts w:eastAsia="Times New Roman"/>
                <w:color w:val="000000"/>
                <w:lang w:eastAsia="en-GB"/>
              </w:rPr>
              <w:t>distal ulna</w:t>
            </w:r>
          </w:p>
        </w:tc>
      </w:tr>
    </w:tbl>
    <w:p w:rsidR="00AA4B99" w:rsidRDefault="00AA4B99">
      <w:pPr>
        <w:spacing w:before="0" w:after="200" w:line="276" w:lineRule="auto"/>
        <w:jc w:val="left"/>
        <w:rPr>
          <w:rFonts w:eastAsiaTheme="minorHAnsi"/>
          <w:lang w:val="en-GB"/>
        </w:rPr>
      </w:pPr>
      <w:r>
        <w:rPr>
          <w:rFonts w:eastAsiaTheme="minorHAnsi"/>
          <w:lang w:val="en-GB"/>
        </w:rPr>
        <w:br w:type="page"/>
      </w:r>
    </w:p>
    <w:p w:rsidR="00A50295" w:rsidRDefault="00A50295" w:rsidP="00A50295">
      <w:pPr>
        <w:spacing w:line="240" w:lineRule="auto"/>
        <w:rPr>
          <w:noProof/>
        </w:rPr>
      </w:pPr>
      <w:r>
        <w:rPr>
          <w:noProof/>
          <w:lang w:val="en-GB" w:eastAsia="en-GB"/>
        </w:rPr>
        <w:lastRenderedPageBreak/>
        <w:drawing>
          <wp:inline distT="0" distB="0" distL="0" distR="0" wp14:anchorId="74130B4A" wp14:editId="19A50454">
            <wp:extent cx="5734050" cy="6591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4050" cy="6591300"/>
                    </a:xfrm>
                    <a:prstGeom prst="rect">
                      <a:avLst/>
                    </a:prstGeom>
                    <a:noFill/>
                    <a:ln>
                      <a:noFill/>
                    </a:ln>
                  </pic:spPr>
                </pic:pic>
              </a:graphicData>
            </a:graphic>
          </wp:inline>
        </w:drawing>
      </w:r>
    </w:p>
    <w:p w:rsidR="00A35CA0" w:rsidRDefault="00A50295" w:rsidP="00CA5FBB">
      <w:pPr>
        <w:pStyle w:val="ListParagraph"/>
        <w:numPr>
          <w:ilvl w:val="0"/>
          <w:numId w:val="32"/>
        </w:numPr>
        <w:spacing w:before="0" w:line="240" w:lineRule="auto"/>
        <w:ind w:left="426" w:hanging="426"/>
        <w:rPr>
          <w:noProof/>
          <w:sz w:val="20"/>
          <w:szCs w:val="20"/>
        </w:rPr>
      </w:pPr>
      <w:r>
        <w:rPr>
          <w:noProof/>
          <w:sz w:val="20"/>
          <w:szCs w:val="20"/>
        </w:rPr>
        <w:t>Mean epiphyseal fusion value</w:t>
      </w:r>
    </w:p>
    <w:p w:rsidR="004B5CBC" w:rsidRPr="00795F50" w:rsidRDefault="00795F50" w:rsidP="00795F50">
      <w:pPr>
        <w:spacing w:before="0" w:line="240" w:lineRule="auto"/>
        <w:rPr>
          <w:rFonts w:eastAsiaTheme="minorHAnsi"/>
          <w:sz w:val="20"/>
          <w:szCs w:val="20"/>
          <w:lang w:val="en-GB"/>
        </w:rPr>
      </w:pPr>
      <w:r>
        <w:rPr>
          <w:rFonts w:eastAsiaTheme="minorHAnsi"/>
          <w:sz w:val="20"/>
          <w:szCs w:val="20"/>
          <w:lang w:val="en-GB"/>
        </w:rPr>
        <w:t>*</w:t>
      </w:r>
      <w:r w:rsidR="004B5CBC" w:rsidRPr="00795F50">
        <w:rPr>
          <w:rFonts w:eastAsiaTheme="minorHAnsi"/>
          <w:sz w:val="20"/>
          <w:szCs w:val="20"/>
          <w:lang w:val="en-GB"/>
        </w:rPr>
        <w:t>The earliest mean mid-fusion event for a region forms the earliest mid-fusion point on each bar.  The latest mid-fusion point indicates the end of each bar.  Mean epiphyseal fusion values run down the left-hand column.</w:t>
      </w:r>
    </w:p>
    <w:p w:rsidR="00795F50" w:rsidRPr="00795F50" w:rsidRDefault="00795F50" w:rsidP="00795F50">
      <w:pPr>
        <w:spacing w:before="0" w:line="240" w:lineRule="auto"/>
        <w:rPr>
          <w:noProof/>
          <w:sz w:val="20"/>
          <w:szCs w:val="20"/>
        </w:rPr>
      </w:pPr>
      <w:r>
        <w:rPr>
          <w:rFonts w:eastAsiaTheme="minorHAnsi"/>
          <w:sz w:val="20"/>
          <w:szCs w:val="20"/>
          <w:lang w:val="en-GB"/>
        </w:rPr>
        <w:t>*</w:t>
      </w:r>
      <w:r w:rsidRPr="00795F50">
        <w:rPr>
          <w:rFonts w:eastAsiaTheme="minorHAnsi"/>
          <w:sz w:val="20"/>
          <w:szCs w:val="20"/>
          <w:lang w:val="en-GB"/>
        </w:rPr>
        <w:t xml:space="preserve">It should be noted that the acetabulum is included in hip epiphyseal fusion as opposed to </w:t>
      </w:r>
      <w:r w:rsidR="006E65E4">
        <w:rPr>
          <w:rFonts w:eastAsiaTheme="minorHAnsi"/>
          <w:sz w:val="20"/>
          <w:szCs w:val="20"/>
          <w:lang w:val="en-GB"/>
        </w:rPr>
        <w:t xml:space="preserve">the </w:t>
      </w:r>
      <w:r w:rsidRPr="00795F50">
        <w:rPr>
          <w:rFonts w:eastAsiaTheme="minorHAnsi"/>
          <w:sz w:val="20"/>
          <w:szCs w:val="20"/>
          <w:lang w:val="en-GB"/>
        </w:rPr>
        <w:t>pelvi</w:t>
      </w:r>
      <w:r w:rsidR="006E65E4">
        <w:rPr>
          <w:rFonts w:eastAsiaTheme="minorHAnsi"/>
          <w:sz w:val="20"/>
          <w:szCs w:val="20"/>
          <w:lang w:val="en-GB"/>
        </w:rPr>
        <w:t>s</w:t>
      </w:r>
      <w:r w:rsidRPr="00795F50">
        <w:rPr>
          <w:rFonts w:eastAsiaTheme="minorHAnsi"/>
          <w:sz w:val="20"/>
          <w:szCs w:val="20"/>
          <w:lang w:val="en-GB"/>
        </w:rPr>
        <w:t>.</w:t>
      </w:r>
    </w:p>
    <w:p w:rsidR="00C01FF6" w:rsidRDefault="00FC2CF4" w:rsidP="00C01FF6">
      <w:pPr>
        <w:spacing w:before="0" w:line="240" w:lineRule="auto"/>
        <w:rPr>
          <w:noProof/>
          <w:sz w:val="20"/>
          <w:szCs w:val="20"/>
        </w:rPr>
      </w:pPr>
      <w:r>
        <w:rPr>
          <w:noProof/>
          <w:sz w:val="20"/>
          <w:szCs w:val="20"/>
        </w:rPr>
        <w:t>*Colour blocks indicate at which mean epiphyseal fusion values epiphyses in these groups appear to be fusing.</w:t>
      </w:r>
    </w:p>
    <w:p w:rsidR="00A35CA0" w:rsidRDefault="00C01FF6" w:rsidP="00CA5FBB">
      <w:pPr>
        <w:spacing w:before="120" w:line="240" w:lineRule="auto"/>
        <w:rPr>
          <w:noProof/>
          <w:sz w:val="20"/>
          <w:szCs w:val="20"/>
        </w:rPr>
      </w:pPr>
      <w:r w:rsidRPr="00C01FF6">
        <w:rPr>
          <w:noProof/>
          <w:sz w:val="20"/>
          <w:szCs w:val="20"/>
        </w:rPr>
        <w:t>A: range between talar epiphyseal fusion and calcaneal fusion value</w:t>
      </w:r>
    </w:p>
    <w:p w:rsidR="00A35CA0" w:rsidRDefault="00C01FF6" w:rsidP="00CA5FBB">
      <w:pPr>
        <w:spacing w:before="0" w:line="240" w:lineRule="auto"/>
        <w:rPr>
          <w:noProof/>
          <w:sz w:val="20"/>
          <w:szCs w:val="20"/>
        </w:rPr>
      </w:pPr>
      <w:r w:rsidRPr="00C01FF6">
        <w:rPr>
          <w:noProof/>
          <w:sz w:val="20"/>
          <w:szCs w:val="20"/>
        </w:rPr>
        <w:t xml:space="preserve">B: the entire range of of ankle fusion </w:t>
      </w:r>
      <w:r w:rsidR="008F5E61">
        <w:rPr>
          <w:noProof/>
          <w:sz w:val="20"/>
          <w:szCs w:val="20"/>
        </w:rPr>
        <w:t>including</w:t>
      </w:r>
      <w:r w:rsidRPr="00C01FF6">
        <w:rPr>
          <w:noProof/>
          <w:sz w:val="20"/>
          <w:szCs w:val="20"/>
        </w:rPr>
        <w:t xml:space="preserve"> the talus</w:t>
      </w:r>
    </w:p>
    <w:p w:rsidR="00A35CA0" w:rsidRDefault="00C01FF6" w:rsidP="00CA5FBB">
      <w:pPr>
        <w:spacing w:before="0" w:line="240" w:lineRule="auto"/>
        <w:rPr>
          <w:noProof/>
          <w:sz w:val="20"/>
          <w:szCs w:val="20"/>
        </w:rPr>
      </w:pPr>
      <w:r w:rsidRPr="00C01FF6">
        <w:rPr>
          <w:noProof/>
          <w:sz w:val="20"/>
          <w:szCs w:val="20"/>
        </w:rPr>
        <w:t>C: the range of ankle fusion excluding the talus</w:t>
      </w:r>
    </w:p>
    <w:p w:rsidR="00A35CA0" w:rsidRDefault="00691A64" w:rsidP="00CA5FBB">
      <w:pPr>
        <w:spacing w:before="120" w:line="240" w:lineRule="auto"/>
        <w:rPr>
          <w:noProof/>
        </w:rPr>
      </w:pPr>
      <w:bookmarkStart w:id="3377" w:name="_Toc373147490"/>
      <w:proofErr w:type="gramStart"/>
      <w:r w:rsidRPr="00691A64">
        <w:rPr>
          <w:b/>
        </w:rPr>
        <w:t xml:space="preserve">Figure </w:t>
      </w:r>
      <w:r w:rsidR="008943E4" w:rsidRPr="003E0D7A">
        <w:rPr>
          <w:b/>
        </w:rPr>
        <w:fldChar w:fldCharType="begin"/>
      </w:r>
      <w:r w:rsidRPr="00691A64">
        <w:rPr>
          <w:b/>
        </w:rPr>
        <w:instrText xml:space="preserve"> STYLEREF 1 \s </w:instrText>
      </w:r>
      <w:r w:rsidR="008943E4" w:rsidRPr="003E0D7A">
        <w:rPr>
          <w:b/>
        </w:rPr>
        <w:fldChar w:fldCharType="separate"/>
      </w:r>
      <w:r w:rsidR="00795735">
        <w:rPr>
          <w:b/>
          <w:noProof/>
        </w:rPr>
        <w:t>6</w:t>
      </w:r>
      <w:r w:rsidR="008943E4" w:rsidRPr="003E0D7A">
        <w:rPr>
          <w:b/>
        </w:rPr>
        <w:fldChar w:fldCharType="end"/>
      </w:r>
      <w:r w:rsidRPr="00691A64">
        <w:rPr>
          <w:b/>
        </w:rPr>
        <w:t>.</w:t>
      </w:r>
      <w:proofErr w:type="gramEnd"/>
      <w:r w:rsidR="008943E4" w:rsidRPr="003E0D7A">
        <w:rPr>
          <w:b/>
        </w:rPr>
        <w:fldChar w:fldCharType="begin"/>
      </w:r>
      <w:r w:rsidRPr="00691A64">
        <w:rPr>
          <w:b/>
        </w:rPr>
        <w:instrText xml:space="preserve"> SEQ Figure \* ARABIC \s 1 </w:instrText>
      </w:r>
      <w:r w:rsidR="008943E4" w:rsidRPr="003E0D7A">
        <w:rPr>
          <w:b/>
        </w:rPr>
        <w:fldChar w:fldCharType="separate"/>
      </w:r>
      <w:r w:rsidR="00795735">
        <w:rPr>
          <w:b/>
          <w:noProof/>
        </w:rPr>
        <w:t>4</w:t>
      </w:r>
      <w:r w:rsidR="008943E4" w:rsidRPr="003E0D7A">
        <w:rPr>
          <w:b/>
        </w:rPr>
        <w:fldChar w:fldCharType="end"/>
      </w:r>
      <w:r w:rsidR="008943E4" w:rsidRPr="00CA5FBB">
        <w:rPr>
          <w:rFonts w:eastAsiaTheme="minorHAnsi"/>
          <w:lang w:val="en-GB"/>
        </w:rPr>
        <w:t xml:space="preserve"> Grouping of epiphyseal fusion events by region for </w:t>
      </w:r>
      <w:r w:rsidR="008943E4" w:rsidRPr="00CA5FBB">
        <w:rPr>
          <w:rFonts w:eastAsiaTheme="minorHAnsi"/>
          <w:i/>
          <w:lang w:val="en-GB"/>
        </w:rPr>
        <w:t xml:space="preserve">Pan </w:t>
      </w:r>
      <w:proofErr w:type="gramStart"/>
      <w:r w:rsidR="008943E4" w:rsidRPr="00CA5FBB">
        <w:rPr>
          <w:rFonts w:eastAsiaTheme="minorHAnsi"/>
          <w:i/>
          <w:lang w:val="en-GB"/>
        </w:rPr>
        <w:t>troglodytes</w:t>
      </w:r>
      <w:proofErr w:type="gramEnd"/>
      <w:r w:rsidR="008943E4" w:rsidRPr="00CA5FBB">
        <w:rPr>
          <w:rFonts w:eastAsiaTheme="minorHAnsi"/>
          <w:i/>
          <w:lang w:val="en-GB"/>
        </w:rPr>
        <w:t xml:space="preserve"> </w:t>
      </w:r>
      <w:r w:rsidR="008943E4" w:rsidRPr="00CA5FBB">
        <w:rPr>
          <w:rFonts w:eastAsiaTheme="minorHAnsi"/>
          <w:lang w:val="en-GB"/>
        </w:rPr>
        <w:t>females</w:t>
      </w:r>
      <w:r w:rsidR="00C01FF6">
        <w:rPr>
          <w:rFonts w:eastAsiaTheme="minorHAnsi"/>
          <w:lang w:val="en-GB"/>
        </w:rPr>
        <w:t xml:space="preserve"> ordered by mean epiphyseal fusion values</w:t>
      </w:r>
      <w:r w:rsidR="008943E4" w:rsidRPr="00CA5FBB">
        <w:rPr>
          <w:rFonts w:eastAsiaTheme="minorHAnsi"/>
          <w:lang w:val="en-GB"/>
        </w:rPr>
        <w:t>.</w:t>
      </w:r>
      <w:bookmarkEnd w:id="3377"/>
    </w:p>
    <w:p w:rsidR="00A35CA0" w:rsidRDefault="00A50295" w:rsidP="00CA5FBB">
      <w:pPr>
        <w:spacing w:before="0" w:line="240" w:lineRule="auto"/>
        <w:rPr>
          <w:noProof/>
        </w:rPr>
      </w:pPr>
      <w:r>
        <w:rPr>
          <w:noProof/>
          <w:lang w:val="en-GB" w:eastAsia="en-GB"/>
        </w:rPr>
        <w:lastRenderedPageBreak/>
        <w:drawing>
          <wp:inline distT="0" distB="0" distL="0" distR="0" wp14:anchorId="27DCD877" wp14:editId="5E690BA5">
            <wp:extent cx="5734050" cy="6496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4050" cy="6496050"/>
                    </a:xfrm>
                    <a:prstGeom prst="rect">
                      <a:avLst/>
                    </a:prstGeom>
                    <a:noFill/>
                    <a:ln>
                      <a:noFill/>
                    </a:ln>
                  </pic:spPr>
                </pic:pic>
              </a:graphicData>
            </a:graphic>
          </wp:inline>
        </w:drawing>
      </w:r>
    </w:p>
    <w:p w:rsidR="00A35CA0" w:rsidRDefault="00A50295" w:rsidP="00CA5FBB">
      <w:pPr>
        <w:pStyle w:val="ListParagraph"/>
        <w:numPr>
          <w:ilvl w:val="0"/>
          <w:numId w:val="33"/>
        </w:numPr>
        <w:spacing w:before="0" w:line="240" w:lineRule="auto"/>
        <w:ind w:left="426" w:hanging="284"/>
        <w:rPr>
          <w:noProof/>
          <w:sz w:val="20"/>
          <w:szCs w:val="20"/>
        </w:rPr>
      </w:pPr>
      <w:r>
        <w:rPr>
          <w:noProof/>
          <w:sz w:val="20"/>
          <w:szCs w:val="20"/>
        </w:rPr>
        <w:t>Mean epiphyseal fusion value</w:t>
      </w:r>
    </w:p>
    <w:p w:rsidR="00C01FF6" w:rsidRPr="00C01FF6" w:rsidRDefault="00C01FF6" w:rsidP="00C01FF6">
      <w:pPr>
        <w:spacing w:before="0" w:line="240" w:lineRule="auto"/>
        <w:rPr>
          <w:noProof/>
          <w:sz w:val="20"/>
          <w:szCs w:val="20"/>
        </w:rPr>
      </w:pPr>
    </w:p>
    <w:p w:rsidR="00A35CA0" w:rsidRDefault="00C01FF6" w:rsidP="00CA5FBB">
      <w:pPr>
        <w:spacing w:before="0" w:line="240" w:lineRule="auto"/>
        <w:rPr>
          <w:noProof/>
          <w:sz w:val="20"/>
          <w:szCs w:val="20"/>
        </w:rPr>
      </w:pPr>
      <w:r w:rsidRPr="00C01FF6">
        <w:rPr>
          <w:noProof/>
          <w:sz w:val="20"/>
          <w:szCs w:val="20"/>
        </w:rPr>
        <w:t>A: range between talar epiphyseal fusion and calcaneal fusion value</w:t>
      </w:r>
    </w:p>
    <w:p w:rsidR="00A35CA0" w:rsidRDefault="00C01FF6" w:rsidP="00CA5FBB">
      <w:pPr>
        <w:spacing w:before="0" w:line="240" w:lineRule="auto"/>
        <w:rPr>
          <w:noProof/>
          <w:sz w:val="20"/>
          <w:szCs w:val="20"/>
        </w:rPr>
      </w:pPr>
      <w:r w:rsidRPr="00C01FF6">
        <w:rPr>
          <w:noProof/>
          <w:sz w:val="20"/>
          <w:szCs w:val="20"/>
        </w:rPr>
        <w:t xml:space="preserve">B: the entire range of of ankle fusion </w:t>
      </w:r>
      <w:r w:rsidR="008F5E61">
        <w:rPr>
          <w:noProof/>
          <w:sz w:val="20"/>
          <w:szCs w:val="20"/>
        </w:rPr>
        <w:t>including</w:t>
      </w:r>
      <w:r w:rsidRPr="00C01FF6">
        <w:rPr>
          <w:noProof/>
          <w:sz w:val="20"/>
          <w:szCs w:val="20"/>
        </w:rPr>
        <w:t xml:space="preserve"> the talus</w:t>
      </w:r>
    </w:p>
    <w:p w:rsidR="00C01FF6" w:rsidRPr="00C01FF6" w:rsidRDefault="00C01FF6" w:rsidP="00C01FF6">
      <w:pPr>
        <w:spacing w:before="0" w:line="240" w:lineRule="auto"/>
        <w:rPr>
          <w:noProof/>
          <w:sz w:val="20"/>
          <w:szCs w:val="20"/>
        </w:rPr>
      </w:pPr>
      <w:r w:rsidRPr="00C01FF6">
        <w:rPr>
          <w:noProof/>
          <w:sz w:val="20"/>
          <w:szCs w:val="20"/>
        </w:rPr>
        <w:t>C: the range of an</w:t>
      </w:r>
      <w:r w:rsidR="008F5E61">
        <w:rPr>
          <w:noProof/>
          <w:sz w:val="20"/>
          <w:szCs w:val="20"/>
        </w:rPr>
        <w:t>k</w:t>
      </w:r>
      <w:r w:rsidRPr="00C01FF6">
        <w:rPr>
          <w:noProof/>
          <w:sz w:val="20"/>
          <w:szCs w:val="20"/>
        </w:rPr>
        <w:t>le fusion excluding the talus</w:t>
      </w:r>
    </w:p>
    <w:p w:rsidR="00A35CA0" w:rsidRDefault="00691A64" w:rsidP="00CA5FBB">
      <w:pPr>
        <w:spacing w:line="240" w:lineRule="auto"/>
        <w:rPr>
          <w:noProof/>
        </w:rPr>
      </w:pPr>
      <w:bookmarkStart w:id="3378" w:name="_Toc373147491"/>
      <w:proofErr w:type="gramStart"/>
      <w:r w:rsidRPr="00691A64">
        <w:rPr>
          <w:b/>
        </w:rPr>
        <w:t xml:space="preserve">Figure </w:t>
      </w:r>
      <w:r w:rsidR="008943E4" w:rsidRPr="003E0D7A">
        <w:rPr>
          <w:b/>
        </w:rPr>
        <w:fldChar w:fldCharType="begin"/>
      </w:r>
      <w:r w:rsidRPr="00691A64">
        <w:rPr>
          <w:b/>
        </w:rPr>
        <w:instrText xml:space="preserve"> STYLEREF 1 \s </w:instrText>
      </w:r>
      <w:r w:rsidR="008943E4" w:rsidRPr="003E0D7A">
        <w:rPr>
          <w:b/>
        </w:rPr>
        <w:fldChar w:fldCharType="separate"/>
      </w:r>
      <w:r w:rsidR="00795735">
        <w:rPr>
          <w:b/>
          <w:noProof/>
        </w:rPr>
        <w:t>6</w:t>
      </w:r>
      <w:r w:rsidR="008943E4" w:rsidRPr="003E0D7A">
        <w:rPr>
          <w:b/>
        </w:rPr>
        <w:fldChar w:fldCharType="end"/>
      </w:r>
      <w:r w:rsidRPr="00691A64">
        <w:rPr>
          <w:b/>
        </w:rPr>
        <w:t>.</w:t>
      </w:r>
      <w:proofErr w:type="gramEnd"/>
      <w:r w:rsidR="008943E4" w:rsidRPr="003E0D7A">
        <w:rPr>
          <w:b/>
        </w:rPr>
        <w:fldChar w:fldCharType="begin"/>
      </w:r>
      <w:r w:rsidRPr="00691A64">
        <w:rPr>
          <w:b/>
        </w:rPr>
        <w:instrText xml:space="preserve"> SEQ Figure \* ARABIC \s 1 </w:instrText>
      </w:r>
      <w:r w:rsidR="008943E4" w:rsidRPr="003E0D7A">
        <w:rPr>
          <w:b/>
        </w:rPr>
        <w:fldChar w:fldCharType="separate"/>
      </w:r>
      <w:r w:rsidR="00795735">
        <w:rPr>
          <w:b/>
          <w:noProof/>
        </w:rPr>
        <w:t>5</w:t>
      </w:r>
      <w:r w:rsidR="008943E4" w:rsidRPr="003E0D7A">
        <w:rPr>
          <w:b/>
        </w:rPr>
        <w:fldChar w:fldCharType="end"/>
      </w:r>
      <w:r w:rsidR="008943E4" w:rsidRPr="00CA5FBB">
        <w:rPr>
          <w:rFonts w:eastAsiaTheme="minorHAnsi"/>
          <w:lang w:val="en-GB"/>
        </w:rPr>
        <w:t xml:space="preserve"> Grouping of epiphyseal fusion events by region for </w:t>
      </w:r>
      <w:r w:rsidR="008943E4" w:rsidRPr="00CA5FBB">
        <w:rPr>
          <w:rFonts w:eastAsiaTheme="minorHAnsi"/>
          <w:i/>
          <w:lang w:val="en-GB"/>
        </w:rPr>
        <w:t xml:space="preserve">Pan </w:t>
      </w:r>
      <w:proofErr w:type="gramStart"/>
      <w:r w:rsidR="008943E4" w:rsidRPr="00CA5FBB">
        <w:rPr>
          <w:rFonts w:eastAsiaTheme="minorHAnsi"/>
          <w:i/>
          <w:lang w:val="en-GB"/>
        </w:rPr>
        <w:t>troglodytes</w:t>
      </w:r>
      <w:proofErr w:type="gramEnd"/>
      <w:r w:rsidR="008943E4" w:rsidRPr="00CA5FBB">
        <w:rPr>
          <w:rFonts w:eastAsiaTheme="minorHAnsi"/>
          <w:i/>
          <w:lang w:val="en-GB"/>
        </w:rPr>
        <w:t xml:space="preserve"> </w:t>
      </w:r>
      <w:r w:rsidR="008943E4" w:rsidRPr="00CA5FBB">
        <w:rPr>
          <w:rFonts w:eastAsiaTheme="minorHAnsi"/>
          <w:lang w:val="en-GB"/>
        </w:rPr>
        <w:t>males</w:t>
      </w:r>
      <w:r w:rsidR="00C01FF6">
        <w:rPr>
          <w:rFonts w:eastAsiaTheme="minorHAnsi"/>
          <w:lang w:val="en-GB"/>
        </w:rPr>
        <w:t xml:space="preserve"> ordered by mean epiphyseal fusion values</w:t>
      </w:r>
      <w:r w:rsidR="008943E4" w:rsidRPr="00CA5FBB">
        <w:rPr>
          <w:rFonts w:eastAsiaTheme="minorHAnsi"/>
          <w:lang w:val="en-GB"/>
        </w:rPr>
        <w:t>.</w:t>
      </w:r>
      <w:bookmarkEnd w:id="3378"/>
    </w:p>
    <w:p w:rsidR="000569A9" w:rsidRDefault="00A35CA0" w:rsidP="001C58CE">
      <w:pPr>
        <w:spacing w:line="240" w:lineRule="auto"/>
        <w:rPr>
          <w:b/>
        </w:rPr>
      </w:pPr>
      <w:r w:rsidRPr="00CA5FBB">
        <w:rPr>
          <w:b/>
          <w:noProof/>
          <w:color w:val="FF0000"/>
          <w:lang w:val="en-GB" w:eastAsia="en-GB"/>
        </w:rPr>
        <w:lastRenderedPageBreak/>
        <w:drawing>
          <wp:inline distT="0" distB="0" distL="0" distR="0" wp14:anchorId="767578C1" wp14:editId="13A67063">
            <wp:extent cx="5610225" cy="539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0225" cy="5391150"/>
                    </a:xfrm>
                    <a:prstGeom prst="rect">
                      <a:avLst/>
                    </a:prstGeom>
                    <a:noFill/>
                    <a:ln>
                      <a:noFill/>
                    </a:ln>
                  </pic:spPr>
                </pic:pic>
              </a:graphicData>
            </a:graphic>
          </wp:inline>
        </w:drawing>
      </w:r>
    </w:p>
    <w:p w:rsidR="00ED3268" w:rsidRDefault="00ED3268" w:rsidP="001C58CE">
      <w:pPr>
        <w:spacing w:line="240" w:lineRule="auto"/>
        <w:rPr>
          <w:b/>
        </w:rPr>
      </w:pPr>
      <w:bookmarkStart w:id="3379" w:name="_Toc373147492"/>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6</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6</w:t>
      </w:r>
      <w:r w:rsidR="008943E4" w:rsidRPr="00997A01">
        <w:rPr>
          <w:b/>
        </w:rPr>
        <w:fldChar w:fldCharType="end"/>
      </w:r>
      <w:r w:rsidRPr="00997A01">
        <w:t xml:space="preserve"> </w:t>
      </w:r>
      <w:r>
        <w:t xml:space="preserve">Grouping of epiphyseal fusion events by region for </w:t>
      </w:r>
      <w:r>
        <w:rPr>
          <w:i/>
        </w:rPr>
        <w:t xml:space="preserve">Pan </w:t>
      </w:r>
      <w:proofErr w:type="gramStart"/>
      <w:r>
        <w:rPr>
          <w:i/>
        </w:rPr>
        <w:t>troglodytes</w:t>
      </w:r>
      <w:proofErr w:type="gramEnd"/>
      <w:r>
        <w:rPr>
          <w:i/>
        </w:rPr>
        <w:t xml:space="preserve"> </w:t>
      </w:r>
      <w:r>
        <w:t>females using modular sequence.</w:t>
      </w:r>
      <w:bookmarkEnd w:id="3379"/>
    </w:p>
    <w:p w:rsidR="000569A9" w:rsidRDefault="00A35CA0" w:rsidP="001C58CE">
      <w:pPr>
        <w:spacing w:line="240" w:lineRule="auto"/>
        <w:rPr>
          <w:b/>
          <w:color w:val="000000" w:themeColor="text1"/>
        </w:rPr>
      </w:pPr>
      <w:r w:rsidRPr="00CA5FBB">
        <w:rPr>
          <w:b/>
          <w:noProof/>
          <w:lang w:val="en-GB" w:eastAsia="en-GB"/>
        </w:rPr>
        <w:lastRenderedPageBreak/>
        <w:drawing>
          <wp:inline distT="0" distB="0" distL="0" distR="0" wp14:anchorId="2420221F" wp14:editId="7FC9C7DD">
            <wp:extent cx="5610225" cy="5486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0225" cy="5486400"/>
                    </a:xfrm>
                    <a:prstGeom prst="rect">
                      <a:avLst/>
                    </a:prstGeom>
                    <a:noFill/>
                    <a:ln>
                      <a:noFill/>
                    </a:ln>
                  </pic:spPr>
                </pic:pic>
              </a:graphicData>
            </a:graphic>
          </wp:inline>
        </w:drawing>
      </w:r>
    </w:p>
    <w:p w:rsidR="0071473A" w:rsidRDefault="008943E4" w:rsidP="001C58CE">
      <w:pPr>
        <w:spacing w:line="240" w:lineRule="auto"/>
        <w:rPr>
          <w:color w:val="000000" w:themeColor="text1"/>
        </w:rPr>
      </w:pPr>
      <w:bookmarkStart w:id="3380" w:name="_Toc373147493"/>
      <w:proofErr w:type="gramStart"/>
      <w:r w:rsidRPr="00CA5FBB">
        <w:rPr>
          <w:b/>
          <w:color w:val="000000" w:themeColor="text1"/>
        </w:rPr>
        <w:t xml:space="preserve">Figure </w:t>
      </w:r>
      <w:r w:rsidRPr="00CA5FBB">
        <w:rPr>
          <w:b/>
          <w:color w:val="000000" w:themeColor="text1"/>
        </w:rPr>
        <w:fldChar w:fldCharType="begin"/>
      </w:r>
      <w:r w:rsidRPr="00CA5FBB">
        <w:rPr>
          <w:b/>
          <w:color w:val="000000" w:themeColor="text1"/>
        </w:rPr>
        <w:instrText xml:space="preserve"> STYLEREF 1 \s </w:instrText>
      </w:r>
      <w:r w:rsidRPr="00CA5FBB">
        <w:rPr>
          <w:b/>
          <w:color w:val="000000" w:themeColor="text1"/>
        </w:rPr>
        <w:fldChar w:fldCharType="separate"/>
      </w:r>
      <w:r w:rsidR="00795735">
        <w:rPr>
          <w:b/>
          <w:noProof/>
          <w:color w:val="000000" w:themeColor="text1"/>
        </w:rPr>
        <w:t>6</w:t>
      </w:r>
      <w:r w:rsidRPr="00CA5FBB">
        <w:rPr>
          <w:b/>
          <w:color w:val="000000" w:themeColor="text1"/>
        </w:rPr>
        <w:fldChar w:fldCharType="end"/>
      </w:r>
      <w:r w:rsidRPr="00CA5FBB">
        <w:rPr>
          <w:b/>
          <w:color w:val="000000" w:themeColor="text1"/>
        </w:rPr>
        <w:t>.</w:t>
      </w:r>
      <w:proofErr w:type="gramEnd"/>
      <w:r w:rsidRPr="00CA5FBB">
        <w:rPr>
          <w:b/>
          <w:color w:val="000000" w:themeColor="text1"/>
        </w:rPr>
        <w:fldChar w:fldCharType="begin"/>
      </w:r>
      <w:r w:rsidRPr="00CA5FBB">
        <w:rPr>
          <w:b/>
          <w:color w:val="000000" w:themeColor="text1"/>
        </w:rPr>
        <w:instrText xml:space="preserve"> SEQ Figure \* ARABIC \s 1 </w:instrText>
      </w:r>
      <w:r w:rsidRPr="00CA5FBB">
        <w:rPr>
          <w:b/>
          <w:color w:val="000000" w:themeColor="text1"/>
        </w:rPr>
        <w:fldChar w:fldCharType="separate"/>
      </w:r>
      <w:r w:rsidR="00795735">
        <w:rPr>
          <w:b/>
          <w:noProof/>
          <w:color w:val="000000" w:themeColor="text1"/>
        </w:rPr>
        <w:t>7</w:t>
      </w:r>
      <w:r w:rsidRPr="00CA5FBB">
        <w:rPr>
          <w:b/>
          <w:color w:val="000000" w:themeColor="text1"/>
        </w:rPr>
        <w:fldChar w:fldCharType="end"/>
      </w:r>
      <w:r w:rsidRPr="00CA5FBB">
        <w:rPr>
          <w:color w:val="000000" w:themeColor="text1"/>
        </w:rPr>
        <w:t xml:space="preserve"> Grouping of epiphyseal fusion events by region for </w:t>
      </w:r>
      <w:r w:rsidRPr="00CA5FBB">
        <w:rPr>
          <w:i/>
          <w:color w:val="000000" w:themeColor="text1"/>
        </w:rPr>
        <w:t xml:space="preserve">Pan </w:t>
      </w:r>
      <w:proofErr w:type="gramStart"/>
      <w:r w:rsidRPr="00CA5FBB">
        <w:rPr>
          <w:i/>
          <w:color w:val="000000" w:themeColor="text1"/>
        </w:rPr>
        <w:t>troglodytes</w:t>
      </w:r>
      <w:proofErr w:type="gramEnd"/>
      <w:r w:rsidRPr="00CA5FBB">
        <w:rPr>
          <w:i/>
          <w:color w:val="000000" w:themeColor="text1"/>
        </w:rPr>
        <w:t xml:space="preserve"> </w:t>
      </w:r>
      <w:r w:rsidRPr="00CA5FBB">
        <w:rPr>
          <w:color w:val="000000" w:themeColor="text1"/>
        </w:rPr>
        <w:t>males using modular sequence.</w:t>
      </w:r>
      <w:bookmarkEnd w:id="3380"/>
    </w:p>
    <w:p w:rsidR="0071473A" w:rsidRDefault="0071473A">
      <w:pPr>
        <w:spacing w:before="0" w:after="200" w:line="276" w:lineRule="auto"/>
        <w:jc w:val="left"/>
        <w:rPr>
          <w:color w:val="000000" w:themeColor="text1"/>
        </w:rPr>
      </w:pPr>
      <w:r>
        <w:rPr>
          <w:color w:val="000000" w:themeColor="text1"/>
        </w:rPr>
        <w:br w:type="page"/>
      </w:r>
    </w:p>
    <w:p w:rsidR="00A35CA0" w:rsidRDefault="00635A81" w:rsidP="00CA5FBB">
      <w:pPr>
        <w:rPr>
          <w:noProof/>
        </w:rPr>
      </w:pPr>
      <w:r>
        <w:rPr>
          <w:noProof/>
        </w:rPr>
        <w:lastRenderedPageBreak/>
        <w:t xml:space="preserve">The ranges of fusion events based on </w:t>
      </w:r>
      <w:r w:rsidR="00E031CB">
        <w:rPr>
          <w:noProof/>
        </w:rPr>
        <w:t>mean epiphyseal fusion</w:t>
      </w:r>
      <w:r w:rsidR="00CD66F7">
        <w:rPr>
          <w:noProof/>
        </w:rPr>
        <w:t xml:space="preserve"> </w:t>
      </w:r>
      <w:r w:rsidR="00E031CB">
        <w:rPr>
          <w:noProof/>
        </w:rPr>
        <w:t>value</w:t>
      </w:r>
      <w:r>
        <w:rPr>
          <w:noProof/>
        </w:rPr>
        <w:t xml:space="preserve"> </w:t>
      </w:r>
      <w:r w:rsidR="00813E36">
        <w:rPr>
          <w:noProof/>
        </w:rPr>
        <w:t xml:space="preserve">(defined in section 4.2.2) </w:t>
      </w:r>
      <w:r>
        <w:rPr>
          <w:noProof/>
        </w:rPr>
        <w:t xml:space="preserve">followed the progression of </w:t>
      </w:r>
      <w:r w:rsidR="00E031CB">
        <w:rPr>
          <w:noProof/>
        </w:rPr>
        <w:t xml:space="preserve">elbow, hip, ankle, knee, and wrist for </w:t>
      </w:r>
      <w:r w:rsidR="00E031CB">
        <w:rPr>
          <w:i/>
          <w:noProof/>
        </w:rPr>
        <w:t>Pan troglodytes</w:t>
      </w:r>
      <w:r w:rsidR="00E031CB">
        <w:rPr>
          <w:noProof/>
        </w:rPr>
        <w:t xml:space="preserve"> </w:t>
      </w:r>
      <w:r w:rsidR="002011DC">
        <w:rPr>
          <w:noProof/>
        </w:rPr>
        <w:t>females, but not males.  If the</w:t>
      </w:r>
      <w:r w:rsidR="00E031CB">
        <w:rPr>
          <w:noProof/>
        </w:rPr>
        <w:t xml:space="preserve"> talus is excluded, males agree with the pattern only for the first fusion centres observed</w:t>
      </w:r>
      <w:r w:rsidR="002011DC">
        <w:rPr>
          <w:noProof/>
        </w:rPr>
        <w:t xml:space="preserve"> for the ankle</w:t>
      </w:r>
      <w:r w:rsidR="00E031CB">
        <w:rPr>
          <w:noProof/>
        </w:rPr>
        <w:t>.  Previous studies (</w:t>
      </w:r>
      <w:r w:rsidR="003B7BE6">
        <w:rPr>
          <w:noProof/>
        </w:rPr>
        <w:t xml:space="preserve">Bolter and Zihlman 2012, Kerley 1966, Zihlman </w:t>
      </w:r>
      <w:r w:rsidR="003B7BE6">
        <w:rPr>
          <w:i/>
          <w:noProof/>
        </w:rPr>
        <w:t xml:space="preserve">et </w:t>
      </w:r>
      <w:r w:rsidR="003B7BE6" w:rsidRPr="003B7BE6">
        <w:rPr>
          <w:i/>
          <w:noProof/>
        </w:rPr>
        <w:t>al</w:t>
      </w:r>
      <w:r w:rsidR="003B7BE6">
        <w:rPr>
          <w:noProof/>
        </w:rPr>
        <w:t>. 2007</w:t>
      </w:r>
      <w:r w:rsidR="00E031CB">
        <w:rPr>
          <w:noProof/>
        </w:rPr>
        <w:t xml:space="preserve">) did not evaluate the talar epiphysis and based on present study there may be a difference </w:t>
      </w:r>
      <w:r w:rsidR="002128B4">
        <w:rPr>
          <w:noProof/>
        </w:rPr>
        <w:t>between males and females</w:t>
      </w:r>
      <w:r w:rsidR="00E031CB">
        <w:rPr>
          <w:noProof/>
        </w:rPr>
        <w:t xml:space="preserve">.  However, observations of mid-fusion events in this study were rare (there were only three observations for females and one for males) and this </w:t>
      </w:r>
      <w:r w:rsidR="001655AE">
        <w:rPr>
          <w:noProof/>
        </w:rPr>
        <w:t>difference</w:t>
      </w:r>
      <w:r w:rsidR="00E031CB">
        <w:rPr>
          <w:noProof/>
        </w:rPr>
        <w:t xml:space="preserve"> cannot therefore be shown</w:t>
      </w:r>
      <w:r w:rsidR="00CA070E">
        <w:rPr>
          <w:noProof/>
        </w:rPr>
        <w:t xml:space="preserve"> to be statistically </w:t>
      </w:r>
      <w:r w:rsidR="00802C25">
        <w:rPr>
          <w:noProof/>
        </w:rPr>
        <w:t>applicable for any testing</w:t>
      </w:r>
      <w:r w:rsidR="00CA070E">
        <w:rPr>
          <w:noProof/>
        </w:rPr>
        <w:t>.</w:t>
      </w:r>
      <w:r w:rsidR="00E031CB">
        <w:rPr>
          <w:noProof/>
        </w:rPr>
        <w:t xml:space="preserve">  In addition, the difference between the last epiphysis of the elbow and the last epiphysis of the hip</w:t>
      </w:r>
      <w:r w:rsidR="00E031CB" w:rsidRPr="009332A1">
        <w:rPr>
          <w:noProof/>
        </w:rPr>
        <w:t xml:space="preserve"> to fuse in males</w:t>
      </w:r>
      <w:r w:rsidR="00E031CB">
        <w:rPr>
          <w:noProof/>
        </w:rPr>
        <w:t xml:space="preserve"> is not large (2.81 vs. 2.85 in mean epiphyseal fusion score).  It could be suggested that the general patterns</w:t>
      </w:r>
      <w:r w:rsidR="00F3537B">
        <w:rPr>
          <w:noProof/>
        </w:rPr>
        <w:t xml:space="preserve"> for both male</w:t>
      </w:r>
      <w:r w:rsidR="00993FE6">
        <w:rPr>
          <w:noProof/>
        </w:rPr>
        <w:t xml:space="preserve"> and female</w:t>
      </w:r>
      <w:r w:rsidR="00F3537B">
        <w:rPr>
          <w:noProof/>
        </w:rPr>
        <w:t xml:space="preserve"> </w:t>
      </w:r>
      <w:r w:rsidR="00F3537B">
        <w:rPr>
          <w:i/>
          <w:noProof/>
        </w:rPr>
        <w:t>Pan troglodytes</w:t>
      </w:r>
      <w:r w:rsidR="00E031CB">
        <w:rPr>
          <w:noProof/>
        </w:rPr>
        <w:t xml:space="preserve"> agree with </w:t>
      </w:r>
      <w:r w:rsidR="00993FE6">
        <w:rPr>
          <w:noProof/>
        </w:rPr>
        <w:t xml:space="preserve">the general trend for primates </w:t>
      </w:r>
      <w:r w:rsidR="00DD2A36">
        <w:rPr>
          <w:noProof/>
        </w:rPr>
        <w:t xml:space="preserve">discussed by Zihlman </w:t>
      </w:r>
      <w:r w:rsidR="00DD2A36">
        <w:rPr>
          <w:i/>
          <w:noProof/>
        </w:rPr>
        <w:t xml:space="preserve">et </w:t>
      </w:r>
      <w:r w:rsidR="00DD2A36" w:rsidRPr="00DD2A36">
        <w:rPr>
          <w:i/>
          <w:noProof/>
        </w:rPr>
        <w:t>al</w:t>
      </w:r>
      <w:r w:rsidR="00DD2A36">
        <w:rPr>
          <w:noProof/>
        </w:rPr>
        <w:t>. (2007)</w:t>
      </w:r>
      <w:r w:rsidR="00D850B0">
        <w:rPr>
          <w:noProof/>
        </w:rPr>
        <w:t xml:space="preserve"> </w:t>
      </w:r>
      <w:r w:rsidR="00993FE6" w:rsidRPr="00DD2A36">
        <w:rPr>
          <w:noProof/>
        </w:rPr>
        <w:t>with</w:t>
      </w:r>
      <w:r w:rsidR="00993FE6">
        <w:rPr>
          <w:noProof/>
        </w:rPr>
        <w:t xml:space="preserve"> </w:t>
      </w:r>
      <w:r w:rsidR="00E031CB">
        <w:rPr>
          <w:noProof/>
        </w:rPr>
        <w:t xml:space="preserve">some minor exceptions.  </w:t>
      </w:r>
      <w:r w:rsidR="002029E9">
        <w:rPr>
          <w:noProof/>
        </w:rPr>
        <w:t xml:space="preserve">Shoulder epiphyses appear to fuse over a wide range of time but when considered by individual epiphyses, most fuse quite late in development and it is only the much earlier fusion of the coracoid that drives the initiation of the shoulder range quite early.  </w:t>
      </w:r>
      <w:r w:rsidR="00E031CB">
        <w:rPr>
          <w:noProof/>
        </w:rPr>
        <w:t xml:space="preserve">Results from Zihlman </w:t>
      </w:r>
      <w:r w:rsidR="00E031CB">
        <w:rPr>
          <w:i/>
          <w:noProof/>
        </w:rPr>
        <w:t>et al.</w:t>
      </w:r>
      <w:r w:rsidR="00E031CB">
        <w:rPr>
          <w:noProof/>
        </w:rPr>
        <w:t xml:space="preserve"> (2007) also placed the coracoid quite early in the fusion sequence and in doing so ma</w:t>
      </w:r>
      <w:r w:rsidR="00CA070E">
        <w:rPr>
          <w:noProof/>
        </w:rPr>
        <w:t>de</w:t>
      </w:r>
      <w:r w:rsidR="00E031CB">
        <w:rPr>
          <w:noProof/>
        </w:rPr>
        <w:t xml:space="preserve"> their statement slightly confused without clarifying if the agreement was with the last elements to fuse or the overall range</w:t>
      </w:r>
      <w:r w:rsidR="00015023">
        <w:rPr>
          <w:noProof/>
        </w:rPr>
        <w:t xml:space="preserve">  If </w:t>
      </w:r>
      <w:r w:rsidR="000A313D">
        <w:rPr>
          <w:noProof/>
        </w:rPr>
        <w:t>the coracoid</w:t>
      </w:r>
      <w:r w:rsidR="00015023">
        <w:rPr>
          <w:noProof/>
        </w:rPr>
        <w:t xml:space="preserve"> was removed, both their statement and results would agree with the present study</w:t>
      </w:r>
      <w:r w:rsidR="00E031CB">
        <w:rPr>
          <w:noProof/>
        </w:rPr>
        <w:t>.  Kerley (1966) only recorded the coracoid as partially fused by age 9 due to limited data.  Schutz’s (1940, 1944) and Todd’s (1930) data were equally limited.  As such, these are likely general patterns of observation.  In this context this study agrees with these patterns and is able to provide data for more epiphyses.</w:t>
      </w:r>
    </w:p>
    <w:p w:rsidR="00A35CA0" w:rsidRDefault="00A86AC0" w:rsidP="00CA5FBB">
      <w:pPr>
        <w:spacing w:before="120"/>
        <w:rPr>
          <w:noProof/>
        </w:rPr>
      </w:pPr>
      <w:r>
        <w:rPr>
          <w:noProof/>
        </w:rPr>
        <w:t xml:space="preserve">Modular fusion </w:t>
      </w:r>
      <w:r w:rsidR="0037343E">
        <w:rPr>
          <w:noProof/>
        </w:rPr>
        <w:t xml:space="preserve">sequences </w:t>
      </w:r>
      <w:r w:rsidR="005D4508">
        <w:rPr>
          <w:noProof/>
        </w:rPr>
        <w:t>confirm</w:t>
      </w:r>
      <w:r w:rsidR="0037343E">
        <w:rPr>
          <w:noProof/>
        </w:rPr>
        <w:t xml:space="preserve"> </w:t>
      </w:r>
      <w:r>
        <w:rPr>
          <w:noProof/>
        </w:rPr>
        <w:t xml:space="preserve">the patterning </w:t>
      </w:r>
      <w:r w:rsidR="00DA61E0">
        <w:rPr>
          <w:noProof/>
        </w:rPr>
        <w:t xml:space="preserve">found using </w:t>
      </w:r>
      <w:r>
        <w:rPr>
          <w:noProof/>
        </w:rPr>
        <w:t>mean epiphyseal fusion value</w:t>
      </w:r>
      <w:r w:rsidR="0037343E">
        <w:rPr>
          <w:noProof/>
        </w:rPr>
        <w:t xml:space="preserve"> in this context</w:t>
      </w:r>
      <w:r>
        <w:rPr>
          <w:noProof/>
        </w:rPr>
        <w:t xml:space="preserve">.  </w:t>
      </w:r>
      <w:r w:rsidR="002A2C70">
        <w:rPr>
          <w:noProof/>
        </w:rPr>
        <w:t xml:space="preserve">The only possibly exception was </w:t>
      </w:r>
      <w:r>
        <w:rPr>
          <w:noProof/>
        </w:rPr>
        <w:t xml:space="preserve">the elbow in males.  This was caused </w:t>
      </w:r>
      <w:r w:rsidR="00DA61E0">
        <w:rPr>
          <w:noProof/>
        </w:rPr>
        <w:t>by</w:t>
      </w:r>
      <w:r>
        <w:rPr>
          <w:noProof/>
        </w:rPr>
        <w:t xml:space="preserve"> a deviated</w:t>
      </w:r>
      <w:r w:rsidR="000E75D0" w:rsidRPr="000E75D0">
        <w:rPr>
          <w:rFonts w:eastAsia="Times New Roman"/>
          <w:color w:val="000000"/>
          <w:lang w:val="en-GB" w:eastAsia="en-GB"/>
        </w:rPr>
        <w:t xml:space="preserve"> </w:t>
      </w:r>
      <w:r w:rsidR="000E75D0">
        <w:rPr>
          <w:rFonts w:eastAsia="Times New Roman"/>
          <w:color w:val="000000"/>
          <w:lang w:val="en-GB" w:eastAsia="en-GB"/>
        </w:rPr>
        <w:t>humeral</w:t>
      </w:r>
      <w:r>
        <w:rPr>
          <w:noProof/>
        </w:rPr>
        <w:t xml:space="preserve"> medial epicondyle.  It is entirely likely that this was the result of small</w:t>
      </w:r>
      <w:r w:rsidR="005554EC">
        <w:rPr>
          <w:noProof/>
        </w:rPr>
        <w:t>er</w:t>
      </w:r>
      <w:r>
        <w:rPr>
          <w:noProof/>
        </w:rPr>
        <w:t xml:space="preserve"> sample size and does not represent a deviation in actual pattern.  Both the patterns observed using mean epiphyseal fusion value and dental score would confirm this.</w:t>
      </w:r>
    </w:p>
    <w:p w:rsidR="00A35CA0" w:rsidRDefault="006346C7" w:rsidP="00CA5FBB">
      <w:pPr>
        <w:spacing w:before="120"/>
        <w:rPr>
          <w:noProof/>
          <w:u w:val="single"/>
        </w:rPr>
      </w:pPr>
      <w:r>
        <w:rPr>
          <w:noProof/>
          <w:u w:val="single"/>
        </w:rPr>
        <w:t>Comparing</w:t>
      </w:r>
      <w:r w:rsidR="005534C9">
        <w:rPr>
          <w:noProof/>
          <w:u w:val="single"/>
        </w:rPr>
        <w:t xml:space="preserve"> chimpanzees</w:t>
      </w:r>
      <w:r w:rsidR="009C6132">
        <w:rPr>
          <w:noProof/>
          <w:u w:val="single"/>
        </w:rPr>
        <w:t xml:space="preserve"> </w:t>
      </w:r>
      <w:r>
        <w:rPr>
          <w:noProof/>
          <w:u w:val="single"/>
        </w:rPr>
        <w:t xml:space="preserve">and </w:t>
      </w:r>
      <w:r w:rsidR="0019364A">
        <w:rPr>
          <w:noProof/>
          <w:u w:val="single"/>
        </w:rPr>
        <w:t>humans</w:t>
      </w:r>
    </w:p>
    <w:p w:rsidR="00A35CA0" w:rsidRDefault="00760948" w:rsidP="00CA5FBB">
      <w:pPr>
        <w:spacing w:before="120"/>
        <w:rPr>
          <w:noProof/>
        </w:rPr>
      </w:pPr>
      <w:r>
        <w:rPr>
          <w:noProof/>
        </w:rPr>
        <w:t>The general conclusion that may be brought forward from Chapter 5 where chimpanzee and human fusion sequences</w:t>
      </w:r>
      <w:r w:rsidR="008F3A7C">
        <w:rPr>
          <w:noProof/>
        </w:rPr>
        <w:t xml:space="preserve"> (as determined by Schaefer and Black 2007)</w:t>
      </w:r>
      <w:r>
        <w:rPr>
          <w:noProof/>
        </w:rPr>
        <w:t xml:space="preserve"> were compared was that these species follow effectively the same pattern of maturatio</w:t>
      </w:r>
      <w:r w:rsidR="007C3658">
        <w:rPr>
          <w:noProof/>
        </w:rPr>
        <w:t>n</w:t>
      </w:r>
      <w:r>
        <w:rPr>
          <w:noProof/>
        </w:rPr>
        <w:t xml:space="preserve">.  </w:t>
      </w:r>
      <w:r w:rsidR="00681359">
        <w:rPr>
          <w:noProof/>
        </w:rPr>
        <w:t>T</w:t>
      </w:r>
      <w:r>
        <w:rPr>
          <w:noProof/>
        </w:rPr>
        <w:t>his comes with the caveat that the level of overlap</w:t>
      </w:r>
      <w:r w:rsidR="00D3248E">
        <w:rPr>
          <w:noProof/>
        </w:rPr>
        <w:t xml:space="preserve"> between closely fusi</w:t>
      </w:r>
      <w:r>
        <w:rPr>
          <w:noProof/>
        </w:rPr>
        <w:t>n</w:t>
      </w:r>
      <w:r w:rsidR="00D3248E">
        <w:rPr>
          <w:noProof/>
        </w:rPr>
        <w:t>g</w:t>
      </w:r>
      <w:r>
        <w:rPr>
          <w:noProof/>
        </w:rPr>
        <w:t xml:space="preserve"> epiphyses </w:t>
      </w:r>
      <w:r w:rsidR="00D3248E">
        <w:rPr>
          <w:noProof/>
        </w:rPr>
        <w:t xml:space="preserve">may </w:t>
      </w:r>
      <w:r w:rsidR="00681359">
        <w:rPr>
          <w:noProof/>
        </w:rPr>
        <w:t xml:space="preserve">have </w:t>
      </w:r>
      <w:r w:rsidR="00D3248E">
        <w:rPr>
          <w:noProof/>
        </w:rPr>
        <w:t>obscure</w:t>
      </w:r>
      <w:r w:rsidR="00681359">
        <w:rPr>
          <w:noProof/>
        </w:rPr>
        <w:t>d</w:t>
      </w:r>
      <w:r w:rsidR="00D3248E">
        <w:rPr>
          <w:noProof/>
        </w:rPr>
        <w:t xml:space="preserve"> small differences</w:t>
      </w:r>
      <w:r>
        <w:rPr>
          <w:noProof/>
        </w:rPr>
        <w:t xml:space="preserve">.  The approach taken </w:t>
      </w:r>
      <w:r w:rsidR="007C3658">
        <w:rPr>
          <w:noProof/>
        </w:rPr>
        <w:t>in this comparison</w:t>
      </w:r>
      <w:r>
        <w:rPr>
          <w:noProof/>
        </w:rPr>
        <w:t xml:space="preserve"> was that if the ranges </w:t>
      </w:r>
      <w:r w:rsidR="00681359">
        <w:rPr>
          <w:noProof/>
        </w:rPr>
        <w:t>could be distinguished</w:t>
      </w:r>
      <w:r w:rsidR="002B2EBE">
        <w:rPr>
          <w:noProof/>
        </w:rPr>
        <w:t xml:space="preserve"> </w:t>
      </w:r>
      <w:r>
        <w:rPr>
          <w:noProof/>
        </w:rPr>
        <w:t xml:space="preserve">statistically then </w:t>
      </w:r>
      <w:r w:rsidR="00D3248E">
        <w:rPr>
          <w:noProof/>
        </w:rPr>
        <w:t>it</w:t>
      </w:r>
      <w:r>
        <w:rPr>
          <w:noProof/>
        </w:rPr>
        <w:t xml:space="preserve"> could </w:t>
      </w:r>
      <w:r w:rsidR="00D3248E">
        <w:rPr>
          <w:noProof/>
        </w:rPr>
        <w:t xml:space="preserve">be </w:t>
      </w:r>
      <w:r>
        <w:rPr>
          <w:noProof/>
        </w:rPr>
        <w:t>assert</w:t>
      </w:r>
      <w:r w:rsidR="00D3248E">
        <w:rPr>
          <w:noProof/>
        </w:rPr>
        <w:t>ed</w:t>
      </w:r>
      <w:r>
        <w:rPr>
          <w:noProof/>
        </w:rPr>
        <w:t xml:space="preserve"> without question that the sequences were different.  </w:t>
      </w:r>
      <w:r w:rsidR="00E97E5F">
        <w:rPr>
          <w:noProof/>
        </w:rPr>
        <w:t>The</w:t>
      </w:r>
      <w:r w:rsidR="007C3658">
        <w:rPr>
          <w:noProof/>
        </w:rPr>
        <w:t xml:space="preserve"> approach</w:t>
      </w:r>
      <w:r w:rsidR="00E97E5F">
        <w:rPr>
          <w:noProof/>
        </w:rPr>
        <w:t xml:space="preserve"> taken in this study</w:t>
      </w:r>
      <w:r w:rsidR="007C3658">
        <w:rPr>
          <w:noProof/>
        </w:rPr>
        <w:t xml:space="preserve"> was only able to determine broad trends of difference and was not able to distinguish closely-fusing epiphyses</w:t>
      </w:r>
      <w:r>
        <w:rPr>
          <w:noProof/>
        </w:rPr>
        <w:t>.</w:t>
      </w:r>
    </w:p>
    <w:p w:rsidR="00A35CA0" w:rsidRDefault="00252E0B" w:rsidP="00CA5FBB">
      <w:pPr>
        <w:spacing w:before="120"/>
        <w:rPr>
          <w:noProof/>
          <w:u w:val="single"/>
        </w:rPr>
      </w:pPr>
      <w:r>
        <w:rPr>
          <w:noProof/>
        </w:rPr>
        <w:lastRenderedPageBreak/>
        <w:t xml:space="preserve">Epiphyses listed in </w:t>
      </w:r>
      <w:r w:rsidR="00760948">
        <w:rPr>
          <w:noProof/>
        </w:rPr>
        <w:t xml:space="preserve">Schaefer and Black’s (2007) modular sequence </w:t>
      </w:r>
      <w:r>
        <w:rPr>
          <w:noProof/>
        </w:rPr>
        <w:t xml:space="preserve">may be grouped </w:t>
      </w:r>
      <w:r w:rsidR="008E3BB7">
        <w:rPr>
          <w:noProof/>
        </w:rPr>
        <w:t xml:space="preserve">using the same system </w:t>
      </w:r>
      <w:r>
        <w:rPr>
          <w:noProof/>
        </w:rPr>
        <w:t>(</w:t>
      </w:r>
      <w:r>
        <w:rPr>
          <w:rFonts w:eastAsiaTheme="minorHAnsi"/>
          <w:lang w:val="en-GB"/>
        </w:rPr>
        <w:t>elbow, hip, ankle, knee, wrist, shoulder</w:t>
      </w:r>
      <w:r>
        <w:rPr>
          <w:noProof/>
        </w:rPr>
        <w:t xml:space="preserve">) </w:t>
      </w:r>
      <w:r w:rsidR="008E3BB7">
        <w:rPr>
          <w:noProof/>
        </w:rPr>
        <w:t xml:space="preserve">referred to by Zihlman </w:t>
      </w:r>
      <w:r w:rsidR="008E3BB7">
        <w:rPr>
          <w:i/>
          <w:noProof/>
        </w:rPr>
        <w:t xml:space="preserve">et </w:t>
      </w:r>
      <w:r w:rsidR="008E3BB7" w:rsidRPr="008E3BB7">
        <w:rPr>
          <w:i/>
          <w:noProof/>
        </w:rPr>
        <w:t>al</w:t>
      </w:r>
      <w:r w:rsidR="008E3BB7">
        <w:rPr>
          <w:noProof/>
        </w:rPr>
        <w:t>. (2007).  This is demonstrated in Figure 6.</w:t>
      </w:r>
      <w:r w:rsidR="00AF4445">
        <w:rPr>
          <w:noProof/>
        </w:rPr>
        <w:t>8</w:t>
      </w:r>
      <w:r w:rsidR="006E058D">
        <w:rPr>
          <w:noProof/>
        </w:rPr>
        <w:t>.</w:t>
      </w:r>
      <w:r w:rsidR="008F3A7C">
        <w:rPr>
          <w:noProof/>
        </w:rPr>
        <w:t xml:space="preserve">  </w:t>
      </w:r>
      <w:r w:rsidR="00760948">
        <w:rPr>
          <w:noProof/>
        </w:rPr>
        <w:t>It should be noted that Schaefer and Black (2007) did not include hand and foot fusion centres</w:t>
      </w:r>
      <w:r w:rsidR="005A18D0">
        <w:rPr>
          <w:noProof/>
        </w:rPr>
        <w:t xml:space="preserve">.  Notably, the </w:t>
      </w:r>
      <w:r w:rsidR="00760948">
        <w:rPr>
          <w:noProof/>
        </w:rPr>
        <w:t>calcaneus and the talus</w:t>
      </w:r>
      <w:r w:rsidR="005A18D0">
        <w:rPr>
          <w:noProof/>
        </w:rPr>
        <w:t xml:space="preserve"> were not included in their sequence</w:t>
      </w:r>
      <w:r w:rsidR="00760948">
        <w:rPr>
          <w:noProof/>
        </w:rPr>
        <w:t xml:space="preserve">. It </w:t>
      </w:r>
      <w:r w:rsidR="006C7F88">
        <w:rPr>
          <w:noProof/>
        </w:rPr>
        <w:t xml:space="preserve">is </w:t>
      </w:r>
      <w:r w:rsidR="00760948">
        <w:rPr>
          <w:noProof/>
        </w:rPr>
        <w:t xml:space="preserve">observed that </w:t>
      </w:r>
      <w:r w:rsidR="006C7F88">
        <w:rPr>
          <w:noProof/>
        </w:rPr>
        <w:t>the pattern of grouped epiphyses is essentially analgous</w:t>
      </w:r>
      <w:r w:rsidR="00760948">
        <w:rPr>
          <w:noProof/>
        </w:rPr>
        <w:t xml:space="preserve"> to</w:t>
      </w:r>
      <w:r w:rsidR="006C7F88">
        <w:rPr>
          <w:noProof/>
        </w:rPr>
        <w:t xml:space="preserve"> the pattern found for</w:t>
      </w:r>
      <w:r w:rsidR="00760948">
        <w:rPr>
          <w:noProof/>
        </w:rPr>
        <w:t xml:space="preserve"> chimpanzees.  </w:t>
      </w:r>
      <w:r w:rsidR="00AF7F5A">
        <w:rPr>
          <w:noProof/>
        </w:rPr>
        <w:t>Pelvis epiphyses appear to fuse somewhat earlier</w:t>
      </w:r>
      <w:r w:rsidR="002B2EBE">
        <w:rPr>
          <w:noProof/>
        </w:rPr>
        <w:t xml:space="preserve"> in chimpanzees than humans</w:t>
      </w:r>
      <w:r w:rsidR="00AF7F5A">
        <w:rPr>
          <w:noProof/>
        </w:rPr>
        <w:t>.  This differences is caused mainly by a shift in position of the iliac crest</w:t>
      </w:r>
      <w:r w:rsidR="004C3664">
        <w:rPr>
          <w:noProof/>
        </w:rPr>
        <w:t xml:space="preserve">.  </w:t>
      </w:r>
      <w:r w:rsidR="00AF7F5A">
        <w:rPr>
          <w:noProof/>
        </w:rPr>
        <w:t>A</w:t>
      </w:r>
      <w:r w:rsidR="00760948">
        <w:rPr>
          <w:noProof/>
        </w:rPr>
        <w:t xml:space="preserve">s was demonstrated in </w:t>
      </w:r>
      <w:r w:rsidR="004C3664">
        <w:rPr>
          <w:noProof/>
        </w:rPr>
        <w:t>C</w:t>
      </w:r>
      <w:r w:rsidR="00760948">
        <w:rPr>
          <w:noProof/>
        </w:rPr>
        <w:t xml:space="preserve">hapter 5, </w:t>
      </w:r>
      <w:r w:rsidR="00AF7F5A">
        <w:rPr>
          <w:noProof/>
        </w:rPr>
        <w:t>this epiphysis showed a range of variation that heavily overlapped other late-fusing epiphyses.  As such, it is not possible to prove that there exists an actual difference for this region.</w:t>
      </w:r>
      <w:r w:rsidR="00760948">
        <w:rPr>
          <w:noProof/>
        </w:rPr>
        <w:t xml:space="preserve">  As a general statement, the regional pattern of fusion events is largely consistent b</w:t>
      </w:r>
      <w:r w:rsidR="003C7682">
        <w:rPr>
          <w:noProof/>
        </w:rPr>
        <w:t>etween chimpanzees and humans.</w:t>
      </w:r>
    </w:p>
    <w:p w:rsidR="00A50295" w:rsidRDefault="00A50295" w:rsidP="00A50295">
      <w:pPr>
        <w:spacing w:line="240" w:lineRule="auto"/>
        <w:jc w:val="center"/>
        <w:rPr>
          <w:noProof/>
        </w:rPr>
      </w:pPr>
      <w:r>
        <w:rPr>
          <w:noProof/>
          <w:lang w:val="en-GB" w:eastAsia="en-GB"/>
        </w:rPr>
        <w:drawing>
          <wp:inline distT="0" distB="0" distL="0" distR="0" wp14:anchorId="4287F940" wp14:editId="7571F752">
            <wp:extent cx="5086350" cy="4638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86350" cy="4638675"/>
                    </a:xfrm>
                    <a:prstGeom prst="rect">
                      <a:avLst/>
                    </a:prstGeom>
                    <a:noFill/>
                    <a:ln>
                      <a:noFill/>
                    </a:ln>
                  </pic:spPr>
                </pic:pic>
              </a:graphicData>
            </a:graphic>
          </wp:inline>
        </w:drawing>
      </w:r>
    </w:p>
    <w:p w:rsidR="007B70CE" w:rsidRDefault="007741FF">
      <w:pPr>
        <w:spacing w:line="240" w:lineRule="auto"/>
        <w:rPr>
          <w:noProof/>
        </w:rPr>
      </w:pPr>
      <w:bookmarkStart w:id="3381" w:name="_Toc373147494"/>
      <w:proofErr w:type="gramStart"/>
      <w:r w:rsidRPr="00997A01">
        <w:rPr>
          <w:b/>
        </w:rPr>
        <w:t xml:space="preserve">Figure </w:t>
      </w:r>
      <w:r w:rsidR="008943E4" w:rsidRPr="00997A01">
        <w:rPr>
          <w:b/>
        </w:rPr>
        <w:fldChar w:fldCharType="begin"/>
      </w:r>
      <w:r w:rsidRPr="00997A01">
        <w:rPr>
          <w:b/>
        </w:rPr>
        <w:instrText xml:space="preserve"> STYLEREF 1 \s </w:instrText>
      </w:r>
      <w:r w:rsidR="008943E4" w:rsidRPr="00997A01">
        <w:rPr>
          <w:b/>
        </w:rPr>
        <w:fldChar w:fldCharType="separate"/>
      </w:r>
      <w:r w:rsidR="00795735">
        <w:rPr>
          <w:b/>
          <w:noProof/>
        </w:rPr>
        <w:t>6</w:t>
      </w:r>
      <w:r w:rsidR="008943E4" w:rsidRPr="00997A01">
        <w:rPr>
          <w:b/>
        </w:rPr>
        <w:fldChar w:fldCharType="end"/>
      </w:r>
      <w:r w:rsidRPr="00997A01">
        <w:rPr>
          <w:b/>
        </w:rPr>
        <w:t>.</w:t>
      </w:r>
      <w:proofErr w:type="gramEnd"/>
      <w:r w:rsidR="008943E4" w:rsidRPr="00997A01">
        <w:rPr>
          <w:b/>
        </w:rPr>
        <w:fldChar w:fldCharType="begin"/>
      </w:r>
      <w:r w:rsidRPr="00997A01">
        <w:rPr>
          <w:b/>
        </w:rPr>
        <w:instrText xml:space="preserve"> SEQ Figure \* ARABIC \s 1 </w:instrText>
      </w:r>
      <w:r w:rsidR="008943E4" w:rsidRPr="00997A01">
        <w:rPr>
          <w:b/>
        </w:rPr>
        <w:fldChar w:fldCharType="separate"/>
      </w:r>
      <w:r w:rsidR="00795735">
        <w:rPr>
          <w:b/>
          <w:noProof/>
        </w:rPr>
        <w:t>8</w:t>
      </w:r>
      <w:r w:rsidR="008943E4" w:rsidRPr="00997A01">
        <w:rPr>
          <w:b/>
        </w:rPr>
        <w:fldChar w:fldCharType="end"/>
      </w:r>
      <w:r>
        <w:rPr>
          <w:noProof/>
        </w:rPr>
        <w:t xml:space="preserve"> Regional pattern </w:t>
      </w:r>
      <w:r w:rsidR="00E85E8C">
        <w:rPr>
          <w:noProof/>
        </w:rPr>
        <w:t xml:space="preserve">for humans </w:t>
      </w:r>
      <w:r>
        <w:rPr>
          <w:noProof/>
        </w:rPr>
        <w:t>derived from the modular pattern found in Schaefer and Black (2007).</w:t>
      </w:r>
      <w:bookmarkEnd w:id="3381"/>
    </w:p>
    <w:p w:rsidR="0093472F" w:rsidRDefault="0093472F">
      <w:pPr>
        <w:spacing w:before="0" w:after="200" w:line="276" w:lineRule="auto"/>
        <w:jc w:val="left"/>
        <w:rPr>
          <w:noProof/>
        </w:rPr>
      </w:pPr>
      <w:r>
        <w:rPr>
          <w:noProof/>
        </w:rPr>
        <w:br w:type="page"/>
      </w:r>
    </w:p>
    <w:p w:rsidR="00A35CA0" w:rsidRDefault="00B37BFE" w:rsidP="00CA5FBB">
      <w:pPr>
        <w:spacing w:line="240" w:lineRule="auto"/>
        <w:rPr>
          <w:b/>
          <w:i/>
          <w:noProof/>
        </w:rPr>
      </w:pPr>
      <w:r>
        <w:rPr>
          <w:b/>
          <w:i/>
          <w:noProof/>
        </w:rPr>
        <w:lastRenderedPageBreak/>
        <w:t>6.2.2b</w:t>
      </w:r>
      <w:r w:rsidR="005520D4" w:rsidRPr="008D6DD0">
        <w:rPr>
          <w:b/>
          <w:i/>
          <w:noProof/>
        </w:rPr>
        <w:t xml:space="preserve"> Sequence of dental development relative to skeletal development</w:t>
      </w:r>
    </w:p>
    <w:p w:rsidR="00A35CA0" w:rsidRDefault="00A50295" w:rsidP="00CA5FBB">
      <w:pPr>
        <w:rPr>
          <w:noProof/>
        </w:rPr>
      </w:pPr>
      <w:r>
        <w:rPr>
          <w:noProof/>
        </w:rPr>
        <w:t xml:space="preserve">In </w:t>
      </w:r>
      <w:r w:rsidR="00396563">
        <w:rPr>
          <w:noProof/>
        </w:rPr>
        <w:t>Chapter 5</w:t>
      </w:r>
      <w:r>
        <w:rPr>
          <w:noProof/>
        </w:rPr>
        <w:t xml:space="preserve"> the relationship between epiphyseal fusion </w:t>
      </w:r>
      <w:r w:rsidR="00974E66">
        <w:rPr>
          <w:noProof/>
        </w:rPr>
        <w:t>sequences</w:t>
      </w:r>
      <w:r>
        <w:rPr>
          <w:noProof/>
        </w:rPr>
        <w:t xml:space="preserve"> and dental mineralization sequence was explored.  There were two main </w:t>
      </w:r>
      <w:r w:rsidR="00942FDC">
        <w:rPr>
          <w:noProof/>
        </w:rPr>
        <w:t xml:space="preserve">conclusions </w:t>
      </w:r>
      <w:r w:rsidR="00BB542F">
        <w:rPr>
          <w:noProof/>
        </w:rPr>
        <w:t xml:space="preserve">from this analysis that are </w:t>
      </w:r>
      <w:r w:rsidR="00F17003">
        <w:rPr>
          <w:noProof/>
        </w:rPr>
        <w:t xml:space="preserve">relevant </w:t>
      </w:r>
      <w:r w:rsidR="008C77D4">
        <w:rPr>
          <w:noProof/>
        </w:rPr>
        <w:t xml:space="preserve">for </w:t>
      </w:r>
      <w:r w:rsidR="00F17003">
        <w:rPr>
          <w:noProof/>
        </w:rPr>
        <w:t>disussion</w:t>
      </w:r>
      <w:r>
        <w:rPr>
          <w:noProof/>
        </w:rPr>
        <w:t xml:space="preserve">.  First, despite </w:t>
      </w:r>
      <w:r w:rsidR="00BB542F">
        <w:rPr>
          <w:noProof/>
        </w:rPr>
        <w:t xml:space="preserve">differences </w:t>
      </w:r>
      <w:r>
        <w:rPr>
          <w:noProof/>
        </w:rPr>
        <w:t>in mineralization sequence between humans and chimpanzees, the timing of first apical closure of a</w:t>
      </w:r>
      <w:r w:rsidR="00942FDC">
        <w:rPr>
          <w:noProof/>
        </w:rPr>
        <w:t>ny</w:t>
      </w:r>
      <w:r>
        <w:rPr>
          <w:noProof/>
        </w:rPr>
        <w:t xml:space="preserve"> tooth happens after the mean </w:t>
      </w:r>
      <w:r w:rsidR="0078029F">
        <w:rPr>
          <w:noProof/>
        </w:rPr>
        <w:t xml:space="preserve">epiphyseal fusion </w:t>
      </w:r>
      <w:r>
        <w:rPr>
          <w:noProof/>
        </w:rPr>
        <w:t xml:space="preserve">values </w:t>
      </w:r>
      <w:r w:rsidR="00974E66">
        <w:rPr>
          <w:noProof/>
        </w:rPr>
        <w:t>of</w:t>
      </w:r>
      <w:r>
        <w:rPr>
          <w:noProof/>
        </w:rPr>
        <w:t xml:space="preserve"> 8 mid-fusion events.  </w:t>
      </w:r>
      <w:r w:rsidR="005A3B2B">
        <w:rPr>
          <w:noProof/>
        </w:rPr>
        <w:t>Due to variation in sequence order as discussed in section</w:t>
      </w:r>
      <w:r w:rsidR="000D25C8">
        <w:rPr>
          <w:noProof/>
        </w:rPr>
        <w:t xml:space="preserve"> 6.2.2a</w:t>
      </w:r>
      <w:r w:rsidR="005A3B2B">
        <w:rPr>
          <w:noProof/>
        </w:rPr>
        <w:t xml:space="preserve">, these were not necessarily the same fusion events, although the very earliest ones </w:t>
      </w:r>
      <w:r w:rsidR="00103BA9">
        <w:rPr>
          <w:noProof/>
        </w:rPr>
        <w:t xml:space="preserve">such as the </w:t>
      </w:r>
      <w:r w:rsidR="00FB5ED4">
        <w:rPr>
          <w:rFonts w:eastAsia="Times New Roman"/>
          <w:color w:val="000000"/>
          <w:lang w:val="en-GB" w:eastAsia="en-GB"/>
        </w:rPr>
        <w:t>distal humerus</w:t>
      </w:r>
      <w:r w:rsidR="00FB5ED4">
        <w:rPr>
          <w:noProof/>
        </w:rPr>
        <w:t xml:space="preserve"> </w:t>
      </w:r>
      <w:r w:rsidR="00103BA9">
        <w:rPr>
          <w:noProof/>
        </w:rPr>
        <w:t xml:space="preserve">and </w:t>
      </w:r>
      <w:r w:rsidR="006B4728">
        <w:rPr>
          <w:noProof/>
        </w:rPr>
        <w:t xml:space="preserve">humeral </w:t>
      </w:r>
      <w:r w:rsidR="00103BA9">
        <w:rPr>
          <w:noProof/>
        </w:rPr>
        <w:t xml:space="preserve">medial epicondyle </w:t>
      </w:r>
      <w:r w:rsidR="005A3B2B">
        <w:rPr>
          <w:noProof/>
        </w:rPr>
        <w:t xml:space="preserve">were </w:t>
      </w:r>
      <w:r w:rsidR="009B236A">
        <w:rPr>
          <w:noProof/>
        </w:rPr>
        <w:t>always present</w:t>
      </w:r>
      <w:r w:rsidR="005A3B2B">
        <w:rPr>
          <w:noProof/>
        </w:rPr>
        <w:t xml:space="preserve">.  </w:t>
      </w:r>
      <w:r>
        <w:rPr>
          <w:noProof/>
        </w:rPr>
        <w:t xml:space="preserve">The second conclusion was that human third molar mineralization is delayed relative to </w:t>
      </w:r>
      <w:r w:rsidR="005A3B2B">
        <w:rPr>
          <w:noProof/>
        </w:rPr>
        <w:t>late</w:t>
      </w:r>
      <w:r w:rsidR="00406050">
        <w:rPr>
          <w:noProof/>
        </w:rPr>
        <w:t>-fusi</w:t>
      </w:r>
      <w:r w:rsidR="00543C79">
        <w:rPr>
          <w:noProof/>
        </w:rPr>
        <w:t>n</w:t>
      </w:r>
      <w:r w:rsidR="00406050">
        <w:rPr>
          <w:noProof/>
        </w:rPr>
        <w:t>g</w:t>
      </w:r>
      <w:r w:rsidR="005A3B2B">
        <w:rPr>
          <w:noProof/>
        </w:rPr>
        <w:t xml:space="preserve"> </w:t>
      </w:r>
      <w:r>
        <w:rPr>
          <w:noProof/>
        </w:rPr>
        <w:t xml:space="preserve">epiphyseal fusion events in humans.  In chimpanzees </w:t>
      </w:r>
      <w:r w:rsidR="00406050">
        <w:rPr>
          <w:noProof/>
        </w:rPr>
        <w:t xml:space="preserve">complete third molar mineralization </w:t>
      </w:r>
      <w:r>
        <w:rPr>
          <w:noProof/>
        </w:rPr>
        <w:t xml:space="preserve">occurs </w:t>
      </w:r>
      <w:r w:rsidR="00526CBE">
        <w:rPr>
          <w:noProof/>
        </w:rPr>
        <w:t>close in time</w:t>
      </w:r>
      <w:r>
        <w:rPr>
          <w:noProof/>
        </w:rPr>
        <w:t xml:space="preserve"> with the second molar and as a consequence many more epiphyseal fusion events </w:t>
      </w:r>
      <w:r w:rsidR="00D45868">
        <w:rPr>
          <w:noProof/>
        </w:rPr>
        <w:t>happen</w:t>
      </w:r>
      <w:r>
        <w:rPr>
          <w:noProof/>
        </w:rPr>
        <w:t xml:space="preserve"> after complete dental maturity.</w:t>
      </w:r>
      <w:r w:rsidR="00543C79">
        <w:rPr>
          <w:noProof/>
        </w:rPr>
        <w:t xml:space="preserve">  </w:t>
      </w:r>
      <w:r w:rsidR="000A62D9">
        <w:rPr>
          <w:noProof/>
        </w:rPr>
        <w:t>Prior studies have not addressed this type of comparison</w:t>
      </w:r>
      <w:r w:rsidR="00406050">
        <w:rPr>
          <w:noProof/>
        </w:rPr>
        <w:t>.  T</w:t>
      </w:r>
      <w:r w:rsidR="000A62D9">
        <w:rPr>
          <w:noProof/>
        </w:rPr>
        <w:t xml:space="preserve">his </w:t>
      </w:r>
      <w:r w:rsidR="00406050">
        <w:rPr>
          <w:noProof/>
        </w:rPr>
        <w:t xml:space="preserve">is </w:t>
      </w:r>
      <w:r w:rsidR="00AD4134">
        <w:rPr>
          <w:noProof/>
        </w:rPr>
        <w:t>likely</w:t>
      </w:r>
      <w:r w:rsidR="000A62D9">
        <w:rPr>
          <w:noProof/>
        </w:rPr>
        <w:t xml:space="preserve"> consequent o</w:t>
      </w:r>
      <w:r w:rsidR="00AD4134">
        <w:rPr>
          <w:noProof/>
        </w:rPr>
        <w:t>f the larger ranges of estimate</w:t>
      </w:r>
      <w:r w:rsidR="000A62D9">
        <w:rPr>
          <w:noProof/>
        </w:rPr>
        <w:t xml:space="preserve"> times for fusion </w:t>
      </w:r>
      <w:r w:rsidR="00FD2839">
        <w:rPr>
          <w:noProof/>
        </w:rPr>
        <w:t xml:space="preserve">in chimpanzee skeletal maturity </w:t>
      </w:r>
      <w:r w:rsidR="000A62D9">
        <w:rPr>
          <w:noProof/>
        </w:rPr>
        <w:t xml:space="preserve">found in Bolter and Zihlman (2012), Kerley (1966) and Zihlman </w:t>
      </w:r>
      <w:r w:rsidR="000A62D9">
        <w:rPr>
          <w:i/>
          <w:noProof/>
        </w:rPr>
        <w:t>et al</w:t>
      </w:r>
      <w:r w:rsidR="000A62D9">
        <w:rPr>
          <w:noProof/>
        </w:rPr>
        <w:t>. (2007).</w:t>
      </w:r>
    </w:p>
    <w:p w:rsidR="00A35CA0" w:rsidRDefault="00A50295" w:rsidP="00CA5FBB">
      <w:pPr>
        <w:rPr>
          <w:noProof/>
        </w:rPr>
      </w:pPr>
      <w:r>
        <w:rPr>
          <w:noProof/>
        </w:rPr>
        <w:t xml:space="preserve">The next step </w:t>
      </w:r>
      <w:r w:rsidR="00406050">
        <w:rPr>
          <w:noProof/>
        </w:rPr>
        <w:t xml:space="preserve">in this analysis </w:t>
      </w:r>
      <w:r>
        <w:rPr>
          <w:noProof/>
        </w:rPr>
        <w:t xml:space="preserve">is to consider what the </w:t>
      </w:r>
      <w:r w:rsidR="00BC2971">
        <w:rPr>
          <w:noProof/>
        </w:rPr>
        <w:t xml:space="preserve">delay </w:t>
      </w:r>
      <w:r>
        <w:rPr>
          <w:noProof/>
        </w:rPr>
        <w:t xml:space="preserve">in third molar maturation in humans </w:t>
      </w:r>
      <w:r w:rsidR="009F3EA0">
        <w:rPr>
          <w:noProof/>
        </w:rPr>
        <w:t>represents for developmental theory</w:t>
      </w:r>
      <w:r>
        <w:rPr>
          <w:noProof/>
        </w:rPr>
        <w:t xml:space="preserve">.  It has been found that epiphyseal fusion patterning is </w:t>
      </w:r>
      <w:r w:rsidR="001728FB">
        <w:rPr>
          <w:noProof/>
        </w:rPr>
        <w:t xml:space="preserve">effectively </w:t>
      </w:r>
      <w:r>
        <w:rPr>
          <w:noProof/>
        </w:rPr>
        <w:t>indistinguishable between humans and chimpanzees</w:t>
      </w:r>
      <w:r w:rsidR="00E96B79">
        <w:rPr>
          <w:noProof/>
        </w:rPr>
        <w:t>. Despite the rate at which these events mature relative to chronological time differing</w:t>
      </w:r>
      <w:r w:rsidR="00AD4134">
        <w:rPr>
          <w:noProof/>
        </w:rPr>
        <w:t>,</w:t>
      </w:r>
      <w:r w:rsidR="00E96B79">
        <w:rPr>
          <w:noProof/>
        </w:rPr>
        <w:t xml:space="preserve"> the pattern in which they mature is consistent</w:t>
      </w:r>
      <w:r>
        <w:rPr>
          <w:noProof/>
        </w:rPr>
        <w:t xml:space="preserve">.  </w:t>
      </w:r>
      <w:r w:rsidR="00E96B79">
        <w:rPr>
          <w:noProof/>
        </w:rPr>
        <w:t>On the other hand, d</w:t>
      </w:r>
      <w:r>
        <w:rPr>
          <w:noProof/>
        </w:rPr>
        <w:t>ental development does not scale proportionately</w:t>
      </w:r>
      <w:r w:rsidR="00E96B79">
        <w:rPr>
          <w:noProof/>
        </w:rPr>
        <w:t xml:space="preserve"> for the entire period of growth </w:t>
      </w:r>
      <w:r w:rsidR="001D2471">
        <w:rPr>
          <w:noProof/>
        </w:rPr>
        <w:t>when comparing</w:t>
      </w:r>
      <w:r w:rsidR="00E96B79">
        <w:rPr>
          <w:noProof/>
        </w:rPr>
        <w:t xml:space="preserve"> chimpanzees </w:t>
      </w:r>
      <w:r w:rsidR="001D2471">
        <w:rPr>
          <w:noProof/>
        </w:rPr>
        <w:t xml:space="preserve">to </w:t>
      </w:r>
      <w:r w:rsidR="00E96B79">
        <w:rPr>
          <w:noProof/>
        </w:rPr>
        <w:t>humans with the third molar being the key contributor to this difference.</w:t>
      </w:r>
      <w:r>
        <w:rPr>
          <w:noProof/>
        </w:rPr>
        <w:t xml:space="preserve">  A consideration of other primates is useful in this c</w:t>
      </w:r>
      <w:r w:rsidR="00E96B79">
        <w:rPr>
          <w:noProof/>
        </w:rPr>
        <w:t>ontext</w:t>
      </w:r>
      <w:r>
        <w:rPr>
          <w:noProof/>
        </w:rPr>
        <w:t xml:space="preserve">.  Smith </w:t>
      </w:r>
      <w:r>
        <w:rPr>
          <w:i/>
          <w:noProof/>
        </w:rPr>
        <w:t>et al</w:t>
      </w:r>
      <w:r w:rsidR="00440495">
        <w:rPr>
          <w:i/>
          <w:noProof/>
        </w:rPr>
        <w:t>.</w:t>
      </w:r>
      <w:r>
        <w:rPr>
          <w:i/>
          <w:noProof/>
        </w:rPr>
        <w:t xml:space="preserve"> </w:t>
      </w:r>
      <w:r>
        <w:rPr>
          <w:noProof/>
        </w:rPr>
        <w:t xml:space="preserve">(1994) provided a list of first and last tooth emergence data for many different primate species.  </w:t>
      </w:r>
      <w:r w:rsidR="00AD4134">
        <w:rPr>
          <w:noProof/>
        </w:rPr>
        <w:t>T</w:t>
      </w:r>
      <w:r>
        <w:rPr>
          <w:noProof/>
        </w:rPr>
        <w:t xml:space="preserve">ooth emergence is not a direct analogue for mineralization, </w:t>
      </w:r>
      <w:r w:rsidR="00AD4134">
        <w:rPr>
          <w:noProof/>
        </w:rPr>
        <w:t xml:space="preserve">but </w:t>
      </w:r>
      <w:r>
        <w:rPr>
          <w:noProof/>
        </w:rPr>
        <w:t xml:space="preserve">the two patterns are closely linked.  Primates vary in the duration of growth in terms of chronological years, but the timing from first to last emergence stays proportionately constant.  </w:t>
      </w:r>
      <w:r w:rsidR="004777A0">
        <w:rPr>
          <w:noProof/>
        </w:rPr>
        <w:t>H</w:t>
      </w:r>
      <w:r>
        <w:rPr>
          <w:noProof/>
        </w:rPr>
        <w:t xml:space="preserve">umans </w:t>
      </w:r>
      <w:r w:rsidR="00503164">
        <w:rPr>
          <w:noProof/>
        </w:rPr>
        <w:t xml:space="preserve">dental development </w:t>
      </w:r>
      <w:r w:rsidR="004777A0">
        <w:rPr>
          <w:noProof/>
        </w:rPr>
        <w:t>ha</w:t>
      </w:r>
      <w:r w:rsidR="00503164">
        <w:rPr>
          <w:noProof/>
        </w:rPr>
        <w:t>s</w:t>
      </w:r>
      <w:r w:rsidR="004777A0">
        <w:rPr>
          <w:noProof/>
        </w:rPr>
        <w:t xml:space="preserve"> long been known to be an </w:t>
      </w:r>
      <w:r>
        <w:rPr>
          <w:noProof/>
        </w:rPr>
        <w:t>exception to this</w:t>
      </w:r>
      <w:r w:rsidR="00D11B46">
        <w:rPr>
          <w:noProof/>
        </w:rPr>
        <w:t xml:space="preserve"> rule</w:t>
      </w:r>
      <w:r>
        <w:rPr>
          <w:noProof/>
        </w:rPr>
        <w:t xml:space="preserve">.  Shultz (1960) compared lemurs, macaques, gibbons, and chimpanzees to humans, </w:t>
      </w:r>
      <w:r w:rsidR="004777A0">
        <w:rPr>
          <w:noProof/>
        </w:rPr>
        <w:t>finding humans to have and extended period of third molar maturation compared to all of these other species</w:t>
      </w:r>
      <w:r>
        <w:rPr>
          <w:noProof/>
        </w:rPr>
        <w:t>.</w:t>
      </w:r>
    </w:p>
    <w:p w:rsidR="001A0471" w:rsidRDefault="00B27E35" w:rsidP="006D2099">
      <w:pPr>
        <w:rPr>
          <w:noProof/>
        </w:rPr>
      </w:pPr>
      <w:r>
        <w:rPr>
          <w:noProof/>
        </w:rPr>
        <w:t>I</w:t>
      </w:r>
      <w:r w:rsidR="00A50295">
        <w:rPr>
          <w:noProof/>
        </w:rPr>
        <w:t>t may be concluded that human dental development is more deviant from a typical primate pattern</w:t>
      </w:r>
      <w:r w:rsidR="007D3CF9">
        <w:rPr>
          <w:noProof/>
        </w:rPr>
        <w:t xml:space="preserve"> than is skeletal development with the </w:t>
      </w:r>
      <w:r w:rsidR="004B0062">
        <w:rPr>
          <w:noProof/>
        </w:rPr>
        <w:t xml:space="preserve">third molar </w:t>
      </w:r>
      <w:r w:rsidR="007D3CF9">
        <w:rPr>
          <w:noProof/>
        </w:rPr>
        <w:t xml:space="preserve">shift appearing </w:t>
      </w:r>
      <w:r w:rsidR="004C69D8">
        <w:rPr>
          <w:noProof/>
        </w:rPr>
        <w:t xml:space="preserve">exclusively </w:t>
      </w:r>
      <w:r w:rsidR="0082445B">
        <w:rPr>
          <w:noProof/>
        </w:rPr>
        <w:t>in huma</w:t>
      </w:r>
      <w:r w:rsidR="006D2099">
        <w:rPr>
          <w:noProof/>
        </w:rPr>
        <w:t>n</w:t>
      </w:r>
      <w:r w:rsidR="0082445B">
        <w:rPr>
          <w:noProof/>
        </w:rPr>
        <w:t>s</w:t>
      </w:r>
      <w:r w:rsidR="00A50295">
        <w:rPr>
          <w:noProof/>
        </w:rPr>
        <w:t xml:space="preserve">.  </w:t>
      </w:r>
      <w:r w:rsidR="00E5554B">
        <w:rPr>
          <w:noProof/>
        </w:rPr>
        <w:t>This differences does not fit neatly within the concepts of the neoteny-hypermorphosis debate.  The relative delay of third molar maturity in humans is a temporary retention of a sub-adult feature but</w:t>
      </w:r>
      <w:r w:rsidR="008939CA">
        <w:rPr>
          <w:noProof/>
        </w:rPr>
        <w:t xml:space="preserve"> with full maturity eventually occuring, it </w:t>
      </w:r>
      <w:r w:rsidR="00E5554B">
        <w:rPr>
          <w:noProof/>
        </w:rPr>
        <w:t xml:space="preserve">may be better described as a more arbitrary </w:t>
      </w:r>
      <w:r w:rsidR="00E54997">
        <w:rPr>
          <w:noProof/>
        </w:rPr>
        <w:t>difference</w:t>
      </w:r>
      <w:r w:rsidR="00E5554B">
        <w:rPr>
          <w:noProof/>
        </w:rPr>
        <w:t xml:space="preserve"> in pattern</w:t>
      </w:r>
      <w:r w:rsidR="00A50295">
        <w:rPr>
          <w:noProof/>
        </w:rPr>
        <w:t>.</w:t>
      </w:r>
    </w:p>
    <w:p w:rsidR="001A0471" w:rsidRDefault="001A0471">
      <w:pPr>
        <w:spacing w:before="0" w:after="200" w:line="276" w:lineRule="auto"/>
        <w:jc w:val="left"/>
        <w:rPr>
          <w:noProof/>
        </w:rPr>
      </w:pPr>
      <w:r>
        <w:rPr>
          <w:noProof/>
        </w:rPr>
        <w:br w:type="page"/>
      </w:r>
    </w:p>
    <w:p w:rsidR="00A35CA0" w:rsidRPr="00CA5FBB" w:rsidRDefault="002A6F22" w:rsidP="00CA5FBB">
      <w:pPr>
        <w:spacing w:line="240" w:lineRule="auto"/>
        <w:rPr>
          <w:b/>
          <w:i/>
          <w:noProof/>
        </w:rPr>
      </w:pPr>
      <w:r>
        <w:rPr>
          <w:b/>
          <w:i/>
          <w:noProof/>
        </w:rPr>
        <w:lastRenderedPageBreak/>
        <w:t>6.2.2c</w:t>
      </w:r>
      <w:r w:rsidRPr="002A6F22">
        <w:rPr>
          <w:b/>
          <w:i/>
          <w:noProof/>
        </w:rPr>
        <w:t xml:space="preserve"> </w:t>
      </w:r>
      <w:r w:rsidR="008943E4" w:rsidRPr="00CA5FBB">
        <w:rPr>
          <w:b/>
          <w:i/>
          <w:noProof/>
        </w:rPr>
        <w:t>Separating growth rates and patterns</w:t>
      </w:r>
    </w:p>
    <w:p w:rsidR="00A35CA0" w:rsidRDefault="001C71F9" w:rsidP="00CA5FBB">
      <w:pPr>
        <w:rPr>
          <w:noProof/>
        </w:rPr>
      </w:pPr>
      <w:r>
        <w:rPr>
          <w:noProof/>
        </w:rPr>
        <w:t xml:space="preserve">At this point in discussion is it necessary to summarize what has presently been determined regarding growth rate and pattern.  </w:t>
      </w:r>
      <w:r w:rsidR="00A433F7">
        <w:rPr>
          <w:noProof/>
        </w:rPr>
        <w:t>The following observations</w:t>
      </w:r>
      <w:r>
        <w:rPr>
          <w:noProof/>
        </w:rPr>
        <w:t xml:space="preserve"> have been made</w:t>
      </w:r>
      <w:r w:rsidR="00D47D2B">
        <w:rPr>
          <w:noProof/>
        </w:rPr>
        <w:t xml:space="preserve"> for the chimpanzees in this study</w:t>
      </w:r>
      <w:r w:rsidR="00A433F7">
        <w:rPr>
          <w:noProof/>
        </w:rPr>
        <w:t>:</w:t>
      </w:r>
    </w:p>
    <w:p w:rsidR="00A35CA0" w:rsidRDefault="00A50295" w:rsidP="00CA5FBB">
      <w:pPr>
        <w:pStyle w:val="ListParagraph"/>
        <w:numPr>
          <w:ilvl w:val="0"/>
          <w:numId w:val="34"/>
        </w:numPr>
        <w:rPr>
          <w:noProof/>
        </w:rPr>
      </w:pPr>
      <w:r>
        <w:rPr>
          <w:noProof/>
        </w:rPr>
        <w:t>Growth rates are constant for all long bones relative to dental score</w:t>
      </w:r>
      <w:r w:rsidR="00520A0C" w:rsidRPr="00520A0C">
        <w:rPr>
          <w:noProof/>
        </w:rPr>
        <w:t xml:space="preserve"> </w:t>
      </w:r>
      <w:r w:rsidR="00520A0C">
        <w:rPr>
          <w:noProof/>
        </w:rPr>
        <w:t>for the period of growth observed</w:t>
      </w:r>
      <w:r w:rsidR="0099482E">
        <w:rPr>
          <w:noProof/>
        </w:rPr>
        <w:t xml:space="preserve"> in this study</w:t>
      </w:r>
      <w:r>
        <w:rPr>
          <w:noProof/>
        </w:rPr>
        <w:t>.</w:t>
      </w:r>
    </w:p>
    <w:p w:rsidR="00A35CA0" w:rsidRDefault="00A35CA0" w:rsidP="00CA5FBB">
      <w:pPr>
        <w:pStyle w:val="ListParagraph"/>
        <w:rPr>
          <w:noProof/>
        </w:rPr>
      </w:pPr>
    </w:p>
    <w:p w:rsidR="00A35CA0" w:rsidRDefault="00A50295" w:rsidP="00CA5FBB">
      <w:pPr>
        <w:pStyle w:val="ListParagraph"/>
        <w:numPr>
          <w:ilvl w:val="0"/>
          <w:numId w:val="34"/>
        </w:numPr>
        <w:rPr>
          <w:noProof/>
        </w:rPr>
      </w:pPr>
      <w:r>
        <w:rPr>
          <w:noProof/>
        </w:rPr>
        <w:t xml:space="preserve">Growth rates relative to </w:t>
      </w:r>
      <w:r w:rsidR="00D31A2A">
        <w:rPr>
          <w:noProof/>
        </w:rPr>
        <w:t xml:space="preserve">chronological </w:t>
      </w:r>
      <w:r>
        <w:rPr>
          <w:noProof/>
        </w:rPr>
        <w:t xml:space="preserve">time for humans and chimpanzees are not the same and as such </w:t>
      </w:r>
      <w:r w:rsidR="00520A0C">
        <w:rPr>
          <w:noProof/>
        </w:rPr>
        <w:t xml:space="preserve">sequences of events cannot </w:t>
      </w:r>
      <w:r>
        <w:rPr>
          <w:noProof/>
        </w:rPr>
        <w:t>be scaled</w:t>
      </w:r>
      <w:r w:rsidR="00520A0C">
        <w:rPr>
          <w:noProof/>
        </w:rPr>
        <w:t xml:space="preserve"> by this measure</w:t>
      </w:r>
      <w:r>
        <w:rPr>
          <w:noProof/>
        </w:rPr>
        <w:t>.</w:t>
      </w:r>
    </w:p>
    <w:p w:rsidR="00A50295" w:rsidRDefault="00A50295">
      <w:pPr>
        <w:pStyle w:val="ListParagraph"/>
        <w:rPr>
          <w:noProof/>
        </w:rPr>
      </w:pPr>
    </w:p>
    <w:p w:rsidR="00A35CA0" w:rsidRDefault="00A50295" w:rsidP="00CA5FBB">
      <w:pPr>
        <w:pStyle w:val="ListParagraph"/>
        <w:numPr>
          <w:ilvl w:val="0"/>
          <w:numId w:val="34"/>
        </w:numPr>
        <w:rPr>
          <w:noProof/>
        </w:rPr>
      </w:pPr>
      <w:r>
        <w:rPr>
          <w:noProof/>
        </w:rPr>
        <w:t xml:space="preserve">Dental </w:t>
      </w:r>
      <w:r w:rsidR="00295605">
        <w:rPr>
          <w:noProof/>
        </w:rPr>
        <w:t xml:space="preserve">mineralization </w:t>
      </w:r>
      <w:r>
        <w:rPr>
          <w:noProof/>
        </w:rPr>
        <w:t xml:space="preserve">patterns are not the same between chimpanzees and humans and thus are not a valid means to directly compare </w:t>
      </w:r>
      <w:r w:rsidR="00520A0C">
        <w:rPr>
          <w:noProof/>
        </w:rPr>
        <w:t>other developmental parameters</w:t>
      </w:r>
      <w:r>
        <w:rPr>
          <w:noProof/>
        </w:rPr>
        <w:t xml:space="preserve">.  </w:t>
      </w:r>
      <w:r w:rsidR="006325BA">
        <w:rPr>
          <w:noProof/>
        </w:rPr>
        <w:t>In addition,</w:t>
      </w:r>
      <w:r w:rsidR="00A617C5">
        <w:rPr>
          <w:noProof/>
        </w:rPr>
        <w:t xml:space="preserve"> t</w:t>
      </w:r>
      <w:r w:rsidR="00602526">
        <w:rPr>
          <w:noProof/>
        </w:rPr>
        <w:t>he fact that d</w:t>
      </w:r>
      <w:r>
        <w:rPr>
          <w:noProof/>
        </w:rPr>
        <w:t xml:space="preserve">ental maturity </w:t>
      </w:r>
      <w:r w:rsidR="00602526">
        <w:rPr>
          <w:noProof/>
        </w:rPr>
        <w:t xml:space="preserve">is </w:t>
      </w:r>
      <w:r>
        <w:rPr>
          <w:noProof/>
        </w:rPr>
        <w:t xml:space="preserve">reached before skeletal maturity </w:t>
      </w:r>
      <w:r w:rsidR="006325BA">
        <w:rPr>
          <w:noProof/>
        </w:rPr>
        <w:t>is also limiting</w:t>
      </w:r>
      <w:r>
        <w:rPr>
          <w:noProof/>
        </w:rPr>
        <w:t>.</w:t>
      </w:r>
    </w:p>
    <w:p w:rsidR="00A50295" w:rsidRDefault="00A50295">
      <w:pPr>
        <w:pStyle w:val="ListParagraph"/>
        <w:rPr>
          <w:noProof/>
        </w:rPr>
      </w:pPr>
    </w:p>
    <w:p w:rsidR="00A35CA0" w:rsidRDefault="00A50295" w:rsidP="00CA5FBB">
      <w:pPr>
        <w:pStyle w:val="ListParagraph"/>
        <w:numPr>
          <w:ilvl w:val="0"/>
          <w:numId w:val="34"/>
        </w:numPr>
        <w:rPr>
          <w:noProof/>
        </w:rPr>
      </w:pPr>
      <w:r>
        <w:rPr>
          <w:noProof/>
        </w:rPr>
        <w:t xml:space="preserve">As </w:t>
      </w:r>
      <w:r w:rsidR="00602526">
        <w:rPr>
          <w:noProof/>
        </w:rPr>
        <w:t>a result of points 1.2. and 3. a</w:t>
      </w:r>
      <w:r>
        <w:rPr>
          <w:noProof/>
        </w:rPr>
        <w:t xml:space="preserve">bove, </w:t>
      </w:r>
      <w:r w:rsidR="00C76CA3">
        <w:rPr>
          <w:noProof/>
        </w:rPr>
        <w:t>ne</w:t>
      </w:r>
      <w:r w:rsidR="0058417F">
        <w:rPr>
          <w:noProof/>
        </w:rPr>
        <w:t>i</w:t>
      </w:r>
      <w:r w:rsidR="00C76CA3">
        <w:rPr>
          <w:noProof/>
        </w:rPr>
        <w:t xml:space="preserve">ther </w:t>
      </w:r>
      <w:r>
        <w:rPr>
          <w:noProof/>
        </w:rPr>
        <w:t xml:space="preserve">dental </w:t>
      </w:r>
      <w:r w:rsidR="00C76CA3">
        <w:rPr>
          <w:noProof/>
        </w:rPr>
        <w:t xml:space="preserve">mineralization nor chronological time provide a compatible reference for </w:t>
      </w:r>
      <w:r>
        <w:rPr>
          <w:noProof/>
        </w:rPr>
        <w:t>integrating both growth and fusion events between chimpanzees and humans.</w:t>
      </w:r>
    </w:p>
    <w:p w:rsidR="00A35CA0" w:rsidRDefault="00A35CA0" w:rsidP="00CA5FBB">
      <w:pPr>
        <w:pStyle w:val="ListParagraph"/>
        <w:rPr>
          <w:noProof/>
        </w:rPr>
      </w:pPr>
    </w:p>
    <w:p w:rsidR="00A35CA0" w:rsidRDefault="00A50295" w:rsidP="00CA5FBB">
      <w:pPr>
        <w:pStyle w:val="ListParagraph"/>
        <w:numPr>
          <w:ilvl w:val="0"/>
          <w:numId w:val="34"/>
        </w:numPr>
        <w:rPr>
          <w:noProof/>
        </w:rPr>
      </w:pPr>
      <w:r>
        <w:rPr>
          <w:noProof/>
        </w:rPr>
        <w:t xml:space="preserve">The </w:t>
      </w:r>
      <w:r w:rsidR="008F501A">
        <w:rPr>
          <w:noProof/>
        </w:rPr>
        <w:t>sequence</w:t>
      </w:r>
      <w:r>
        <w:rPr>
          <w:noProof/>
        </w:rPr>
        <w:t xml:space="preserve"> of epiphyseal fusion is not discernably different between humans and chimpanzees.</w:t>
      </w:r>
    </w:p>
    <w:p w:rsidR="00A35CA0" w:rsidRDefault="00A35CA0" w:rsidP="00CA5FBB">
      <w:pPr>
        <w:pStyle w:val="ListParagraph"/>
        <w:rPr>
          <w:noProof/>
        </w:rPr>
      </w:pPr>
    </w:p>
    <w:p w:rsidR="00A35CA0" w:rsidRDefault="00A50295" w:rsidP="00CA5FBB">
      <w:pPr>
        <w:pStyle w:val="ListParagraph"/>
        <w:numPr>
          <w:ilvl w:val="0"/>
          <w:numId w:val="34"/>
        </w:numPr>
        <w:rPr>
          <w:noProof/>
        </w:rPr>
      </w:pPr>
      <w:r>
        <w:rPr>
          <w:noProof/>
        </w:rPr>
        <w:t>Fusion events occur at the same proportion of total growth in length of bone for both chimpanzees and humans.</w:t>
      </w:r>
    </w:p>
    <w:p w:rsidR="00A35CA0" w:rsidRDefault="001C71F9" w:rsidP="00CA5FBB">
      <w:pPr>
        <w:rPr>
          <w:noProof/>
        </w:rPr>
      </w:pPr>
      <w:r>
        <w:rPr>
          <w:noProof/>
        </w:rPr>
        <w:t>In Chapter 5 epiphyseal fusion as a proportion of growth in length for long-bones</w:t>
      </w:r>
      <w:r w:rsidR="008F501A">
        <w:rPr>
          <w:noProof/>
        </w:rPr>
        <w:t xml:space="preserve"> was considered</w:t>
      </w:r>
      <w:r>
        <w:rPr>
          <w:noProof/>
        </w:rPr>
        <w:t xml:space="preserve">.  </w:t>
      </w:r>
      <w:r w:rsidR="00A433F7">
        <w:rPr>
          <w:noProof/>
        </w:rPr>
        <w:t xml:space="preserve">It was </w:t>
      </w:r>
      <w:r w:rsidR="00F639B8">
        <w:rPr>
          <w:noProof/>
        </w:rPr>
        <w:t xml:space="preserve">found </w:t>
      </w:r>
      <w:r w:rsidR="00A433F7">
        <w:rPr>
          <w:noProof/>
        </w:rPr>
        <w:t xml:space="preserve">that there were no differences between humans and chimpanzees with respect to the timing of epiphyseal fusion events as a proportion of growth in length for each bone.  This was a novel approach because it did not depend on time or dental score.  </w:t>
      </w:r>
      <w:r w:rsidR="00520A0C">
        <w:rPr>
          <w:noProof/>
        </w:rPr>
        <w:t>Th</w:t>
      </w:r>
      <w:r w:rsidR="00037BD9">
        <w:rPr>
          <w:noProof/>
        </w:rPr>
        <w:t>e</w:t>
      </w:r>
      <w:r w:rsidR="00520A0C">
        <w:rPr>
          <w:noProof/>
        </w:rPr>
        <w:t xml:space="preserve"> analysis </w:t>
      </w:r>
      <w:r w:rsidR="00A50295">
        <w:rPr>
          <w:noProof/>
        </w:rPr>
        <w:t xml:space="preserve">suggests that when growth rates </w:t>
      </w:r>
      <w:r w:rsidR="00602526">
        <w:rPr>
          <w:noProof/>
        </w:rPr>
        <w:t xml:space="preserve">are removed </w:t>
      </w:r>
      <w:r w:rsidR="00EC3EBA">
        <w:rPr>
          <w:noProof/>
        </w:rPr>
        <w:t xml:space="preserve">from comparison </w:t>
      </w:r>
      <w:r w:rsidR="00A50295">
        <w:rPr>
          <w:noProof/>
        </w:rPr>
        <w:t xml:space="preserve">by looking at the systems as percentages of growth that </w:t>
      </w:r>
      <w:r w:rsidR="00602526">
        <w:rPr>
          <w:noProof/>
        </w:rPr>
        <w:t xml:space="preserve">chimpanzees and humans </w:t>
      </w:r>
      <w:r w:rsidR="00EC3EBA">
        <w:rPr>
          <w:noProof/>
        </w:rPr>
        <w:t>demonstrate exactly the same</w:t>
      </w:r>
      <w:r w:rsidR="00434F10">
        <w:rPr>
          <w:noProof/>
        </w:rPr>
        <w:t xml:space="preserve"> general</w:t>
      </w:r>
      <w:r w:rsidR="00EC3EBA">
        <w:rPr>
          <w:noProof/>
        </w:rPr>
        <w:t xml:space="preserve"> pattern</w:t>
      </w:r>
      <w:r w:rsidR="00A50295">
        <w:rPr>
          <w:noProof/>
        </w:rPr>
        <w:t>.  Fusion event scheduling as a proportion of final adult size is consistent</w:t>
      </w:r>
      <w:r w:rsidR="00A10A0D">
        <w:rPr>
          <w:noProof/>
        </w:rPr>
        <w:t xml:space="preserve"> between species</w:t>
      </w:r>
      <w:r w:rsidR="00A50295">
        <w:rPr>
          <w:noProof/>
        </w:rPr>
        <w:t>.  Th</w:t>
      </w:r>
      <w:r w:rsidR="00520A0C">
        <w:rPr>
          <w:noProof/>
        </w:rPr>
        <w:t>e implication of this is</w:t>
      </w:r>
      <w:r w:rsidR="00A50295">
        <w:rPr>
          <w:noProof/>
        </w:rPr>
        <w:t xml:space="preserve"> that skeletal development in </w:t>
      </w:r>
      <w:r w:rsidR="007910B4">
        <w:rPr>
          <w:noProof/>
        </w:rPr>
        <w:t>humans and chimpanzees</w:t>
      </w:r>
      <w:r w:rsidR="00A50295">
        <w:rPr>
          <w:noProof/>
        </w:rPr>
        <w:t xml:space="preserve"> varies only in terms of the rat</w:t>
      </w:r>
      <w:r w:rsidR="00520A0C">
        <w:rPr>
          <w:noProof/>
        </w:rPr>
        <w:t xml:space="preserve">e of growth relative to time.  </w:t>
      </w:r>
      <w:r w:rsidR="00A50295">
        <w:rPr>
          <w:noProof/>
        </w:rPr>
        <w:t xml:space="preserve">Chimpanzees and humans clearly differ in terms of allometry, but the proportionate amounts of time </w:t>
      </w:r>
      <w:r w:rsidR="00434F10">
        <w:rPr>
          <w:noProof/>
        </w:rPr>
        <w:t xml:space="preserve">during which </w:t>
      </w:r>
      <w:r w:rsidR="00A50295">
        <w:rPr>
          <w:noProof/>
        </w:rPr>
        <w:t xml:space="preserve">each bone grows is the same.  The </w:t>
      </w:r>
      <w:r w:rsidR="00520A0C">
        <w:rPr>
          <w:noProof/>
        </w:rPr>
        <w:t xml:space="preserve">femur in </w:t>
      </w:r>
      <w:r w:rsidR="00A50295">
        <w:rPr>
          <w:noProof/>
        </w:rPr>
        <w:t>human</w:t>
      </w:r>
      <w:r w:rsidR="00520A0C">
        <w:rPr>
          <w:noProof/>
        </w:rPr>
        <w:t>s</w:t>
      </w:r>
      <w:r w:rsidR="00A50295">
        <w:rPr>
          <w:noProof/>
        </w:rPr>
        <w:t xml:space="preserve">, for example, is </w:t>
      </w:r>
      <w:r w:rsidR="004D124F">
        <w:rPr>
          <w:noProof/>
        </w:rPr>
        <w:t xml:space="preserve">proportionately </w:t>
      </w:r>
      <w:r w:rsidR="00520A0C">
        <w:rPr>
          <w:noProof/>
        </w:rPr>
        <w:lastRenderedPageBreak/>
        <w:t xml:space="preserve">longer </w:t>
      </w:r>
      <w:r w:rsidR="004D124F">
        <w:rPr>
          <w:noProof/>
        </w:rPr>
        <w:t xml:space="preserve">when compared to </w:t>
      </w:r>
      <w:r w:rsidR="00520A0C">
        <w:rPr>
          <w:noProof/>
        </w:rPr>
        <w:t xml:space="preserve">other bones </w:t>
      </w:r>
      <w:r w:rsidR="00A50295">
        <w:rPr>
          <w:noProof/>
        </w:rPr>
        <w:t xml:space="preserve">than </w:t>
      </w:r>
      <w:r w:rsidR="00C54ED6">
        <w:rPr>
          <w:noProof/>
        </w:rPr>
        <w:t>it is for</w:t>
      </w:r>
      <w:r w:rsidR="00A50295">
        <w:rPr>
          <w:noProof/>
        </w:rPr>
        <w:t xml:space="preserve"> chimpanzees.  </w:t>
      </w:r>
      <w:r w:rsidR="00520A0C">
        <w:rPr>
          <w:noProof/>
        </w:rPr>
        <w:t xml:space="preserve">This bone </w:t>
      </w:r>
      <w:r w:rsidR="00A50295">
        <w:rPr>
          <w:noProof/>
        </w:rPr>
        <w:t xml:space="preserve">does not </w:t>
      </w:r>
      <w:r w:rsidR="00520A0C">
        <w:rPr>
          <w:noProof/>
        </w:rPr>
        <w:t xml:space="preserve">achieve its greater length in humans </w:t>
      </w:r>
      <w:r w:rsidR="00A50295">
        <w:rPr>
          <w:noProof/>
        </w:rPr>
        <w:t>by growing for a longer period of</w:t>
      </w:r>
      <w:r w:rsidR="00520A0C">
        <w:rPr>
          <w:noProof/>
        </w:rPr>
        <w:t xml:space="preserve"> developmental time</w:t>
      </w:r>
      <w:r w:rsidR="00A50295">
        <w:rPr>
          <w:noProof/>
        </w:rPr>
        <w:t>.  That proportion of time remains constant</w:t>
      </w:r>
      <w:r w:rsidR="00696BAD">
        <w:rPr>
          <w:noProof/>
        </w:rPr>
        <w:t>.  The bone simply gets longer at a faster rate by adding more material per unit of maturational time</w:t>
      </w:r>
      <w:r w:rsidR="00A50295">
        <w:rPr>
          <w:noProof/>
        </w:rPr>
        <w:t>.</w:t>
      </w:r>
      <w:r w:rsidR="00B2210D">
        <w:rPr>
          <w:noProof/>
        </w:rPr>
        <w:t xml:space="preserve">  This concept, coupled with the knowledge that sequence patterns are not distinguishable between </w:t>
      </w:r>
      <w:r w:rsidR="00B2210D">
        <w:rPr>
          <w:i/>
          <w:noProof/>
        </w:rPr>
        <w:t>Pan</w:t>
      </w:r>
      <w:r w:rsidR="00B2210D">
        <w:rPr>
          <w:noProof/>
        </w:rPr>
        <w:t xml:space="preserve"> and </w:t>
      </w:r>
      <w:r w:rsidR="00B2210D">
        <w:rPr>
          <w:i/>
          <w:noProof/>
        </w:rPr>
        <w:t>Homo</w:t>
      </w:r>
      <w:r w:rsidR="00B2210D">
        <w:rPr>
          <w:noProof/>
        </w:rPr>
        <w:t xml:space="preserve"> and that </w:t>
      </w:r>
      <w:r w:rsidR="00884D38">
        <w:rPr>
          <w:noProof/>
        </w:rPr>
        <w:t xml:space="preserve">intermembral </w:t>
      </w:r>
      <w:r w:rsidR="00B2210D">
        <w:rPr>
          <w:noProof/>
        </w:rPr>
        <w:t xml:space="preserve">growth rates are consistent (Shea 1981) implies again that the morphological differences between these species cannot be defined by the simple concepts of </w:t>
      </w:r>
      <w:r w:rsidR="00236F12">
        <w:rPr>
          <w:noProof/>
        </w:rPr>
        <w:t>neoteny-</w:t>
      </w:r>
      <w:r w:rsidR="00B2210D">
        <w:rPr>
          <w:noProof/>
        </w:rPr>
        <w:t>hypermorphos</w:t>
      </w:r>
      <w:r w:rsidR="00236F12">
        <w:rPr>
          <w:noProof/>
        </w:rPr>
        <w:t>is debate</w:t>
      </w:r>
      <w:r w:rsidR="00B2210D">
        <w:rPr>
          <w:noProof/>
        </w:rPr>
        <w:t>.</w:t>
      </w:r>
    </w:p>
    <w:p w:rsidR="00F80C5A" w:rsidRDefault="00A50295" w:rsidP="00CA5FBB">
      <w:pPr>
        <w:spacing w:before="120"/>
        <w:rPr>
          <w:noProof/>
        </w:rPr>
      </w:pPr>
      <w:r>
        <w:rPr>
          <w:noProof/>
        </w:rPr>
        <w:t>A</w:t>
      </w:r>
      <w:r w:rsidR="002E0531">
        <w:rPr>
          <w:noProof/>
        </w:rPr>
        <w:t xml:space="preserve"> more</w:t>
      </w:r>
      <w:r>
        <w:rPr>
          <w:noProof/>
        </w:rPr>
        <w:t xml:space="preserve"> abstract way of looking at this is to consider human and chimpanzee skeletal development as a standard ‘ape’ pattern for development.  There is a maturational time clock that has maturational time units.  Developmental events such as epiphyseal fusion are fixed relative to maturational time units.  Maturational time units may or may not linearly relate to chronological time.  </w:t>
      </w:r>
      <w:r w:rsidR="00944F62">
        <w:rPr>
          <w:noProof/>
        </w:rPr>
        <w:t>Humans and chimpanzee had different ratios of long-bone lengths and these ratios are present from birth and simply scaled up to adult form</w:t>
      </w:r>
      <w:r>
        <w:rPr>
          <w:noProof/>
        </w:rPr>
        <w:t xml:space="preserve">.  The only way that it is possible to achieve a difference in a length between two species is for more </w:t>
      </w:r>
      <w:r w:rsidR="00F1190F">
        <w:rPr>
          <w:noProof/>
        </w:rPr>
        <w:t>length</w:t>
      </w:r>
      <w:r>
        <w:rPr>
          <w:noProof/>
        </w:rPr>
        <w:t xml:space="preserve"> to be added per unit time of the maturational clock.  The rate of add</w:t>
      </w:r>
      <w:r w:rsidR="00944F62">
        <w:rPr>
          <w:noProof/>
        </w:rPr>
        <w:t>i</w:t>
      </w:r>
      <w:r>
        <w:rPr>
          <w:noProof/>
        </w:rPr>
        <w:t xml:space="preserve">tion of </w:t>
      </w:r>
      <w:r w:rsidR="0026029E">
        <w:rPr>
          <w:noProof/>
        </w:rPr>
        <w:t>length</w:t>
      </w:r>
      <w:r>
        <w:rPr>
          <w:noProof/>
        </w:rPr>
        <w:t xml:space="preserve"> is contant.  </w:t>
      </w:r>
      <w:r w:rsidR="00461574">
        <w:rPr>
          <w:noProof/>
        </w:rPr>
        <w:t>I</w:t>
      </w:r>
      <w:r>
        <w:rPr>
          <w:noProof/>
        </w:rPr>
        <w:t xml:space="preserve">f a chimpanzee adds 5 </w:t>
      </w:r>
      <w:r w:rsidR="003A5AED">
        <w:rPr>
          <w:noProof/>
        </w:rPr>
        <w:t>units of length</w:t>
      </w:r>
      <w:r>
        <w:rPr>
          <w:noProof/>
        </w:rPr>
        <w:t xml:space="preserve"> to the length of a femur a human may add 7, but the maturational time unit for the addition of those </w:t>
      </w:r>
      <w:r w:rsidR="003A5AED">
        <w:rPr>
          <w:noProof/>
        </w:rPr>
        <w:t>length units</w:t>
      </w:r>
      <w:r>
        <w:rPr>
          <w:noProof/>
        </w:rPr>
        <w:t xml:space="preserve"> is the same.  Initiation and fusion of epiphyseal events must remain on schedule in terms of maturational time units.</w:t>
      </w:r>
    </w:p>
    <w:p w:rsidR="00A50295" w:rsidRDefault="008943E4" w:rsidP="0014663F">
      <w:pPr>
        <w:spacing w:before="120" w:line="240" w:lineRule="auto"/>
        <w:rPr>
          <w:noProof/>
        </w:rPr>
      </w:pPr>
      <w:r w:rsidRPr="00CA5FBB">
        <w:rPr>
          <w:noProof/>
          <w:u w:val="single"/>
        </w:rPr>
        <w:t>Bonobos</w:t>
      </w:r>
    </w:p>
    <w:p w:rsidR="00A406DC" w:rsidRDefault="00A50295">
      <w:pPr>
        <w:spacing w:before="120"/>
        <w:rPr>
          <w:noProof/>
        </w:rPr>
      </w:pPr>
      <w:r>
        <w:rPr>
          <w:noProof/>
        </w:rPr>
        <w:t xml:space="preserve">Without sufficient data from bonobos to complete the analysis of proportionate growth in length, conclusions with respect to bonobos are less certain.  None of the data presented with respect to bonobos up </w:t>
      </w:r>
      <w:r w:rsidR="00814299">
        <w:rPr>
          <w:noProof/>
        </w:rPr>
        <w:t>to</w:t>
      </w:r>
      <w:r>
        <w:rPr>
          <w:noProof/>
        </w:rPr>
        <w:t xml:space="preserve"> this point suggests that they differ markedly from chimpanzees but beyond this general assertion no firm conclusions can be made.</w:t>
      </w:r>
    </w:p>
    <w:p w:rsidR="00A406DC" w:rsidRDefault="00A406DC">
      <w:pPr>
        <w:spacing w:before="0" w:after="200" w:line="276" w:lineRule="auto"/>
        <w:jc w:val="left"/>
        <w:rPr>
          <w:noProof/>
        </w:rPr>
      </w:pPr>
      <w:r>
        <w:rPr>
          <w:noProof/>
        </w:rPr>
        <w:br w:type="page"/>
      </w:r>
    </w:p>
    <w:p w:rsidR="00A35CA0" w:rsidRDefault="00FE1F97" w:rsidP="00CA5FBB">
      <w:pPr>
        <w:pStyle w:val="Heading3"/>
      </w:pPr>
      <w:bookmarkStart w:id="3382" w:name="_Toc372916622"/>
      <w:bookmarkStart w:id="3383" w:name="_Toc372916876"/>
      <w:bookmarkStart w:id="3384" w:name="_Toc372917097"/>
      <w:bookmarkStart w:id="3385" w:name="_Toc372917313"/>
      <w:bookmarkStart w:id="3386" w:name="_Toc372917527"/>
      <w:bookmarkStart w:id="3387" w:name="_Toc372917737"/>
      <w:bookmarkStart w:id="3388" w:name="_Toc372917946"/>
      <w:bookmarkStart w:id="3389" w:name="_Toc372918155"/>
      <w:bookmarkStart w:id="3390" w:name="_Toc372918364"/>
      <w:bookmarkStart w:id="3391" w:name="_Toc372918567"/>
      <w:bookmarkStart w:id="3392" w:name="_Toc372918772"/>
      <w:bookmarkStart w:id="3393" w:name="_Toc372918977"/>
      <w:bookmarkStart w:id="3394" w:name="_Toc372919178"/>
      <w:bookmarkStart w:id="3395" w:name="_Toc372919377"/>
      <w:bookmarkStart w:id="3396" w:name="_Toc372919671"/>
      <w:bookmarkStart w:id="3397" w:name="_Toc372919868"/>
      <w:bookmarkStart w:id="3398" w:name="_Toc372920065"/>
      <w:bookmarkStart w:id="3399" w:name="_Toc372920262"/>
      <w:bookmarkStart w:id="3400" w:name="_Toc372920460"/>
      <w:bookmarkStart w:id="3401" w:name="_Toc372920657"/>
      <w:bookmarkStart w:id="3402" w:name="_Toc372920853"/>
      <w:bookmarkStart w:id="3403" w:name="_Toc372921049"/>
      <w:bookmarkStart w:id="3404" w:name="_Toc372921245"/>
      <w:bookmarkStart w:id="3405" w:name="_Toc372921441"/>
      <w:bookmarkStart w:id="3406" w:name="_Toc372921643"/>
      <w:bookmarkStart w:id="3407" w:name="_Toc372921839"/>
      <w:bookmarkStart w:id="3408" w:name="_Toc372922035"/>
      <w:bookmarkStart w:id="3409" w:name="_Toc372928315"/>
      <w:bookmarkStart w:id="3410" w:name="_Toc372928619"/>
      <w:bookmarkStart w:id="3411" w:name="_Toc372928815"/>
      <w:bookmarkStart w:id="3412" w:name="_Toc372981818"/>
      <w:bookmarkStart w:id="3413" w:name="_Toc373072045"/>
      <w:bookmarkStart w:id="3414" w:name="_Toc373147362"/>
      <w:bookmarkStart w:id="3415" w:name="_Toc373477900"/>
      <w:bookmarkStart w:id="3416" w:name="_Toc373480898"/>
      <w:bookmarkStart w:id="3417" w:name="_Toc372916623"/>
      <w:bookmarkStart w:id="3418" w:name="_Toc372916877"/>
      <w:bookmarkStart w:id="3419" w:name="_Toc372917098"/>
      <w:bookmarkStart w:id="3420" w:name="_Toc372917314"/>
      <w:bookmarkStart w:id="3421" w:name="_Toc372917528"/>
      <w:bookmarkStart w:id="3422" w:name="_Toc372917738"/>
      <w:bookmarkStart w:id="3423" w:name="_Toc372917947"/>
      <w:bookmarkStart w:id="3424" w:name="_Toc372918156"/>
      <w:bookmarkStart w:id="3425" w:name="_Toc372918365"/>
      <w:bookmarkStart w:id="3426" w:name="_Toc372918568"/>
      <w:bookmarkStart w:id="3427" w:name="_Toc372918773"/>
      <w:bookmarkStart w:id="3428" w:name="_Toc372918978"/>
      <w:bookmarkStart w:id="3429" w:name="_Toc372919179"/>
      <w:bookmarkStart w:id="3430" w:name="_Toc372919378"/>
      <w:bookmarkStart w:id="3431" w:name="_Toc372919672"/>
      <w:bookmarkStart w:id="3432" w:name="_Toc372919869"/>
      <w:bookmarkStart w:id="3433" w:name="_Toc372920066"/>
      <w:bookmarkStart w:id="3434" w:name="_Toc372920263"/>
      <w:bookmarkStart w:id="3435" w:name="_Toc372920461"/>
      <w:bookmarkStart w:id="3436" w:name="_Toc372920658"/>
      <w:bookmarkStart w:id="3437" w:name="_Toc372920854"/>
      <w:bookmarkStart w:id="3438" w:name="_Toc372921050"/>
      <w:bookmarkStart w:id="3439" w:name="_Toc372921246"/>
      <w:bookmarkStart w:id="3440" w:name="_Toc372921442"/>
      <w:bookmarkStart w:id="3441" w:name="_Toc372921644"/>
      <w:bookmarkStart w:id="3442" w:name="_Toc372921840"/>
      <w:bookmarkStart w:id="3443" w:name="_Toc372922036"/>
      <w:bookmarkStart w:id="3444" w:name="_Toc372928316"/>
      <w:bookmarkStart w:id="3445" w:name="_Toc372928620"/>
      <w:bookmarkStart w:id="3446" w:name="_Toc372928816"/>
      <w:bookmarkStart w:id="3447" w:name="_Toc372981819"/>
      <w:bookmarkStart w:id="3448" w:name="_Toc373072046"/>
      <w:bookmarkStart w:id="3449" w:name="_Toc373147363"/>
      <w:bookmarkStart w:id="3450" w:name="_Toc373477901"/>
      <w:bookmarkStart w:id="3451" w:name="_Toc373480899"/>
      <w:bookmarkStart w:id="3452" w:name="_Toc372916624"/>
      <w:bookmarkStart w:id="3453" w:name="_Toc372916878"/>
      <w:bookmarkStart w:id="3454" w:name="_Toc372917099"/>
      <w:bookmarkStart w:id="3455" w:name="_Toc372917315"/>
      <w:bookmarkStart w:id="3456" w:name="_Toc372917529"/>
      <w:bookmarkStart w:id="3457" w:name="_Toc372917739"/>
      <w:bookmarkStart w:id="3458" w:name="_Toc372917948"/>
      <w:bookmarkStart w:id="3459" w:name="_Toc372918157"/>
      <w:bookmarkStart w:id="3460" w:name="_Toc372918366"/>
      <w:bookmarkStart w:id="3461" w:name="_Toc372918569"/>
      <w:bookmarkStart w:id="3462" w:name="_Toc372918774"/>
      <w:bookmarkStart w:id="3463" w:name="_Toc372918979"/>
      <w:bookmarkStart w:id="3464" w:name="_Toc372919180"/>
      <w:bookmarkStart w:id="3465" w:name="_Toc372919379"/>
      <w:bookmarkStart w:id="3466" w:name="_Toc372919673"/>
      <w:bookmarkStart w:id="3467" w:name="_Toc372919870"/>
      <w:bookmarkStart w:id="3468" w:name="_Toc372920067"/>
      <w:bookmarkStart w:id="3469" w:name="_Toc372920264"/>
      <w:bookmarkStart w:id="3470" w:name="_Toc372920462"/>
      <w:bookmarkStart w:id="3471" w:name="_Toc372920659"/>
      <w:bookmarkStart w:id="3472" w:name="_Toc372920855"/>
      <w:bookmarkStart w:id="3473" w:name="_Toc372921051"/>
      <w:bookmarkStart w:id="3474" w:name="_Toc372921247"/>
      <w:bookmarkStart w:id="3475" w:name="_Toc372921443"/>
      <w:bookmarkStart w:id="3476" w:name="_Toc372921645"/>
      <w:bookmarkStart w:id="3477" w:name="_Toc372921841"/>
      <w:bookmarkStart w:id="3478" w:name="_Toc372922037"/>
      <w:bookmarkStart w:id="3479" w:name="_Toc372928317"/>
      <w:bookmarkStart w:id="3480" w:name="_Toc372928621"/>
      <w:bookmarkStart w:id="3481" w:name="_Toc372928817"/>
      <w:bookmarkStart w:id="3482" w:name="_Toc372981820"/>
      <w:bookmarkStart w:id="3483" w:name="_Toc373072047"/>
      <w:bookmarkStart w:id="3484" w:name="_Toc373147364"/>
      <w:bookmarkStart w:id="3485" w:name="_Toc373477902"/>
      <w:bookmarkStart w:id="3486" w:name="_Toc373480900"/>
      <w:bookmarkStart w:id="3487" w:name="_Toc373477903"/>
      <w:bookmarkStart w:id="3488" w:name="_Toc37348090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r>
        <w:lastRenderedPageBreak/>
        <w:t>Skeletal development relative to sexual maturity</w:t>
      </w:r>
      <w:bookmarkEnd w:id="3487"/>
      <w:bookmarkEnd w:id="3488"/>
    </w:p>
    <w:p w:rsidR="00017B6E" w:rsidRDefault="000A4576" w:rsidP="00017B6E">
      <w:pPr>
        <w:spacing w:before="120"/>
        <w:rPr>
          <w:noProof/>
        </w:rPr>
      </w:pPr>
      <w:r>
        <w:t>In the a</w:t>
      </w:r>
      <w:r w:rsidR="0002028B">
        <w:t>nalysis of developmental theory</w:t>
      </w:r>
      <w:r>
        <w:t xml:space="preserve"> one remaining point must be considered.  </w:t>
      </w:r>
      <w:r w:rsidR="00FA1B47">
        <w:t>Two of the terms of heterochrony outlined in Chapter 2 p</w:t>
      </w:r>
      <w:r>
        <w:t xml:space="preserve">ertained to sexual maturity.  Specifically, progensis was the achievement of sexual maturity prior to attaining adult form and hypermorphsis was </w:t>
      </w:r>
      <w:r w:rsidR="00017B6E">
        <w:t>t</w:t>
      </w:r>
      <w:r>
        <w:t>he achievement of adult form prior to sexual maturity</w:t>
      </w:r>
      <w:r w:rsidR="00FA1B47">
        <w:t xml:space="preserve"> (Rice 1997)</w:t>
      </w:r>
      <w:r>
        <w:t>.</w:t>
      </w:r>
      <w:r w:rsidR="00017B6E">
        <w:t xml:space="preserve">  </w:t>
      </w:r>
      <w:r w:rsidR="00A50295">
        <w:rPr>
          <w:noProof/>
        </w:rPr>
        <w:t xml:space="preserve">Sexual maturity </w:t>
      </w:r>
      <w:r w:rsidR="00AE3AB9">
        <w:rPr>
          <w:noProof/>
        </w:rPr>
        <w:t xml:space="preserve">is </w:t>
      </w:r>
      <w:r w:rsidR="00A50295">
        <w:rPr>
          <w:noProof/>
        </w:rPr>
        <w:t>defined as the age at which an individuals become able to reproduce</w:t>
      </w:r>
      <w:r w:rsidR="00EE20BB">
        <w:rPr>
          <w:noProof/>
        </w:rPr>
        <w:t xml:space="preserve"> (Harvey and Clutton-Brock 1985)</w:t>
      </w:r>
      <w:r w:rsidR="002C7897">
        <w:rPr>
          <w:noProof/>
        </w:rPr>
        <w:t xml:space="preserve">.  </w:t>
      </w:r>
      <w:r w:rsidR="00017B6E">
        <w:rPr>
          <w:noProof/>
        </w:rPr>
        <w:t xml:space="preserve">This study did not directly measure sexual maturity in chimpanzees and bonobos.  However, the age at which sexual maturity is attained is known relative to chronological age.  With new information </w:t>
      </w:r>
      <w:r w:rsidR="002C7897">
        <w:rPr>
          <w:noProof/>
        </w:rPr>
        <w:t xml:space="preserve">for </w:t>
      </w:r>
      <w:r w:rsidR="00017B6E">
        <w:rPr>
          <w:noProof/>
        </w:rPr>
        <w:t>the estimated timing of skeletal maturation relative to chronological years available in this study, the terms of progensis and hypermorphosis should be re-considered.</w:t>
      </w:r>
    </w:p>
    <w:p w:rsidR="005F4660" w:rsidRDefault="001A7E22" w:rsidP="000A4576">
      <w:pPr>
        <w:spacing w:before="120"/>
        <w:rPr>
          <w:noProof/>
        </w:rPr>
      </w:pPr>
      <w:r>
        <w:rPr>
          <w:noProof/>
        </w:rPr>
        <w:t xml:space="preserve">Female </w:t>
      </w:r>
      <w:r w:rsidR="006F4131">
        <w:rPr>
          <w:noProof/>
        </w:rPr>
        <w:t>age at first birth is a limiting factor for reproduction and it is females which this section will focus on</w:t>
      </w:r>
      <w:r>
        <w:rPr>
          <w:noProof/>
        </w:rPr>
        <w:t xml:space="preserve">.  </w:t>
      </w:r>
      <w:r w:rsidR="00A50295">
        <w:rPr>
          <w:noProof/>
        </w:rPr>
        <w:t xml:space="preserve">When an individuals is able to reproduce and when they actually begin </w:t>
      </w:r>
      <w:r w:rsidR="00221CCB">
        <w:rPr>
          <w:noProof/>
        </w:rPr>
        <w:t xml:space="preserve">to </w:t>
      </w:r>
      <w:r w:rsidR="00A50295">
        <w:rPr>
          <w:noProof/>
        </w:rPr>
        <w:t xml:space="preserve">bear offspring are not necessarily </w:t>
      </w:r>
      <w:r w:rsidR="009C64BC">
        <w:rPr>
          <w:noProof/>
        </w:rPr>
        <w:t>concurrent</w:t>
      </w:r>
      <w:r w:rsidR="00221CCB">
        <w:rPr>
          <w:noProof/>
        </w:rPr>
        <w:t xml:space="preserve"> events</w:t>
      </w:r>
      <w:r w:rsidR="000E3F77">
        <w:rPr>
          <w:noProof/>
        </w:rPr>
        <w:t>.  In humans the difference between the time of first birth and the age of sexual maturity</w:t>
      </w:r>
      <w:r w:rsidR="00A50295">
        <w:rPr>
          <w:noProof/>
        </w:rPr>
        <w:t xml:space="preserve"> varies between different societies and there are often non-biological cultural reasons for these shifts.  </w:t>
      </w:r>
      <w:r w:rsidR="006855B2">
        <w:rPr>
          <w:noProof/>
        </w:rPr>
        <w:t xml:space="preserve">Menarche in humans is well-document and it begins to occur somewhere between 12-14 years of age (Surbey 1990).  It has been suggested that stress conditions may actually drive menarche earlier rather than later in humans (Chisholm 2005).  However, the point at which human begin reproduction </w:t>
      </w:r>
      <w:r w:rsidR="0031552D">
        <w:rPr>
          <w:noProof/>
        </w:rPr>
        <w:t>is much later in humans</w:t>
      </w:r>
      <w:r w:rsidR="006855B2">
        <w:rPr>
          <w:noProof/>
        </w:rPr>
        <w:t xml:space="preserve">.  </w:t>
      </w:r>
      <w:r w:rsidR="0031552D">
        <w:rPr>
          <w:noProof/>
        </w:rPr>
        <w:t xml:space="preserve">Humans only </w:t>
      </w:r>
      <w:r w:rsidR="005F4660">
        <w:rPr>
          <w:noProof/>
        </w:rPr>
        <w:t>reach completion of secondary sexual characteristics by the age of 17 (Cameron 2006).  I</w:t>
      </w:r>
      <w:r w:rsidR="00A73EE2">
        <w:rPr>
          <w:noProof/>
        </w:rPr>
        <w:t>n hunter-gatherer societies it</w:t>
      </w:r>
      <w:r w:rsidR="005F4660">
        <w:rPr>
          <w:noProof/>
        </w:rPr>
        <w:t xml:space="preserve"> has been found that humans do not typically begin reproduction before 18-20 (Hill and Kaplan 1999).</w:t>
      </w:r>
      <w:r w:rsidR="00A73EE2">
        <w:rPr>
          <w:noProof/>
        </w:rPr>
        <w:t xml:space="preserve">  These societies appear to represent some of the earliest reproduction ages, with many human societies further </w:t>
      </w:r>
      <w:r w:rsidR="00D8731D">
        <w:rPr>
          <w:noProof/>
        </w:rPr>
        <w:t>delaying the event</w:t>
      </w:r>
      <w:r w:rsidR="00A73EE2">
        <w:rPr>
          <w:noProof/>
        </w:rPr>
        <w:t xml:space="preserve"> </w:t>
      </w:r>
      <w:r w:rsidR="00132832">
        <w:rPr>
          <w:noProof/>
        </w:rPr>
        <w:t xml:space="preserve">as a consequence of </w:t>
      </w:r>
      <w:r w:rsidR="00A73EE2">
        <w:rPr>
          <w:noProof/>
        </w:rPr>
        <w:t xml:space="preserve">social and cultural </w:t>
      </w:r>
      <w:r w:rsidR="00AF2920">
        <w:rPr>
          <w:noProof/>
        </w:rPr>
        <w:t>pressures</w:t>
      </w:r>
      <w:r w:rsidR="00A73EE2">
        <w:rPr>
          <w:noProof/>
        </w:rPr>
        <w:t xml:space="preserve">.  </w:t>
      </w:r>
    </w:p>
    <w:p w:rsidR="00ED5DC9" w:rsidRDefault="00A50295" w:rsidP="00A73EE2">
      <w:pPr>
        <w:spacing w:before="120"/>
        <w:rPr>
          <w:noProof/>
        </w:rPr>
      </w:pPr>
      <w:r>
        <w:rPr>
          <w:noProof/>
        </w:rPr>
        <w:t xml:space="preserve">It has been reported that wild chimpanzees undergo menarche by 10 to 11 years (Boesche and Boesch-Achermann 2000, Nishida </w:t>
      </w:r>
      <w:r>
        <w:rPr>
          <w:i/>
          <w:noProof/>
        </w:rPr>
        <w:t>et al</w:t>
      </w:r>
      <w:r w:rsidR="0027714F">
        <w:rPr>
          <w:i/>
          <w:noProof/>
        </w:rPr>
        <w:t>.</w:t>
      </w:r>
      <w:r>
        <w:rPr>
          <w:i/>
          <w:noProof/>
        </w:rPr>
        <w:t xml:space="preserve"> </w:t>
      </w:r>
      <w:r>
        <w:rPr>
          <w:noProof/>
        </w:rPr>
        <w:t>2003) while captives have been recorded as undergoing menarche as early as 8.5 years (Sugiyama 2004).  These differences again invoke the debate as to whether wild animals are stressed relative to their captive counterparts.  It is not clear if this is true with respect to</w:t>
      </w:r>
      <w:r w:rsidR="00595BD8">
        <w:rPr>
          <w:noProof/>
        </w:rPr>
        <w:t xml:space="preserve"> attainment of sexual maturity</w:t>
      </w:r>
      <w:r>
        <w:rPr>
          <w:noProof/>
        </w:rPr>
        <w:t xml:space="preserve">.  The captive data is much better controlled for observation of individuals and sample size.  </w:t>
      </w:r>
      <w:r w:rsidR="00BB1F09">
        <w:rPr>
          <w:noProof/>
        </w:rPr>
        <w:t>M</w:t>
      </w:r>
      <w:r>
        <w:rPr>
          <w:noProof/>
        </w:rPr>
        <w:t>enarche by 10 years of age</w:t>
      </w:r>
      <w:r w:rsidR="00BB1F09">
        <w:rPr>
          <w:noProof/>
        </w:rPr>
        <w:t xml:space="preserve"> will be used </w:t>
      </w:r>
      <w:r w:rsidR="00DC7C6E">
        <w:rPr>
          <w:noProof/>
        </w:rPr>
        <w:t xml:space="preserve">in this </w:t>
      </w:r>
      <w:r w:rsidR="00722773">
        <w:rPr>
          <w:noProof/>
        </w:rPr>
        <w:t xml:space="preserve">discussion </w:t>
      </w:r>
      <w:r w:rsidR="00BB1F09">
        <w:rPr>
          <w:noProof/>
        </w:rPr>
        <w:t xml:space="preserve">as it is </w:t>
      </w:r>
      <w:r w:rsidR="001E32CD">
        <w:rPr>
          <w:noProof/>
        </w:rPr>
        <w:t>a</w:t>
      </w:r>
      <w:r w:rsidR="00BB1F09">
        <w:rPr>
          <w:noProof/>
        </w:rPr>
        <w:t xml:space="preserve"> value </w:t>
      </w:r>
      <w:r w:rsidR="00DC7C6E">
        <w:rPr>
          <w:noProof/>
        </w:rPr>
        <w:t>approxima</w:t>
      </w:r>
      <w:r w:rsidR="00BB1F09">
        <w:rPr>
          <w:noProof/>
        </w:rPr>
        <w:t>ted by the majority of studies.</w:t>
      </w:r>
      <w:r>
        <w:rPr>
          <w:noProof/>
        </w:rPr>
        <w:t xml:space="preserve">  </w:t>
      </w:r>
      <w:r w:rsidR="00001531">
        <w:rPr>
          <w:noProof/>
        </w:rPr>
        <w:t>C</w:t>
      </w:r>
      <w:r w:rsidR="00A73EE2">
        <w:rPr>
          <w:noProof/>
        </w:rPr>
        <w:t>himpanzees typically experience their first birth by 13-15 years (Hill and Kaplan 1999).</w:t>
      </w:r>
    </w:p>
    <w:p w:rsidR="00A35CA0" w:rsidRDefault="00001531" w:rsidP="00CA5FBB">
      <w:pPr>
        <w:rPr>
          <w:noProof/>
        </w:rPr>
      </w:pPr>
      <w:r>
        <w:rPr>
          <w:noProof/>
        </w:rPr>
        <w:t xml:space="preserve">Given the estimates ages in this study, by the age of 10 in chimpanzees and by the ages of 12-14 in humans, the number of fusion events that have occurred and the state of dental maturity is effectively the same.  This suggests that menarche is occuring at essentially the same point of a maturational </w:t>
      </w:r>
      <w:r>
        <w:rPr>
          <w:noProof/>
        </w:rPr>
        <w:lastRenderedPageBreak/>
        <w:t>sequence irrespective of time.  When it comes to first birth, which in chimpanzees is between 13-15 and humans between 18-20, i</w:t>
      </w:r>
      <w:r w:rsidR="00311A4D">
        <w:rPr>
          <w:noProof/>
        </w:rPr>
        <w:t>t appear that humans and chimpanzees both begin reproduction very near the end of skeletal maturation.</w:t>
      </w:r>
      <w:r>
        <w:rPr>
          <w:noProof/>
        </w:rPr>
        <w:t xml:space="preserve">  The interval between these two events is particularly larger in humans, and is consistent with the observed extended period of growth known as adolecence (Bogin 1997).  What is inferred from these data is that humans are following the same maturational pattern but are simply modifying the time at which these events occur.  This means that humans are neither progenetic or hypermorphic as the timing of sexual maturation remains analagous between the two species in terms of skeletal maturation.</w:t>
      </w:r>
    </w:p>
    <w:p w:rsidR="00A35CA0" w:rsidRDefault="005520D4" w:rsidP="00CA5FBB">
      <w:pPr>
        <w:pStyle w:val="Heading3"/>
      </w:pPr>
      <w:bookmarkStart w:id="3489" w:name="_Toc373477904"/>
      <w:bookmarkStart w:id="3490" w:name="_Toc373480902"/>
      <w:r w:rsidRPr="00592893">
        <w:t>General conclusions with respect to growth theory</w:t>
      </w:r>
      <w:bookmarkEnd w:id="3489"/>
      <w:bookmarkEnd w:id="3490"/>
    </w:p>
    <w:p w:rsidR="00A35CA0" w:rsidRDefault="00A50295" w:rsidP="00CA5FBB">
      <w:pPr>
        <w:rPr>
          <w:noProof/>
        </w:rPr>
      </w:pPr>
      <w:r>
        <w:rPr>
          <w:noProof/>
        </w:rPr>
        <w:t xml:space="preserve">Chimpanzees and humans appear to share the same sequence of fusion events.  They do not share the same dental </w:t>
      </w:r>
      <w:r w:rsidR="001A641D">
        <w:rPr>
          <w:noProof/>
        </w:rPr>
        <w:t xml:space="preserve">mineralization </w:t>
      </w:r>
      <w:r>
        <w:rPr>
          <w:noProof/>
        </w:rPr>
        <w:t>sequence</w:t>
      </w:r>
      <w:r w:rsidR="001A641D">
        <w:rPr>
          <w:noProof/>
        </w:rPr>
        <w:t>s</w:t>
      </w:r>
      <w:r>
        <w:rPr>
          <w:noProof/>
        </w:rPr>
        <w:t xml:space="preserve">.  Comparing dental sequences with skeletal sequences suggests two things.  Humans experience their first fully mature adult tooth at the same maturational time as chimpanzees relative to epiphyseal fusion events.  However, the human third molar matures much later relative to epiphyseal fusion sequences.  With respect to growth, humans and chimpanzees both appear to scale allometrically and experience fusion events at the same proportions of growth in length.  Growth rates for chimpanzees relative to dental </w:t>
      </w:r>
      <w:r w:rsidR="007A6D3A">
        <w:rPr>
          <w:noProof/>
        </w:rPr>
        <w:t xml:space="preserve">mineralization </w:t>
      </w:r>
      <w:r>
        <w:rPr>
          <w:noProof/>
        </w:rPr>
        <w:t xml:space="preserve">are effectively linear.  This </w:t>
      </w:r>
      <w:r w:rsidR="007A6D3A">
        <w:rPr>
          <w:noProof/>
        </w:rPr>
        <w:t xml:space="preserve">may </w:t>
      </w:r>
      <w:r>
        <w:rPr>
          <w:noProof/>
        </w:rPr>
        <w:t xml:space="preserve">not </w:t>
      </w:r>
      <w:r w:rsidR="007A6D3A">
        <w:rPr>
          <w:noProof/>
        </w:rPr>
        <w:t xml:space="preserve">necessarily be </w:t>
      </w:r>
      <w:r>
        <w:rPr>
          <w:noProof/>
        </w:rPr>
        <w:t>true for humans</w:t>
      </w:r>
      <w:r w:rsidR="007A6D3A">
        <w:rPr>
          <w:noProof/>
        </w:rPr>
        <w:t xml:space="preserve"> given the complexity</w:t>
      </w:r>
      <w:r w:rsidR="00B40C2E">
        <w:rPr>
          <w:noProof/>
        </w:rPr>
        <w:t xml:space="preserve"> introduced</w:t>
      </w:r>
      <w:r w:rsidR="007A6D3A">
        <w:rPr>
          <w:noProof/>
        </w:rPr>
        <w:t xml:space="preserve"> </w:t>
      </w:r>
      <w:r w:rsidR="00B40C2E">
        <w:rPr>
          <w:noProof/>
        </w:rPr>
        <w:t xml:space="preserve">by </w:t>
      </w:r>
      <w:r w:rsidR="007A6D3A">
        <w:rPr>
          <w:noProof/>
        </w:rPr>
        <w:t>the extended period of dental mineralization.  No human studies have directly compared l</w:t>
      </w:r>
      <w:r w:rsidR="00A73199">
        <w:rPr>
          <w:noProof/>
        </w:rPr>
        <w:t xml:space="preserve">ong-bone length to dental score.  </w:t>
      </w:r>
      <w:r w:rsidR="00017A39">
        <w:rPr>
          <w:noProof/>
        </w:rPr>
        <w:t xml:space="preserve">A comparison between chimpanzees and humans would not use the same frame of reference due to the difference </w:t>
      </w:r>
      <w:r w:rsidR="0047065B">
        <w:rPr>
          <w:noProof/>
        </w:rPr>
        <w:t xml:space="preserve">in </w:t>
      </w:r>
      <w:r w:rsidR="00017A39">
        <w:rPr>
          <w:noProof/>
        </w:rPr>
        <w:t xml:space="preserve">duration </w:t>
      </w:r>
      <w:r w:rsidR="0047065B">
        <w:rPr>
          <w:noProof/>
        </w:rPr>
        <w:t xml:space="preserve">of </w:t>
      </w:r>
      <w:r w:rsidR="00017A39">
        <w:rPr>
          <w:noProof/>
        </w:rPr>
        <w:t>dental development relative to the entire period of growth.</w:t>
      </w:r>
    </w:p>
    <w:p w:rsidR="00A35CA0" w:rsidRDefault="00A50295" w:rsidP="00CA5FBB">
      <w:pPr>
        <w:rPr>
          <w:noProof/>
        </w:rPr>
      </w:pPr>
      <w:r>
        <w:rPr>
          <w:noProof/>
        </w:rPr>
        <w:t xml:space="preserve">For bonobos, far less may be directly concluded due to the limitation of sample size preventing many of the analyses that were </w:t>
      </w:r>
      <w:r w:rsidR="001A641D">
        <w:rPr>
          <w:noProof/>
        </w:rPr>
        <w:t>used to develop these conclusions</w:t>
      </w:r>
      <w:r>
        <w:rPr>
          <w:noProof/>
        </w:rPr>
        <w:t xml:space="preserve"> for chimpanzees.  What has been demonstrated for </w:t>
      </w:r>
      <w:r w:rsidR="00F65653">
        <w:rPr>
          <w:i/>
          <w:noProof/>
        </w:rPr>
        <w:t>Pan paniscus</w:t>
      </w:r>
      <w:r>
        <w:rPr>
          <w:noProof/>
        </w:rPr>
        <w:t xml:space="preserve"> is that epiphyseal fusion sequences are generally analagous relative to dental development</w:t>
      </w:r>
      <w:r w:rsidR="00F65653">
        <w:rPr>
          <w:noProof/>
        </w:rPr>
        <w:t xml:space="preserve"> between </w:t>
      </w:r>
      <w:r w:rsidR="00F65653">
        <w:rPr>
          <w:i/>
          <w:noProof/>
        </w:rPr>
        <w:t>Pan paniscus</w:t>
      </w:r>
      <w:r w:rsidR="00F65653">
        <w:rPr>
          <w:noProof/>
        </w:rPr>
        <w:t xml:space="preserve"> and </w:t>
      </w:r>
      <w:r w:rsidR="00F65653">
        <w:rPr>
          <w:i/>
          <w:noProof/>
        </w:rPr>
        <w:t>Pan troglodytes</w:t>
      </w:r>
      <w:r>
        <w:rPr>
          <w:noProof/>
        </w:rPr>
        <w:t>.  Growth rates are also in agreement between the two species.  It is likely that bonobos share as very similar pattern of skeletal growth and development with chimpanzees.</w:t>
      </w:r>
    </w:p>
    <w:p w:rsidR="00A35CA0" w:rsidRDefault="0088607A" w:rsidP="00CA5FBB">
      <w:pPr>
        <w:rPr>
          <w:noProof/>
        </w:rPr>
      </w:pPr>
      <w:r>
        <w:rPr>
          <w:noProof/>
        </w:rPr>
        <w:t xml:space="preserve">Figures 6.9 and 6.10 </w:t>
      </w:r>
      <w:r w:rsidR="001A4314">
        <w:rPr>
          <w:noProof/>
        </w:rPr>
        <w:t>provide a visualis</w:t>
      </w:r>
      <w:r w:rsidR="00A50295">
        <w:rPr>
          <w:noProof/>
        </w:rPr>
        <w:t>ation of developmental pattern differences between chimpanzees and humans using chimpanzees as a reference.  Figure 6.</w:t>
      </w:r>
      <w:r w:rsidR="003C2018">
        <w:rPr>
          <w:noProof/>
        </w:rPr>
        <w:t xml:space="preserve">9 </w:t>
      </w:r>
      <w:r w:rsidR="00A50295">
        <w:rPr>
          <w:noProof/>
        </w:rPr>
        <w:t>illustrates how development in both of these species appear relative to the ‘maturational clock’ with chimpanzees setting the hypothetical units of this clock.  Figure 6.</w:t>
      </w:r>
      <w:r w:rsidR="003C2018">
        <w:rPr>
          <w:noProof/>
        </w:rPr>
        <w:t>10</w:t>
      </w:r>
      <w:r w:rsidR="00A50295">
        <w:rPr>
          <w:noProof/>
        </w:rPr>
        <w:t xml:space="preserve"> shows how these species looks using chimpanzee maturational time units compared to chronological time.  It is worth noting that the visible differences between the two species become more marked when looked at in terms of chronological years.</w:t>
      </w:r>
    </w:p>
    <w:p w:rsidR="00A50295" w:rsidRDefault="00A50295" w:rsidP="00473787">
      <w:pPr>
        <w:spacing w:before="0" w:line="240" w:lineRule="auto"/>
        <w:jc w:val="left"/>
        <w:rPr>
          <w:noProof/>
        </w:rPr>
      </w:pPr>
      <w:r>
        <w:rPr>
          <w:noProof/>
          <w:lang w:val="en-GB" w:eastAsia="en-GB"/>
        </w:rPr>
        <w:lastRenderedPageBreak/>
        <w:drawing>
          <wp:anchor distT="0" distB="0" distL="114300" distR="114300" simplePos="0" relativeHeight="251675648" behindDoc="0" locked="1" layoutInCell="1" allowOverlap="1" wp14:anchorId="7125C8A5" wp14:editId="518F522F">
            <wp:simplePos x="0" y="0"/>
            <wp:positionH relativeFrom="column">
              <wp:posOffset>-338455</wp:posOffset>
            </wp:positionH>
            <wp:positionV relativeFrom="paragraph">
              <wp:posOffset>53975</wp:posOffset>
            </wp:positionV>
            <wp:extent cx="6509385" cy="2333625"/>
            <wp:effectExtent l="19050" t="0" r="571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09385" cy="2333625"/>
                    </a:xfrm>
                    <a:prstGeom prst="rect">
                      <a:avLst/>
                    </a:prstGeom>
                    <a:noFill/>
                    <a:ln>
                      <a:noFill/>
                    </a:ln>
                  </pic:spPr>
                </pic:pic>
              </a:graphicData>
            </a:graphic>
          </wp:anchor>
        </w:drawing>
      </w:r>
      <w:bookmarkStart w:id="3491" w:name="_Toc373147495"/>
      <w:proofErr w:type="gramStart"/>
      <w:r w:rsidR="00646DE7" w:rsidRPr="00997A01">
        <w:rPr>
          <w:b/>
        </w:rPr>
        <w:t xml:space="preserve">Figure </w:t>
      </w:r>
      <w:r w:rsidR="008943E4" w:rsidRPr="00997A01">
        <w:rPr>
          <w:b/>
        </w:rPr>
        <w:fldChar w:fldCharType="begin"/>
      </w:r>
      <w:r w:rsidR="00646DE7" w:rsidRPr="00997A01">
        <w:rPr>
          <w:b/>
        </w:rPr>
        <w:instrText xml:space="preserve"> STYLEREF 1 \s </w:instrText>
      </w:r>
      <w:r w:rsidR="008943E4" w:rsidRPr="00997A01">
        <w:rPr>
          <w:b/>
        </w:rPr>
        <w:fldChar w:fldCharType="separate"/>
      </w:r>
      <w:r w:rsidR="00795735">
        <w:rPr>
          <w:b/>
          <w:noProof/>
        </w:rPr>
        <w:t>6</w:t>
      </w:r>
      <w:r w:rsidR="008943E4" w:rsidRPr="00997A01">
        <w:rPr>
          <w:b/>
        </w:rPr>
        <w:fldChar w:fldCharType="end"/>
      </w:r>
      <w:r w:rsidR="00646DE7" w:rsidRPr="00997A01">
        <w:rPr>
          <w:b/>
        </w:rPr>
        <w:t>.</w:t>
      </w:r>
      <w:proofErr w:type="gramEnd"/>
      <w:r w:rsidR="008943E4" w:rsidRPr="00997A01">
        <w:rPr>
          <w:b/>
        </w:rPr>
        <w:fldChar w:fldCharType="begin"/>
      </w:r>
      <w:r w:rsidR="00646DE7" w:rsidRPr="00997A01">
        <w:rPr>
          <w:b/>
        </w:rPr>
        <w:instrText xml:space="preserve"> SEQ Figure \* ARABIC \s 1 </w:instrText>
      </w:r>
      <w:r w:rsidR="008943E4" w:rsidRPr="00997A01">
        <w:rPr>
          <w:b/>
        </w:rPr>
        <w:fldChar w:fldCharType="separate"/>
      </w:r>
      <w:r w:rsidR="00795735">
        <w:rPr>
          <w:b/>
          <w:noProof/>
        </w:rPr>
        <w:t>9</w:t>
      </w:r>
      <w:r w:rsidR="008943E4" w:rsidRPr="00997A01">
        <w:rPr>
          <w:b/>
        </w:rPr>
        <w:fldChar w:fldCharType="end"/>
      </w:r>
      <w:r w:rsidR="00646DE7">
        <w:rPr>
          <w:noProof/>
        </w:rPr>
        <w:t xml:space="preserve"> Visualization of chimpanzees and humans using hypothetical chimpanzee maturational time units.</w:t>
      </w:r>
      <w:bookmarkEnd w:id="3491"/>
    </w:p>
    <w:p w:rsidR="008357D0" w:rsidRDefault="008357D0" w:rsidP="00473787">
      <w:pPr>
        <w:spacing w:before="0" w:line="240" w:lineRule="auto"/>
        <w:jc w:val="left"/>
        <w:rPr>
          <w:noProof/>
        </w:rPr>
      </w:pPr>
    </w:p>
    <w:p w:rsidR="008357D0" w:rsidRDefault="008357D0" w:rsidP="00473787">
      <w:pPr>
        <w:spacing w:before="0" w:line="240" w:lineRule="auto"/>
        <w:jc w:val="left"/>
        <w:rPr>
          <w:noProof/>
        </w:rPr>
      </w:pPr>
    </w:p>
    <w:p w:rsidR="008357D0" w:rsidRDefault="008357D0" w:rsidP="00473787">
      <w:pPr>
        <w:spacing w:before="0" w:line="240" w:lineRule="auto"/>
        <w:jc w:val="left"/>
        <w:rPr>
          <w:noProof/>
        </w:rPr>
      </w:pPr>
    </w:p>
    <w:p w:rsidR="00A35CA0" w:rsidRDefault="00A50295" w:rsidP="00CA5FBB">
      <w:pPr>
        <w:spacing w:before="120" w:line="240" w:lineRule="auto"/>
        <w:rPr>
          <w:noProof/>
        </w:rPr>
      </w:pPr>
      <w:r>
        <w:rPr>
          <w:noProof/>
          <w:lang w:val="en-GB" w:eastAsia="en-GB"/>
        </w:rPr>
        <w:drawing>
          <wp:anchor distT="0" distB="0" distL="114300" distR="114300" simplePos="0" relativeHeight="251676672" behindDoc="0" locked="1" layoutInCell="1" allowOverlap="1" wp14:anchorId="1FBD0C20" wp14:editId="3286E884">
            <wp:simplePos x="0" y="0"/>
            <wp:positionH relativeFrom="column">
              <wp:posOffset>-223520</wp:posOffset>
            </wp:positionH>
            <wp:positionV relativeFrom="paragraph">
              <wp:posOffset>40005</wp:posOffset>
            </wp:positionV>
            <wp:extent cx="6412865" cy="2032000"/>
            <wp:effectExtent l="19050" t="0" r="698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12865" cy="2032000"/>
                    </a:xfrm>
                    <a:prstGeom prst="rect">
                      <a:avLst/>
                    </a:prstGeom>
                    <a:noFill/>
                    <a:ln>
                      <a:noFill/>
                    </a:ln>
                  </pic:spPr>
                </pic:pic>
              </a:graphicData>
            </a:graphic>
          </wp:anchor>
        </w:drawing>
      </w:r>
      <w:bookmarkStart w:id="3492" w:name="_Toc373147496"/>
      <w:proofErr w:type="gramStart"/>
      <w:r w:rsidR="00646DE7" w:rsidRPr="00997A01">
        <w:rPr>
          <w:b/>
        </w:rPr>
        <w:t xml:space="preserve">Figure </w:t>
      </w:r>
      <w:r w:rsidR="008943E4" w:rsidRPr="00997A01">
        <w:rPr>
          <w:b/>
        </w:rPr>
        <w:fldChar w:fldCharType="begin"/>
      </w:r>
      <w:r w:rsidR="00646DE7" w:rsidRPr="00997A01">
        <w:rPr>
          <w:b/>
        </w:rPr>
        <w:instrText xml:space="preserve"> STYLEREF 1 \s </w:instrText>
      </w:r>
      <w:r w:rsidR="008943E4" w:rsidRPr="00997A01">
        <w:rPr>
          <w:b/>
        </w:rPr>
        <w:fldChar w:fldCharType="separate"/>
      </w:r>
      <w:r w:rsidR="00795735">
        <w:rPr>
          <w:b/>
          <w:noProof/>
        </w:rPr>
        <w:t>6</w:t>
      </w:r>
      <w:r w:rsidR="008943E4" w:rsidRPr="00997A01">
        <w:rPr>
          <w:b/>
        </w:rPr>
        <w:fldChar w:fldCharType="end"/>
      </w:r>
      <w:r w:rsidR="00646DE7" w:rsidRPr="00997A01">
        <w:rPr>
          <w:b/>
        </w:rPr>
        <w:t>.</w:t>
      </w:r>
      <w:proofErr w:type="gramEnd"/>
      <w:r w:rsidR="008943E4" w:rsidRPr="00997A01">
        <w:rPr>
          <w:b/>
        </w:rPr>
        <w:fldChar w:fldCharType="begin"/>
      </w:r>
      <w:r w:rsidR="00646DE7" w:rsidRPr="00997A01">
        <w:rPr>
          <w:b/>
        </w:rPr>
        <w:instrText xml:space="preserve"> SEQ Figure \* ARABIC \s 1 </w:instrText>
      </w:r>
      <w:r w:rsidR="008943E4" w:rsidRPr="00997A01">
        <w:rPr>
          <w:b/>
        </w:rPr>
        <w:fldChar w:fldCharType="separate"/>
      </w:r>
      <w:r w:rsidR="00795735">
        <w:rPr>
          <w:b/>
          <w:noProof/>
        </w:rPr>
        <w:t>10</w:t>
      </w:r>
      <w:r w:rsidR="008943E4" w:rsidRPr="00997A01">
        <w:rPr>
          <w:b/>
        </w:rPr>
        <w:fldChar w:fldCharType="end"/>
      </w:r>
      <w:r w:rsidR="00646DE7">
        <w:rPr>
          <w:noProof/>
        </w:rPr>
        <w:t xml:space="preserve"> Visualization of chimpanzees and humans development as compared to chronological years using chimpanzee maturational time units.</w:t>
      </w:r>
      <w:bookmarkEnd w:id="3492"/>
    </w:p>
    <w:p w:rsidR="00A35CA0" w:rsidRDefault="00E7393A" w:rsidP="00CA5FBB">
      <w:pPr>
        <w:rPr>
          <w:noProof/>
        </w:rPr>
      </w:pPr>
      <w:r>
        <w:rPr>
          <w:noProof/>
        </w:rPr>
        <w:t>One final note regarding sequences should be considered within the context of figure 6.</w:t>
      </w:r>
      <w:r w:rsidR="00442CFE">
        <w:rPr>
          <w:noProof/>
        </w:rPr>
        <w:t>9</w:t>
      </w:r>
      <w:r>
        <w:rPr>
          <w:noProof/>
        </w:rPr>
        <w:t>.  It should be recalled that King’s (2004) used discriminant function analysis to group different primates based on skeletal fusion and dental development.  He noted that there was a distinct ape grouping for pattern of maturation but that chimpanzees appeared distinct from gorillas.  It remains to be seen how the inclusion of human sequences into the same discriminant function analysis might also demonstrate grouping</w:t>
      </w:r>
      <w:r w:rsidR="008F0E3B">
        <w:rPr>
          <w:noProof/>
        </w:rPr>
        <w:t xml:space="preserve"> with of</w:t>
      </w:r>
      <w:r w:rsidR="00442CFE">
        <w:rPr>
          <w:noProof/>
        </w:rPr>
        <w:t>fsets of sequences now known to</w:t>
      </w:r>
      <w:r w:rsidR="008F0E3B">
        <w:rPr>
          <w:noProof/>
        </w:rPr>
        <w:t xml:space="preserve"> exist.</w:t>
      </w:r>
    </w:p>
    <w:p w:rsidR="00A35CA0" w:rsidRDefault="00A50295" w:rsidP="00CA5FBB">
      <w:pPr>
        <w:pStyle w:val="Heading2"/>
      </w:pPr>
      <w:bookmarkStart w:id="3493" w:name="_Toc373477905"/>
      <w:bookmarkStart w:id="3494" w:name="_Toc373480903"/>
      <w:r>
        <w:t>Application to fossil hominids</w:t>
      </w:r>
      <w:bookmarkEnd w:id="3493"/>
      <w:bookmarkEnd w:id="3494"/>
    </w:p>
    <w:p w:rsidR="00A35CA0" w:rsidRDefault="00A50295" w:rsidP="00CA5FBB">
      <w:pPr>
        <w:rPr>
          <w:noProof/>
        </w:rPr>
      </w:pPr>
      <w:r>
        <w:rPr>
          <w:noProof/>
        </w:rPr>
        <w:t xml:space="preserve">The study of sub-adult fossil hominids has been limited to few individuals.  Those that have been found have </w:t>
      </w:r>
      <w:r w:rsidR="0068585C">
        <w:rPr>
          <w:noProof/>
        </w:rPr>
        <w:t xml:space="preserve">ranged over large periods of geologic time and are </w:t>
      </w:r>
      <w:r w:rsidR="00812179">
        <w:rPr>
          <w:noProof/>
        </w:rPr>
        <w:t xml:space="preserve">often </w:t>
      </w:r>
      <w:r w:rsidR="0068585C">
        <w:rPr>
          <w:noProof/>
        </w:rPr>
        <w:t xml:space="preserve">classified as </w:t>
      </w:r>
      <w:r>
        <w:rPr>
          <w:noProof/>
        </w:rPr>
        <w:t xml:space="preserve">different species.  </w:t>
      </w:r>
      <w:r>
        <w:rPr>
          <w:noProof/>
        </w:rPr>
        <w:lastRenderedPageBreak/>
        <w:t xml:space="preserve">Examples include specimens </w:t>
      </w:r>
      <w:r w:rsidR="00511E7C">
        <w:rPr>
          <w:noProof/>
        </w:rPr>
        <w:t xml:space="preserve">such as </w:t>
      </w:r>
      <w:r w:rsidR="00511E7C" w:rsidRPr="00511E7C">
        <w:rPr>
          <w:i/>
          <w:noProof/>
        </w:rPr>
        <w:t xml:space="preserve">Australopithecus </w:t>
      </w:r>
      <w:r w:rsidR="00511E7C" w:rsidRPr="00511E7C">
        <w:rPr>
          <w:i/>
        </w:rPr>
        <w:t>s</w:t>
      </w:r>
      <w:r w:rsidRPr="00511E7C">
        <w:rPr>
          <w:i/>
        </w:rPr>
        <w:t>ediba</w:t>
      </w:r>
      <w:r>
        <w:t xml:space="preserve"> </w:t>
      </w:r>
      <w:r w:rsidR="00124518">
        <w:t>(</w:t>
      </w:r>
      <w:r>
        <w:t xml:space="preserve">Berger </w:t>
      </w:r>
      <w:r>
        <w:rPr>
          <w:i/>
        </w:rPr>
        <w:t>et al</w:t>
      </w:r>
      <w:r w:rsidR="00170794">
        <w:rPr>
          <w:i/>
        </w:rPr>
        <w:t>.</w:t>
      </w:r>
      <w:r>
        <w:rPr>
          <w:i/>
        </w:rPr>
        <w:t xml:space="preserve"> </w:t>
      </w:r>
      <w:r>
        <w:t>2010)</w:t>
      </w:r>
      <w:r w:rsidR="00124518">
        <w:t xml:space="preserve">, the Dikika </w:t>
      </w:r>
      <w:r w:rsidR="00124518">
        <w:rPr>
          <w:i/>
        </w:rPr>
        <w:t>Australopithecus afarensis</w:t>
      </w:r>
      <w:r w:rsidR="00124518" w:rsidRPr="00124518">
        <w:t xml:space="preserve"> </w:t>
      </w:r>
      <w:r w:rsidR="00124518">
        <w:t xml:space="preserve">(Alemseged </w:t>
      </w:r>
      <w:r w:rsidR="00124518">
        <w:rPr>
          <w:i/>
        </w:rPr>
        <w:t>et al.</w:t>
      </w:r>
      <w:r w:rsidR="00124518">
        <w:t xml:space="preserve"> 2006)</w:t>
      </w:r>
      <w:r>
        <w:t xml:space="preserve">, the Nariokotome </w:t>
      </w:r>
      <w:r>
        <w:rPr>
          <w:i/>
        </w:rPr>
        <w:t>Homo ergaster</w:t>
      </w:r>
      <w:r>
        <w:t xml:space="preserve"> (Clegg and Aiello 1999, Dean and Smith 2009, Smith 2004 among others), and </w:t>
      </w:r>
      <w:r>
        <w:rPr>
          <w:noProof/>
        </w:rPr>
        <w:t xml:space="preserve">more recent sub-adults neanderthals (Dean </w:t>
      </w:r>
      <w:r>
        <w:rPr>
          <w:i/>
          <w:noProof/>
        </w:rPr>
        <w:t>et al</w:t>
      </w:r>
      <w:r w:rsidR="00170794">
        <w:rPr>
          <w:i/>
          <w:noProof/>
        </w:rPr>
        <w:t>.</w:t>
      </w:r>
      <w:r>
        <w:rPr>
          <w:noProof/>
        </w:rPr>
        <w:t xml:space="preserve"> 1986).  Many of these</w:t>
      </w:r>
      <w:r w:rsidR="00AC74AD">
        <w:rPr>
          <w:noProof/>
        </w:rPr>
        <w:t xml:space="preserve"> specimens have been moderately</w:t>
      </w:r>
      <w:r>
        <w:rPr>
          <w:noProof/>
        </w:rPr>
        <w:t xml:space="preserve"> to subst</w:t>
      </w:r>
      <w:r w:rsidR="00892CFB">
        <w:rPr>
          <w:noProof/>
        </w:rPr>
        <w:t>antially incomplete with only a small number of</w:t>
      </w:r>
      <w:r>
        <w:rPr>
          <w:noProof/>
        </w:rPr>
        <w:t xml:space="preserve"> epiphyses and/or teeth present.  The Nariokotome </w:t>
      </w:r>
      <w:r>
        <w:rPr>
          <w:i/>
          <w:noProof/>
        </w:rPr>
        <w:t>Homo ergaster</w:t>
      </w:r>
      <w:r>
        <w:rPr>
          <w:noProof/>
        </w:rPr>
        <w:t xml:space="preserve"> is an exception to this and has been intensively studied</w:t>
      </w:r>
      <w:r w:rsidR="005D37AE">
        <w:rPr>
          <w:noProof/>
        </w:rPr>
        <w:t xml:space="preserve"> (Smith 2004, Walker and Leakey 1993)</w:t>
      </w:r>
      <w:r>
        <w:rPr>
          <w:noProof/>
        </w:rPr>
        <w:t xml:space="preserve">.  </w:t>
      </w:r>
      <w:r w:rsidR="00DC715F">
        <w:rPr>
          <w:noProof/>
        </w:rPr>
        <w:t xml:space="preserve">Even though </w:t>
      </w:r>
      <w:r w:rsidR="003B35A8">
        <w:rPr>
          <w:noProof/>
        </w:rPr>
        <w:t>the specimen</w:t>
      </w:r>
      <w:r w:rsidR="00157ADF">
        <w:rPr>
          <w:noProof/>
        </w:rPr>
        <w:t xml:space="preserve"> is not fully complete it provides </w:t>
      </w:r>
      <w:r w:rsidR="00B50DE7">
        <w:rPr>
          <w:noProof/>
        </w:rPr>
        <w:t xml:space="preserve">the most comprehensive sample </w:t>
      </w:r>
      <w:r w:rsidR="00CD37DE">
        <w:rPr>
          <w:noProof/>
        </w:rPr>
        <w:t xml:space="preserve">of </w:t>
      </w:r>
      <w:r w:rsidR="00B50DE7">
        <w:rPr>
          <w:noProof/>
        </w:rPr>
        <w:t>epiphyseal fusion sites</w:t>
      </w:r>
      <w:r>
        <w:rPr>
          <w:noProof/>
        </w:rPr>
        <w:t xml:space="preserve"> </w:t>
      </w:r>
      <w:r w:rsidR="003F156D">
        <w:rPr>
          <w:noProof/>
        </w:rPr>
        <w:t xml:space="preserve">from one </w:t>
      </w:r>
      <w:r w:rsidR="00B50DE7">
        <w:rPr>
          <w:noProof/>
        </w:rPr>
        <w:t xml:space="preserve">individual </w:t>
      </w:r>
      <w:r w:rsidR="002A6160">
        <w:rPr>
          <w:noProof/>
        </w:rPr>
        <w:t>compared with</w:t>
      </w:r>
      <w:r w:rsidR="00B50DE7">
        <w:rPr>
          <w:noProof/>
        </w:rPr>
        <w:t xml:space="preserve"> any other fossil specimen</w:t>
      </w:r>
      <w:r>
        <w:rPr>
          <w:noProof/>
        </w:rPr>
        <w:t>.  A brief a</w:t>
      </w:r>
      <w:r w:rsidR="00B728E2">
        <w:rPr>
          <w:noProof/>
        </w:rPr>
        <w:t xml:space="preserve">nalysis of this </w:t>
      </w:r>
      <w:r w:rsidR="003B35A8">
        <w:rPr>
          <w:noProof/>
        </w:rPr>
        <w:t xml:space="preserve">individual </w:t>
      </w:r>
      <w:r>
        <w:rPr>
          <w:noProof/>
        </w:rPr>
        <w:t>is warranted and the information brought forth by this study placed in context</w:t>
      </w:r>
      <w:r w:rsidR="00B728E2">
        <w:rPr>
          <w:noProof/>
        </w:rPr>
        <w:t xml:space="preserve"> of such analysis</w:t>
      </w:r>
      <w:r>
        <w:rPr>
          <w:noProof/>
        </w:rPr>
        <w:t>.</w:t>
      </w:r>
    </w:p>
    <w:p w:rsidR="00A35CA0" w:rsidRDefault="00A50295" w:rsidP="00CA5FBB">
      <w:pPr>
        <w:rPr>
          <w:noProof/>
        </w:rPr>
      </w:pPr>
      <w:r>
        <w:rPr>
          <w:noProof/>
        </w:rPr>
        <w:t>By virtue of the fact that epiphyseal fusion sequence is not discernably different between chimpanzees and humans, it would be reasonable to infer that this feature was likely the same for fossil human</w:t>
      </w:r>
      <w:r w:rsidR="00E84DC3">
        <w:rPr>
          <w:noProof/>
        </w:rPr>
        <w:t xml:space="preserve"> ancestors as well.  Ruling out</w:t>
      </w:r>
      <w:r w:rsidR="00983662">
        <w:rPr>
          <w:noProof/>
        </w:rPr>
        <w:t xml:space="preserve"> </w:t>
      </w:r>
      <w:r>
        <w:rPr>
          <w:noProof/>
        </w:rPr>
        <w:t>deviati</w:t>
      </w:r>
      <w:r w:rsidR="00E84DC3">
        <w:rPr>
          <w:noProof/>
        </w:rPr>
        <w:t>on</w:t>
      </w:r>
      <w:r w:rsidR="00983662">
        <w:rPr>
          <w:noProof/>
        </w:rPr>
        <w:t xml:space="preserve"> and </w:t>
      </w:r>
      <w:r w:rsidR="00E84DC3">
        <w:rPr>
          <w:noProof/>
        </w:rPr>
        <w:t xml:space="preserve">subsequent </w:t>
      </w:r>
      <w:r w:rsidR="00983662">
        <w:rPr>
          <w:noProof/>
        </w:rPr>
        <w:t>recoverging</w:t>
      </w:r>
      <w:r w:rsidR="006E265A">
        <w:rPr>
          <w:noProof/>
        </w:rPr>
        <w:t xml:space="preserve"> of developmental patterns</w:t>
      </w:r>
      <w:r>
        <w:rPr>
          <w:noProof/>
        </w:rPr>
        <w:t xml:space="preserve"> at some point in</w:t>
      </w:r>
      <w:r w:rsidR="006E265A">
        <w:rPr>
          <w:noProof/>
        </w:rPr>
        <w:t xml:space="preserve"> evolutionary history </w:t>
      </w:r>
      <w:r w:rsidR="00F4216D">
        <w:rPr>
          <w:noProof/>
        </w:rPr>
        <w:t>will never be</w:t>
      </w:r>
      <w:r>
        <w:rPr>
          <w:noProof/>
        </w:rPr>
        <w:t xml:space="preserve"> possible but given the level of concordance between chimpanzees, bonobos, and humans</w:t>
      </w:r>
      <w:r w:rsidR="006E265A">
        <w:rPr>
          <w:noProof/>
        </w:rPr>
        <w:t>,</w:t>
      </w:r>
      <w:r>
        <w:rPr>
          <w:noProof/>
        </w:rPr>
        <w:t xml:space="preserve"> </w:t>
      </w:r>
      <w:r w:rsidR="006E265A">
        <w:rPr>
          <w:noProof/>
        </w:rPr>
        <w:t xml:space="preserve">such fluctuations </w:t>
      </w:r>
      <w:r>
        <w:rPr>
          <w:noProof/>
        </w:rPr>
        <w:t xml:space="preserve">would seem </w:t>
      </w:r>
      <w:r w:rsidR="00121D85">
        <w:rPr>
          <w:noProof/>
        </w:rPr>
        <w:t>improbable</w:t>
      </w:r>
      <w:r>
        <w:rPr>
          <w:noProof/>
        </w:rPr>
        <w:t>.  The</w:t>
      </w:r>
      <w:r w:rsidR="00BF1027">
        <w:rPr>
          <w:noProof/>
        </w:rPr>
        <w:t xml:space="preserve"> consistency of </w:t>
      </w:r>
      <w:r>
        <w:rPr>
          <w:noProof/>
        </w:rPr>
        <w:t xml:space="preserve">basic sequences known for apes such as the elbow-hip-ankle sequence mentioned </w:t>
      </w:r>
      <w:r w:rsidR="00D463FC">
        <w:rPr>
          <w:noProof/>
        </w:rPr>
        <w:t>in section 6.2</w:t>
      </w:r>
      <w:r w:rsidR="00BF1027">
        <w:rPr>
          <w:noProof/>
        </w:rPr>
        <w:t xml:space="preserve"> also provides grounds to argue against deviation and reconverging</w:t>
      </w:r>
      <w:r w:rsidR="006503AD">
        <w:rPr>
          <w:noProof/>
        </w:rPr>
        <w:t xml:space="preserve"> of</w:t>
      </w:r>
      <w:r w:rsidR="00BF1027">
        <w:rPr>
          <w:noProof/>
        </w:rPr>
        <w:t xml:space="preserve"> patterns.  </w:t>
      </w:r>
      <w:r w:rsidR="00AA6048">
        <w:rPr>
          <w:noProof/>
        </w:rPr>
        <w:t>It</w:t>
      </w:r>
      <w:r w:rsidR="00BF1027">
        <w:rPr>
          <w:noProof/>
        </w:rPr>
        <w:t xml:space="preserve"> suggests that fusion patterns may be generally shared </w:t>
      </w:r>
      <w:r w:rsidR="00D90CBE">
        <w:rPr>
          <w:noProof/>
        </w:rPr>
        <w:t xml:space="preserve">among many </w:t>
      </w:r>
      <w:r w:rsidR="00BF1027">
        <w:rPr>
          <w:noProof/>
        </w:rPr>
        <w:t>primate</w:t>
      </w:r>
      <w:r w:rsidR="00D90CBE">
        <w:rPr>
          <w:noProof/>
        </w:rPr>
        <w:t xml:space="preserve"> genera</w:t>
      </w:r>
      <w:r>
        <w:rPr>
          <w:noProof/>
        </w:rPr>
        <w:t>.</w:t>
      </w:r>
    </w:p>
    <w:p w:rsidR="00E74243" w:rsidRPr="00B155A9" w:rsidRDefault="00A50295" w:rsidP="00B155A9">
      <w:pPr>
        <w:rPr>
          <w:noProof/>
        </w:rPr>
      </w:pPr>
      <w:r>
        <w:rPr>
          <w:noProof/>
        </w:rPr>
        <w:t>Th</w:t>
      </w:r>
      <w:r w:rsidR="004E0D08">
        <w:rPr>
          <w:noProof/>
        </w:rPr>
        <w:t xml:space="preserve">e implication of this is that </w:t>
      </w:r>
      <w:r>
        <w:rPr>
          <w:noProof/>
        </w:rPr>
        <w:t>any prior study assessing epiphyseal fusion using human models was not misinformed about</w:t>
      </w:r>
      <w:r w:rsidR="00A96D22">
        <w:rPr>
          <w:noProof/>
        </w:rPr>
        <w:t xml:space="preserve"> fusion sequence.  Past studies</w:t>
      </w:r>
      <w:r w:rsidR="00F16F91">
        <w:rPr>
          <w:noProof/>
        </w:rPr>
        <w:t xml:space="preserve"> </w:t>
      </w:r>
      <w:r w:rsidR="00D81BFF">
        <w:rPr>
          <w:noProof/>
        </w:rPr>
        <w:t xml:space="preserve">such as Smith (2004) </w:t>
      </w:r>
      <w:r>
        <w:rPr>
          <w:noProof/>
        </w:rPr>
        <w:t xml:space="preserve">finding that </w:t>
      </w:r>
      <w:r w:rsidR="00CF48B5">
        <w:rPr>
          <w:noProof/>
        </w:rPr>
        <w:t>this</w:t>
      </w:r>
      <w:r>
        <w:rPr>
          <w:noProof/>
        </w:rPr>
        <w:t xml:space="preserve"> individual falls within the range of normal human variation in sequence were likely correct.  It is when an assessment of chronological age has been attempted that problems have arisen</w:t>
      </w:r>
      <w:r w:rsidR="00B155A9">
        <w:rPr>
          <w:noProof/>
        </w:rPr>
        <w:t xml:space="preserve"> (Graves </w:t>
      </w:r>
      <w:r w:rsidR="00B155A9">
        <w:rPr>
          <w:i/>
          <w:noProof/>
        </w:rPr>
        <w:t>et al</w:t>
      </w:r>
      <w:r w:rsidR="00B155A9">
        <w:rPr>
          <w:noProof/>
        </w:rPr>
        <w:t>. 2010)</w:t>
      </w:r>
      <w:r>
        <w:rPr>
          <w:noProof/>
        </w:rPr>
        <w:t xml:space="preserve">.  The two problematic variables are dental development and growth rate.  Growth rate cannot be practically be measured in fossils and any assumption that epiphyseal fusion state relates directly to chronological years cannot be assumed to be correct.  Dental development also does not produce the same chronological age estimation, as </w:t>
      </w:r>
      <w:r w:rsidR="004E0D08">
        <w:rPr>
          <w:noProof/>
        </w:rPr>
        <w:t xml:space="preserve">has </w:t>
      </w:r>
      <w:r>
        <w:rPr>
          <w:noProof/>
        </w:rPr>
        <w:t>been noted in the past (Dean and Smith 2009</w:t>
      </w:r>
      <w:r w:rsidR="00B6105E">
        <w:rPr>
          <w:noProof/>
        </w:rPr>
        <w:t>, Smith 2004</w:t>
      </w:r>
      <w:r>
        <w:rPr>
          <w:noProof/>
        </w:rPr>
        <w:t xml:space="preserve">).  </w:t>
      </w:r>
      <w:r w:rsidR="006768D1">
        <w:rPr>
          <w:noProof/>
        </w:rPr>
        <w:t>Additionally</w:t>
      </w:r>
      <w:r w:rsidR="00EC0B29">
        <w:rPr>
          <w:noProof/>
        </w:rPr>
        <w:t>,</w:t>
      </w:r>
      <w:r>
        <w:rPr>
          <w:noProof/>
        </w:rPr>
        <w:t xml:space="preserve"> there are sequence differences known for chimpanzee teeth when compared to humans (Kuykendall 1996).  Therefore if chronological ages are sought, they must be found by other means such as from dental histology.  For example, Dean and Lucas (2009) determined age for the Nariokotome specimen using incremental markings in dental enamel finding that the individual was younger than expected </w:t>
      </w:r>
      <w:r w:rsidR="004A3B22">
        <w:rPr>
          <w:noProof/>
        </w:rPr>
        <w:t>when</w:t>
      </w:r>
      <w:r>
        <w:rPr>
          <w:noProof/>
        </w:rPr>
        <w:t xml:space="preserve"> human criteria</w:t>
      </w:r>
      <w:r w:rsidR="004A3B22">
        <w:rPr>
          <w:noProof/>
        </w:rPr>
        <w:t xml:space="preserve"> were used</w:t>
      </w:r>
      <w:r>
        <w:rPr>
          <w:noProof/>
        </w:rPr>
        <w:t>.  They suggested that the Nariokotome specimen fit closer with the expected ages</w:t>
      </w:r>
      <w:r w:rsidR="0012412B">
        <w:rPr>
          <w:noProof/>
        </w:rPr>
        <w:t xml:space="preserve"> for mineralization</w:t>
      </w:r>
      <w:r>
        <w:rPr>
          <w:noProof/>
        </w:rPr>
        <w:t xml:space="preserve"> predicted by an ape model rather than human one.</w:t>
      </w:r>
    </w:p>
    <w:p w:rsidR="00A35CA0" w:rsidRDefault="00A50295" w:rsidP="00CA5FBB">
      <w:pPr>
        <w:rPr>
          <w:noProof/>
        </w:rPr>
      </w:pPr>
      <w:r>
        <w:rPr>
          <w:noProof/>
        </w:rPr>
        <w:lastRenderedPageBreak/>
        <w:t xml:space="preserve">The Nariokotome </w:t>
      </w:r>
      <w:r>
        <w:rPr>
          <w:i/>
          <w:noProof/>
        </w:rPr>
        <w:t>Homo ergaster</w:t>
      </w:r>
      <w:r>
        <w:rPr>
          <w:noProof/>
        </w:rPr>
        <w:t xml:space="preserve"> specimen was described in detail by Walker and Leakey (1993) and Smith (1993).  Unfused epiphyses included the triradiate and the proximal and distal ends of most long-bones.  The </w:t>
      </w:r>
      <w:r w:rsidR="00FB5ED4">
        <w:rPr>
          <w:rFonts w:eastAsia="Times New Roman"/>
          <w:color w:val="000000"/>
          <w:lang w:val="en-GB" w:eastAsia="en-GB"/>
        </w:rPr>
        <w:t>distal humerus</w:t>
      </w:r>
      <w:r>
        <w:rPr>
          <w:noProof/>
        </w:rPr>
        <w:t xml:space="preserve"> had commenced fusion.  Dental emergence and radiographic data were available for the dentition.  From these radiographs a Demirjian score could be assigned for I1 to M2 reading, in that order, 8,7,6,6,6,7,5.  This means that the first and only tooth to </w:t>
      </w:r>
      <w:r w:rsidR="0068344B">
        <w:rPr>
          <w:noProof/>
        </w:rPr>
        <w:t xml:space="preserve">have </w:t>
      </w:r>
      <w:r>
        <w:rPr>
          <w:noProof/>
        </w:rPr>
        <w:t>complete</w:t>
      </w:r>
      <w:r w:rsidR="0068344B">
        <w:rPr>
          <w:noProof/>
        </w:rPr>
        <w:t>d</w:t>
      </w:r>
      <w:r>
        <w:rPr>
          <w:noProof/>
        </w:rPr>
        <w:t xml:space="preserve"> mineralization was the first incisor.  </w:t>
      </w:r>
      <w:r w:rsidR="00435CBF">
        <w:rPr>
          <w:noProof/>
        </w:rPr>
        <w:t>The dental mineralization sequence for this individual was clearly more consistent with the human sequence and</w:t>
      </w:r>
      <w:r w:rsidR="003C188F">
        <w:rPr>
          <w:noProof/>
        </w:rPr>
        <w:t xml:space="preserve"> has been analysed in prior studies</w:t>
      </w:r>
      <w:r w:rsidR="00435CBF">
        <w:rPr>
          <w:noProof/>
        </w:rPr>
        <w:t>.  A</w:t>
      </w:r>
      <w:r w:rsidR="003C188F">
        <w:rPr>
          <w:noProof/>
        </w:rPr>
        <w:t xml:space="preserve">s such this analysis simply considers epiphyseal fusion sequences in relation to mineralization of the first adult tooth, as </w:t>
      </w:r>
      <w:r w:rsidR="00435CBF">
        <w:rPr>
          <w:noProof/>
        </w:rPr>
        <w:t xml:space="preserve">described </w:t>
      </w:r>
      <w:r w:rsidR="00CF48B5">
        <w:rPr>
          <w:noProof/>
        </w:rPr>
        <w:t>in Chapter 5</w:t>
      </w:r>
      <w:r w:rsidR="0068344B">
        <w:rPr>
          <w:noProof/>
        </w:rPr>
        <w:t>.</w:t>
      </w:r>
      <w:r>
        <w:rPr>
          <w:noProof/>
        </w:rPr>
        <w:t xml:space="preserve">  </w:t>
      </w:r>
      <w:r w:rsidR="00EC3916">
        <w:rPr>
          <w:noProof/>
        </w:rPr>
        <w:t xml:space="preserve">This study has shown that </w:t>
      </w:r>
      <w:r w:rsidR="003C188F">
        <w:rPr>
          <w:noProof/>
        </w:rPr>
        <w:t>f</w:t>
      </w:r>
      <w:r w:rsidR="0068344B">
        <w:rPr>
          <w:noProof/>
        </w:rPr>
        <w:t>usion sequence</w:t>
      </w:r>
      <w:r w:rsidR="003C188F">
        <w:rPr>
          <w:noProof/>
        </w:rPr>
        <w:t>s</w:t>
      </w:r>
      <w:r w:rsidR="0068344B">
        <w:rPr>
          <w:noProof/>
        </w:rPr>
        <w:t xml:space="preserve"> </w:t>
      </w:r>
      <w:r w:rsidR="003C188F">
        <w:rPr>
          <w:noProof/>
        </w:rPr>
        <w:t xml:space="preserve">in </w:t>
      </w:r>
      <w:r w:rsidR="0068344B">
        <w:rPr>
          <w:noProof/>
        </w:rPr>
        <w:t>humans and chimpanzees do not differ at this point of maturation</w:t>
      </w:r>
      <w:r>
        <w:rPr>
          <w:noProof/>
        </w:rPr>
        <w:t xml:space="preserve">.  Only a couple phalanges from the hand were present and no foot or ankle bones were present at all, making counting the number of epiphyses prior to the completion of </w:t>
      </w:r>
      <w:r w:rsidR="003C188F">
        <w:rPr>
          <w:noProof/>
        </w:rPr>
        <w:t>first complete tooth minerali</w:t>
      </w:r>
      <w:r w:rsidR="0068344B">
        <w:rPr>
          <w:noProof/>
        </w:rPr>
        <w:t xml:space="preserve">zation </w:t>
      </w:r>
      <w:r>
        <w:rPr>
          <w:noProof/>
        </w:rPr>
        <w:t>impossible.  This limits any further direct application of</w:t>
      </w:r>
      <w:r w:rsidR="00BA22E4">
        <w:rPr>
          <w:noProof/>
        </w:rPr>
        <w:t xml:space="preserve"> the</w:t>
      </w:r>
      <w:r>
        <w:rPr>
          <w:noProof/>
        </w:rPr>
        <w:t xml:space="preserve"> </w:t>
      </w:r>
      <w:r w:rsidR="004330BE">
        <w:rPr>
          <w:noProof/>
        </w:rPr>
        <w:t xml:space="preserve">results of </w:t>
      </w:r>
      <w:r>
        <w:rPr>
          <w:noProof/>
        </w:rPr>
        <w:t xml:space="preserve">this study beyond any </w:t>
      </w:r>
      <w:r w:rsidR="007F01BF">
        <w:rPr>
          <w:noProof/>
        </w:rPr>
        <w:t>conclusions reached in prior studies</w:t>
      </w:r>
      <w:r>
        <w:rPr>
          <w:noProof/>
        </w:rPr>
        <w:t>.</w:t>
      </w:r>
    </w:p>
    <w:p w:rsidR="00C038D7" w:rsidRDefault="001F33A5" w:rsidP="00E610A8">
      <w:pPr>
        <w:rPr>
          <w:noProof/>
        </w:rPr>
      </w:pPr>
      <w:r>
        <w:rPr>
          <w:noProof/>
        </w:rPr>
        <w:t xml:space="preserve">The finding that </w:t>
      </w:r>
      <w:r w:rsidR="00A50295">
        <w:rPr>
          <w:noProof/>
        </w:rPr>
        <w:t>humans and chimpanzees shar</w:t>
      </w:r>
      <w:r>
        <w:rPr>
          <w:noProof/>
        </w:rPr>
        <w:t>e</w:t>
      </w:r>
      <w:r w:rsidR="00A50295">
        <w:rPr>
          <w:noProof/>
        </w:rPr>
        <w:t xml:space="preserve"> the same epiphyseal fusion pattern allows for a re-evaluation of the conclusions of some previous studies.  Clegg and Aiello (1999) suggested that the Nariokotome specimen did not deviate from a human pattern of development.  </w:t>
      </w:r>
      <w:r w:rsidR="0029154F">
        <w:rPr>
          <w:noProof/>
        </w:rPr>
        <w:t xml:space="preserve">This study supports this assertion by suggesting </w:t>
      </w:r>
      <w:r w:rsidR="00515763">
        <w:rPr>
          <w:noProof/>
        </w:rPr>
        <w:t xml:space="preserve">that </w:t>
      </w:r>
      <w:r w:rsidR="00487EE4">
        <w:rPr>
          <w:noProof/>
        </w:rPr>
        <w:t>the</w:t>
      </w:r>
      <w:r w:rsidR="0029154F">
        <w:rPr>
          <w:noProof/>
        </w:rPr>
        <w:t xml:space="preserve"> shared pattern between </w:t>
      </w:r>
      <w:r w:rsidR="0029154F">
        <w:rPr>
          <w:i/>
          <w:noProof/>
        </w:rPr>
        <w:t xml:space="preserve">Pan </w:t>
      </w:r>
      <w:r w:rsidR="0029154F">
        <w:rPr>
          <w:noProof/>
        </w:rPr>
        <w:t xml:space="preserve">and </w:t>
      </w:r>
      <w:r w:rsidR="0029154F">
        <w:rPr>
          <w:i/>
          <w:noProof/>
        </w:rPr>
        <w:t xml:space="preserve">Homo </w:t>
      </w:r>
      <w:r w:rsidR="00487EE4">
        <w:rPr>
          <w:noProof/>
        </w:rPr>
        <w:t xml:space="preserve">has </w:t>
      </w:r>
      <w:r w:rsidR="0029154F">
        <w:rPr>
          <w:noProof/>
        </w:rPr>
        <w:t>deeper ancestry than</w:t>
      </w:r>
      <w:r w:rsidR="00405FEA">
        <w:rPr>
          <w:noProof/>
        </w:rPr>
        <w:t xml:space="preserve"> the</w:t>
      </w:r>
      <w:r w:rsidR="0029154F">
        <w:rPr>
          <w:noProof/>
        </w:rPr>
        <w:t xml:space="preserve"> </w:t>
      </w:r>
      <w:r w:rsidR="00EF5CD1">
        <w:rPr>
          <w:noProof/>
        </w:rPr>
        <w:t xml:space="preserve">split between the two genera and thus </w:t>
      </w:r>
      <w:r w:rsidR="00003F54">
        <w:rPr>
          <w:noProof/>
        </w:rPr>
        <w:t xml:space="preserve">occurred </w:t>
      </w:r>
      <w:r w:rsidR="00EF5CD1">
        <w:rPr>
          <w:noProof/>
        </w:rPr>
        <w:t xml:space="preserve">prior to </w:t>
      </w:r>
      <w:r w:rsidR="0029154F">
        <w:rPr>
          <w:noProof/>
        </w:rPr>
        <w:t xml:space="preserve">the appearance of </w:t>
      </w:r>
      <w:r w:rsidR="0029154F">
        <w:rPr>
          <w:i/>
          <w:noProof/>
        </w:rPr>
        <w:t>Homo ergaster</w:t>
      </w:r>
      <w:r w:rsidR="00A50295">
        <w:rPr>
          <w:noProof/>
        </w:rPr>
        <w:t>.  Smith’s (2004) comparison of the Nariokotome specimen to a modern human sample concluded that it could be human but deviated from normal human development.  This assertion of deviation was based more on estimation of body size for predicted age and enamel formation.  Within the context of the skeletal data, the two studies actually agree and with the knowledge that ape sequences at this stage of growth converge with humans, this result would have been expected.</w:t>
      </w:r>
    </w:p>
    <w:p w:rsidR="00C038D7" w:rsidRDefault="00C038D7" w:rsidP="00CA5FBB">
      <w:pPr>
        <w:pStyle w:val="Heading2"/>
      </w:pPr>
      <w:r>
        <w:t>Suggestions for future study/limitations of present research</w:t>
      </w:r>
    </w:p>
    <w:p w:rsidR="00301D08" w:rsidRDefault="00B56264" w:rsidP="00B56264">
      <w:pPr>
        <w:rPr>
          <w:noProof/>
        </w:rPr>
      </w:pPr>
      <w:r>
        <w:rPr>
          <w:noProof/>
        </w:rPr>
        <w:t xml:space="preserve">The present study provides a great deal of new information about growth and development in </w:t>
      </w:r>
      <w:r>
        <w:rPr>
          <w:i/>
          <w:noProof/>
        </w:rPr>
        <w:t>Pan</w:t>
      </w:r>
      <w:r w:rsidR="00C24DF4">
        <w:rPr>
          <w:noProof/>
        </w:rPr>
        <w:t>,  However,</w:t>
      </w:r>
      <w:r>
        <w:rPr>
          <w:noProof/>
        </w:rPr>
        <w:t xml:space="preserve"> there are clearly several limitations that future research may help to resolve.  The most obvious limitation is DS</w:t>
      </w:r>
      <w:r w:rsidR="00C81F3E">
        <w:rPr>
          <w:noProof/>
        </w:rPr>
        <w:t>64 and the problem this presented</w:t>
      </w:r>
      <w:r>
        <w:rPr>
          <w:noProof/>
        </w:rPr>
        <w:t xml:space="preserve"> for estimati</w:t>
      </w:r>
      <w:r w:rsidR="00215F0A">
        <w:rPr>
          <w:noProof/>
        </w:rPr>
        <w:t>on of</w:t>
      </w:r>
      <w:r>
        <w:rPr>
          <w:noProof/>
        </w:rPr>
        <w:t xml:space="preserve"> chronological age for fusion of late</w:t>
      </w:r>
      <w:r w:rsidR="00436CCB">
        <w:rPr>
          <w:noProof/>
        </w:rPr>
        <w:t>r</w:t>
      </w:r>
      <w:r>
        <w:rPr>
          <w:noProof/>
        </w:rPr>
        <w:t xml:space="preserve"> epiphyses.  Use of a known-age sample may be the only solution for this.  Analysis of </w:t>
      </w:r>
      <w:r>
        <w:rPr>
          <w:i/>
          <w:noProof/>
        </w:rPr>
        <w:t>Pan</w:t>
      </w:r>
      <w:r w:rsidRPr="002B5CB9">
        <w:rPr>
          <w:i/>
          <w:noProof/>
        </w:rPr>
        <w:t xml:space="preserve"> paniscus</w:t>
      </w:r>
      <w:r>
        <w:rPr>
          <w:noProof/>
        </w:rPr>
        <w:t xml:space="preserve"> was limited by sample size and a larger sample would permit many of the analyses performed in this study on </w:t>
      </w:r>
      <w:r>
        <w:rPr>
          <w:i/>
          <w:noProof/>
        </w:rPr>
        <w:t>Pan troglodytes</w:t>
      </w:r>
      <w:r>
        <w:rPr>
          <w:noProof/>
        </w:rPr>
        <w:t xml:space="preserve"> to be </w:t>
      </w:r>
      <w:r w:rsidR="002B5CB9">
        <w:rPr>
          <w:noProof/>
        </w:rPr>
        <w:t xml:space="preserve">done in tandem for </w:t>
      </w:r>
      <w:r w:rsidR="002B5CB9">
        <w:rPr>
          <w:i/>
          <w:noProof/>
        </w:rPr>
        <w:t>Pan paniscus</w:t>
      </w:r>
      <w:r w:rsidR="002B5CB9" w:rsidRPr="002B5CB9">
        <w:rPr>
          <w:noProof/>
        </w:rPr>
        <w:t>.</w:t>
      </w:r>
      <w:r>
        <w:rPr>
          <w:noProof/>
        </w:rPr>
        <w:t xml:space="preserve"> </w:t>
      </w:r>
      <w:r w:rsidR="00752618">
        <w:rPr>
          <w:noProof/>
        </w:rPr>
        <w:t xml:space="preserve"> Conducting similar research using more distantly-related species may also serve to compliment the assessment of developmental theory presented in this work.</w:t>
      </w:r>
      <w:r w:rsidR="00844648">
        <w:rPr>
          <w:noProof/>
        </w:rPr>
        <w:t xml:space="preserve"> </w:t>
      </w:r>
      <w:r w:rsidR="00301D08">
        <w:rPr>
          <w:noProof/>
        </w:rPr>
        <w:br w:type="page"/>
      </w:r>
    </w:p>
    <w:p w:rsidR="00B40185" w:rsidRDefault="00525C1D" w:rsidP="00893CA0">
      <w:pPr>
        <w:pStyle w:val="Heading1"/>
        <w:rPr>
          <w:noProof/>
        </w:rPr>
      </w:pPr>
      <w:bookmarkStart w:id="3495" w:name="_Toc373477906"/>
      <w:bookmarkStart w:id="3496" w:name="_Toc373480904"/>
      <w:r>
        <w:rPr>
          <w:noProof/>
        </w:rPr>
        <w:lastRenderedPageBreak/>
        <w:t>Concluding Remarks</w:t>
      </w:r>
      <w:bookmarkEnd w:id="3495"/>
      <w:bookmarkEnd w:id="3496"/>
    </w:p>
    <w:p w:rsidR="00301D08" w:rsidRDefault="009560D5" w:rsidP="00C36BD9">
      <w:r>
        <w:rPr>
          <w:color w:val="000000" w:themeColor="text1"/>
        </w:rPr>
        <w:t xml:space="preserve">Growth and development in </w:t>
      </w:r>
      <w:r>
        <w:rPr>
          <w:i/>
          <w:color w:val="000000" w:themeColor="text1"/>
        </w:rPr>
        <w:t xml:space="preserve">Pan </w:t>
      </w:r>
      <w:r>
        <w:rPr>
          <w:color w:val="000000" w:themeColor="text1"/>
        </w:rPr>
        <w:t xml:space="preserve">has been analysed by the study of epiphyseal fusion, dental development, and long-bone growth in a sample of </w:t>
      </w:r>
      <w:r w:rsidR="00A205CB">
        <w:rPr>
          <w:color w:val="000000" w:themeColor="text1"/>
        </w:rPr>
        <w:t xml:space="preserve">177 </w:t>
      </w:r>
      <w:r>
        <w:rPr>
          <w:i/>
          <w:color w:val="000000" w:themeColor="text1"/>
        </w:rPr>
        <w:t xml:space="preserve">Pan </w:t>
      </w:r>
      <w:proofErr w:type="gramStart"/>
      <w:r>
        <w:rPr>
          <w:i/>
          <w:color w:val="000000" w:themeColor="text1"/>
        </w:rPr>
        <w:t>troglodytes</w:t>
      </w:r>
      <w:proofErr w:type="gramEnd"/>
      <w:r>
        <w:rPr>
          <w:i/>
          <w:color w:val="000000" w:themeColor="text1"/>
        </w:rPr>
        <w:t xml:space="preserve"> </w:t>
      </w:r>
      <w:r>
        <w:t xml:space="preserve">and </w:t>
      </w:r>
      <w:r w:rsidR="00A205CB">
        <w:t xml:space="preserve">37 </w:t>
      </w:r>
      <w:r>
        <w:rPr>
          <w:i/>
        </w:rPr>
        <w:t>Pan paniscus</w:t>
      </w:r>
      <w:r w:rsidR="00A205CB">
        <w:t xml:space="preserve"> specimens found in museum collections.</w:t>
      </w:r>
      <w:r w:rsidRPr="005E301C">
        <w:t xml:space="preserve">  </w:t>
      </w:r>
      <w:r w:rsidR="00A205CB">
        <w:t xml:space="preserve">The types of analyses performed in this study were done with the objectives of informing both </w:t>
      </w:r>
      <w:r w:rsidR="007A66A8">
        <w:t>a</w:t>
      </w:r>
      <w:r w:rsidR="00A205CB">
        <w:t xml:space="preserve"> theoretical understanding </w:t>
      </w:r>
      <w:r w:rsidR="005C0286">
        <w:t>of human growth and for refinement of</w:t>
      </w:r>
      <w:r w:rsidR="00A205CB">
        <w:t xml:space="preserve"> growth standards applicable to the study of fossil hominids.  The relationship between maturational events </w:t>
      </w:r>
      <w:r w:rsidR="00E93AED">
        <w:t>and growth rates was considered</w:t>
      </w:r>
      <w:r w:rsidR="00A205CB">
        <w:t xml:space="preserve"> as was the relationship between dental and skeletal sequences.  It was fo</w:t>
      </w:r>
      <w:r w:rsidR="00FE17BE">
        <w:t>und that chimpanzees and humans share effectively the same pattern of skeletal fusion sequences.  When groupings of epiphyses were considered, humans</w:t>
      </w:r>
      <w:r w:rsidR="00E46B3A">
        <w:t xml:space="preserve"> were found to follow </w:t>
      </w:r>
      <w:r w:rsidR="00FE17BE">
        <w:t>a similar pattern to other primates of elbow-hip-ankle-knee</w:t>
      </w:r>
      <w:r w:rsidR="00E46B3A">
        <w:t>,</w:t>
      </w:r>
      <w:r w:rsidR="00FE17BE">
        <w:t xml:space="preserve"> as outlined by Zihlman </w:t>
      </w:r>
      <w:r w:rsidR="00FE17BE">
        <w:rPr>
          <w:i/>
        </w:rPr>
        <w:t>et al</w:t>
      </w:r>
      <w:r w:rsidR="00FE17BE">
        <w:t xml:space="preserve">. (2007).  </w:t>
      </w:r>
      <w:r w:rsidR="00E46B3A">
        <w:t>Comparison of dental sequences to epiphyseal fusion sequences determined that humans are unusual among primates with thi</w:t>
      </w:r>
      <w:r w:rsidR="001236A1">
        <w:t xml:space="preserve">rd molar mineralization </w:t>
      </w:r>
      <w:r w:rsidR="005D5F43">
        <w:t xml:space="preserve">completing </w:t>
      </w:r>
      <w:r w:rsidR="00E46B3A">
        <w:t xml:space="preserve">much closer to </w:t>
      </w:r>
      <w:r w:rsidR="005E1722">
        <w:t xml:space="preserve">the </w:t>
      </w:r>
      <w:r w:rsidR="00E4248C">
        <w:t xml:space="preserve">terminal point </w:t>
      </w:r>
      <w:r w:rsidR="005E1722">
        <w:t>of skeletal maturation</w:t>
      </w:r>
      <w:r w:rsidR="00E46B3A">
        <w:t xml:space="preserve">.  Comparisons of fusion events relative to long-bone growth have indicated that the differences in allometry between </w:t>
      </w:r>
      <w:r w:rsidR="00E46B3A">
        <w:rPr>
          <w:i/>
        </w:rPr>
        <w:t xml:space="preserve">Pan </w:t>
      </w:r>
      <w:r w:rsidR="00E46B3A">
        <w:t xml:space="preserve">and </w:t>
      </w:r>
      <w:r w:rsidR="00E46B3A" w:rsidRPr="00E46B3A">
        <w:rPr>
          <w:i/>
        </w:rPr>
        <w:t>Homo</w:t>
      </w:r>
      <w:r w:rsidR="00E46B3A">
        <w:t xml:space="preserve"> are the result of different linear rates of individual long-bone growth and do not represent the effects of sequence changes. </w:t>
      </w:r>
      <w:r w:rsidR="00115898">
        <w:t xml:space="preserve"> There are marked differences in both growth rate and duration of growth when </w:t>
      </w:r>
      <w:r w:rsidR="00115898">
        <w:rPr>
          <w:i/>
        </w:rPr>
        <w:t xml:space="preserve">Pan </w:t>
      </w:r>
      <w:r w:rsidR="00115898">
        <w:t xml:space="preserve">and </w:t>
      </w:r>
      <w:r w:rsidR="00115898">
        <w:rPr>
          <w:i/>
        </w:rPr>
        <w:t>Homo</w:t>
      </w:r>
      <w:r w:rsidR="009C2378">
        <w:t xml:space="preserve"> are compared</w:t>
      </w:r>
      <w:r w:rsidR="00115898">
        <w:t>.  These differing growth</w:t>
      </w:r>
      <w:r w:rsidR="003263D8">
        <w:t xml:space="preserve"> curves</w:t>
      </w:r>
      <w:r w:rsidR="00115898">
        <w:t xml:space="preserve"> may obscure comparisons of maturational event pattern</w:t>
      </w:r>
      <w:r w:rsidR="003263D8">
        <w:t>s</w:t>
      </w:r>
      <w:r w:rsidR="00115898">
        <w:t xml:space="preserve"> and lead to </w:t>
      </w:r>
      <w:r w:rsidR="003263D8">
        <w:t xml:space="preserve">determination </w:t>
      </w:r>
      <w:r w:rsidR="00115898">
        <w:t>of differences between species that may not actually exist.  I</w:t>
      </w:r>
      <w:r w:rsidR="00FD4A3C">
        <w:t xml:space="preserve">n terms of application to fossil hominids, the results of this study suggest that the sequence of epiphyseal fusion events should be expected to be the same.  </w:t>
      </w:r>
      <w:r w:rsidR="00C36BD9">
        <w:t>D</w:t>
      </w:r>
      <w:r w:rsidR="00FD4A3C">
        <w:t xml:space="preserve">ifferences </w:t>
      </w:r>
      <w:r w:rsidR="00FD4A3C" w:rsidRPr="00A96C18">
        <w:t>in</w:t>
      </w:r>
      <w:r w:rsidR="00FD4A3C">
        <w:t xml:space="preserve"> </w:t>
      </w:r>
      <w:r w:rsidR="00A96C18">
        <w:t xml:space="preserve">patterning between </w:t>
      </w:r>
      <w:r w:rsidR="00FD4A3C">
        <w:t xml:space="preserve">dental mineralization </w:t>
      </w:r>
      <w:r w:rsidR="00A96C18">
        <w:t xml:space="preserve">and </w:t>
      </w:r>
      <w:r w:rsidR="00FD4A3C">
        <w:t xml:space="preserve">skeletal fusion </w:t>
      </w:r>
      <w:r w:rsidR="00C36BD9">
        <w:t xml:space="preserve">were </w:t>
      </w:r>
      <w:r w:rsidR="00FD4A3C">
        <w:t>identified</w:t>
      </w:r>
      <w:r w:rsidR="00A96C18" w:rsidRPr="00A96C18">
        <w:t xml:space="preserve"> </w:t>
      </w:r>
      <w:r w:rsidR="00A96C18">
        <w:t xml:space="preserve">between </w:t>
      </w:r>
      <w:r w:rsidR="00A96C18" w:rsidRPr="00A96C18">
        <w:rPr>
          <w:i/>
        </w:rPr>
        <w:t>Pan</w:t>
      </w:r>
      <w:r w:rsidR="00A96C18">
        <w:t xml:space="preserve"> and </w:t>
      </w:r>
      <w:r w:rsidR="00A96C18">
        <w:rPr>
          <w:i/>
        </w:rPr>
        <w:t>Homo</w:t>
      </w:r>
      <w:r w:rsidR="00C36BD9">
        <w:t>.  This has implications for the assessment of either fossil or extant species.  Determining state of maturity through either dental or skeletal systems must take into ac</w:t>
      </w:r>
      <w:r w:rsidR="00B31C89">
        <w:t>count how species differ</w:t>
      </w:r>
      <w:r w:rsidR="00FD4A3C">
        <w:t>.</w:t>
      </w:r>
    </w:p>
    <w:p w:rsidR="00163527" w:rsidRPr="00163527" w:rsidRDefault="00E741F0" w:rsidP="00A205CB">
      <w:pPr>
        <w:rPr>
          <w:i/>
        </w:rPr>
      </w:pPr>
      <w:r>
        <w:t xml:space="preserve">It was not possible to complete </w:t>
      </w:r>
      <w:r w:rsidR="00347683">
        <w:t>as</w:t>
      </w:r>
      <w:r w:rsidR="008A3ABD">
        <w:t xml:space="preserve"> many</w:t>
      </w:r>
      <w:r w:rsidR="00347683">
        <w:t xml:space="preserve"> </w:t>
      </w:r>
      <w:r>
        <w:t xml:space="preserve">analyses for </w:t>
      </w:r>
      <w:r w:rsidR="00163527">
        <w:t>bonobo skeletal development</w:t>
      </w:r>
      <w:r w:rsidR="000635AB">
        <w:t xml:space="preserve"> as were done for chimpanzees</w:t>
      </w:r>
      <w:r w:rsidR="002A2A2A">
        <w:t xml:space="preserve"> d</w:t>
      </w:r>
      <w:r w:rsidR="00163527">
        <w:t xml:space="preserve">ue to the more limited sample size for this species.  For the analyses that could be completed, it was found that </w:t>
      </w:r>
      <w:r w:rsidR="002D4184">
        <w:t xml:space="preserve">bonobos </w:t>
      </w:r>
      <w:r w:rsidR="00163527">
        <w:t>did not differ from chimpanzees</w:t>
      </w:r>
      <w:r w:rsidR="00EA5F17">
        <w:t xml:space="preserve">, suggesting a general </w:t>
      </w:r>
      <w:r w:rsidR="00EA5F17">
        <w:rPr>
          <w:i/>
        </w:rPr>
        <w:t>Pan</w:t>
      </w:r>
      <w:r w:rsidR="00EA5F17">
        <w:t xml:space="preserve"> pattern of growth</w:t>
      </w:r>
      <w:r w:rsidR="00163527">
        <w:t>.  Further study with larger sample</w:t>
      </w:r>
      <w:r w:rsidR="00594A0E">
        <w:t xml:space="preserve"> size</w:t>
      </w:r>
      <w:r w:rsidR="00163527">
        <w:t xml:space="preserve">s will help </w:t>
      </w:r>
      <w:r w:rsidR="00FC5DB1">
        <w:t>provide</w:t>
      </w:r>
      <w:r w:rsidR="00163527">
        <w:t xml:space="preserve"> further clarity with respect to developmental parameters in this species.</w:t>
      </w:r>
    </w:p>
    <w:p w:rsidR="00525C1D" w:rsidRDefault="00525C1D">
      <w:pPr>
        <w:spacing w:before="0" w:after="200" w:line="276" w:lineRule="auto"/>
        <w:jc w:val="left"/>
      </w:pPr>
      <w:r>
        <w:br w:type="page"/>
      </w:r>
    </w:p>
    <w:p w:rsidR="00A35CA0" w:rsidRPr="00E042DB" w:rsidRDefault="00CC3C93" w:rsidP="00CA5FBB">
      <w:pPr>
        <w:spacing w:before="0" w:line="240" w:lineRule="auto"/>
        <w:jc w:val="center"/>
        <w:rPr>
          <w:b/>
          <w:i/>
          <w:sz w:val="24"/>
          <w:szCs w:val="24"/>
        </w:rPr>
      </w:pPr>
      <w:r w:rsidRPr="00E042DB">
        <w:rPr>
          <w:rFonts w:asciiTheme="majorBidi" w:hAnsiTheme="majorBidi" w:cstheme="majorBidi"/>
          <w:b/>
          <w:i/>
          <w:sz w:val="24"/>
          <w:szCs w:val="24"/>
          <w:lang w:val="en-CA"/>
        </w:rPr>
        <w:lastRenderedPageBreak/>
        <w:t>References</w:t>
      </w:r>
    </w:p>
    <w:p w:rsidR="00A35CA0" w:rsidRDefault="00A35CA0" w:rsidP="00CA5FBB">
      <w:pPr>
        <w:spacing w:before="0" w:line="240" w:lineRule="auto"/>
        <w:jc w:val="left"/>
        <w:rPr>
          <w:rFonts w:asciiTheme="majorBidi" w:hAnsiTheme="majorBidi" w:cstheme="majorBidi"/>
          <w:b/>
          <w:u w:val="single"/>
          <w:lang w:val="en-CA"/>
        </w:rPr>
      </w:pP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Acheson, R.M.  1954.  A method for assessing skeletal maturity from radiographs:  A report from the Oxford Child Health Survey.  </w:t>
      </w:r>
      <w:r w:rsidRPr="00667B89">
        <w:rPr>
          <w:rFonts w:asciiTheme="majorBidi" w:hAnsiTheme="majorBidi" w:cstheme="majorBidi"/>
          <w:i/>
          <w:color w:val="000000" w:themeColor="text1"/>
          <w:lang w:val="en-CA"/>
        </w:rPr>
        <w:t>Journal of Anatomy</w:t>
      </w:r>
      <w:r w:rsidRPr="00667B89">
        <w:rPr>
          <w:rFonts w:asciiTheme="majorBidi" w:hAnsiTheme="majorBidi" w:cstheme="majorBidi"/>
          <w:color w:val="000000" w:themeColor="text1"/>
          <w:lang w:val="en-CA"/>
        </w:rPr>
        <w:t xml:space="preserve"> 88</w:t>
      </w:r>
      <w:r w:rsidR="00FE3ED8">
        <w:rPr>
          <w:rFonts w:asciiTheme="majorBidi" w:hAnsiTheme="majorBidi" w:cstheme="majorBidi"/>
          <w:color w:val="000000" w:themeColor="text1"/>
          <w:lang w:val="en-CA"/>
        </w:rPr>
        <w:t>(4)</w:t>
      </w:r>
      <w:r w:rsidRPr="00667B89">
        <w:rPr>
          <w:rFonts w:asciiTheme="majorBidi" w:hAnsiTheme="majorBidi" w:cstheme="majorBidi"/>
          <w:color w:val="000000" w:themeColor="text1"/>
          <w:lang w:val="en-CA"/>
        </w:rPr>
        <w:t>: 498-508</w:t>
      </w:r>
      <w:r w:rsidR="002A5D37">
        <w:rPr>
          <w:rFonts w:asciiTheme="majorBidi" w:hAnsiTheme="majorBidi" w:cstheme="majorBidi"/>
          <w:color w:val="000000" w:themeColor="text1"/>
          <w:lang w:val="en-CA"/>
        </w:rPr>
        <w:t>.</w:t>
      </w:r>
    </w:p>
    <w:p w:rsidR="00A35CA0" w:rsidRPr="00CA5FBB" w:rsidRDefault="00CC3C93" w:rsidP="00CA5FBB">
      <w:pPr>
        <w:spacing w:before="120" w:line="240" w:lineRule="auto"/>
        <w:jc w:val="left"/>
        <w:rPr>
          <w:rFonts w:asciiTheme="majorBidi" w:hAnsiTheme="majorBidi" w:cstheme="majorBidi"/>
          <w:b/>
          <w:color w:val="000000" w:themeColor="text1"/>
          <w:lang w:val="en-CA"/>
        </w:rPr>
      </w:pPr>
      <w:r w:rsidRPr="00667B89">
        <w:rPr>
          <w:rFonts w:asciiTheme="majorBidi" w:hAnsiTheme="majorBidi" w:cstheme="majorBidi"/>
          <w:color w:val="000000" w:themeColor="text1"/>
          <w:lang w:val="en-CA"/>
        </w:rPr>
        <w:t xml:space="preserve">Acheson, R.M.  1957.  The Oxford method of assessing skeletal maturity.  </w:t>
      </w:r>
      <w:r w:rsidRPr="00667B89">
        <w:rPr>
          <w:rFonts w:asciiTheme="majorBidi" w:hAnsiTheme="majorBidi" w:cstheme="majorBidi"/>
          <w:i/>
          <w:color w:val="000000" w:themeColor="text1"/>
          <w:lang w:val="en-CA"/>
        </w:rPr>
        <w:t>Clinical Orthopaedics and Related Research</w:t>
      </w:r>
      <w:r>
        <w:rPr>
          <w:rFonts w:asciiTheme="majorBidi" w:hAnsiTheme="majorBidi" w:cstheme="majorBidi"/>
          <w:color w:val="000000" w:themeColor="text1"/>
          <w:lang w:val="en-CA"/>
        </w:rPr>
        <w:t xml:space="preserve"> 10:</w:t>
      </w:r>
      <w:r w:rsidR="00103756">
        <w:rPr>
          <w:rFonts w:asciiTheme="majorBidi" w:hAnsiTheme="majorBidi" w:cstheme="majorBidi"/>
          <w:color w:val="000000" w:themeColor="text1"/>
          <w:lang w:val="en-CA"/>
        </w:rPr>
        <w:t xml:space="preserve"> </w:t>
      </w:r>
      <w:r>
        <w:rPr>
          <w:rFonts w:asciiTheme="majorBidi" w:hAnsiTheme="majorBidi" w:cstheme="majorBidi"/>
          <w:color w:val="000000" w:themeColor="text1"/>
          <w:lang w:val="en-CA"/>
        </w:rPr>
        <w:t>19-39.</w:t>
      </w:r>
    </w:p>
    <w:p w:rsidR="00A35CA0" w:rsidRDefault="00CC3C93">
      <w:pPr>
        <w:spacing w:before="120" w:line="240" w:lineRule="auto"/>
        <w:jc w:val="left"/>
        <w:rPr>
          <w:lang w:val="en-CA"/>
        </w:rPr>
      </w:pPr>
      <w:r w:rsidRPr="00667B89">
        <w:rPr>
          <w:rFonts w:asciiTheme="majorBidi" w:hAnsiTheme="majorBidi" w:cstheme="majorBidi"/>
          <w:color w:val="000000"/>
          <w:lang w:val="en-CA"/>
        </w:rPr>
        <w:t xml:space="preserve">Albert, A.M.  Greene, D.L.  1999.  Bilateral asymmetry in skeletal growth and maturation as an indicator of environmental stress.  </w:t>
      </w:r>
      <w:r w:rsidRPr="00667B89">
        <w:rPr>
          <w:rFonts w:asciiTheme="majorBidi" w:hAnsiTheme="majorBidi" w:cstheme="majorBidi"/>
          <w:i/>
          <w:color w:val="000000"/>
          <w:lang w:val="en-CA"/>
        </w:rPr>
        <w:t xml:space="preserve">American Journal of Physical Anthropology </w:t>
      </w:r>
      <w:r w:rsidRPr="00667B89">
        <w:rPr>
          <w:rFonts w:asciiTheme="majorBidi" w:hAnsiTheme="majorBidi" w:cstheme="majorBidi"/>
          <w:color w:val="000000"/>
          <w:lang w:val="en-CA"/>
        </w:rPr>
        <w:t>110(3): 341-349</w:t>
      </w:r>
      <w:r w:rsidR="002A5D37">
        <w:rPr>
          <w:rFonts w:asciiTheme="majorBidi" w:hAnsiTheme="majorBidi" w:cstheme="majorBidi"/>
          <w:color w:val="000000"/>
          <w:lang w:val="en-CA"/>
        </w:rPr>
        <w:t>.</w:t>
      </w:r>
    </w:p>
    <w:p w:rsidR="00A35CA0" w:rsidRDefault="00CC3C93" w:rsidP="00CA5FBB">
      <w:pPr>
        <w:tabs>
          <w:tab w:val="left" w:pos="0"/>
          <w:tab w:val="left" w:pos="360"/>
        </w:tabs>
        <w:spacing w:before="120" w:line="240" w:lineRule="auto"/>
        <w:jc w:val="left"/>
      </w:pPr>
      <w:r w:rsidRPr="00A26557">
        <w:t>Alemseged</w:t>
      </w:r>
      <w:r>
        <w:t xml:space="preserve">, Z. </w:t>
      </w:r>
      <w:r w:rsidRPr="00A26557">
        <w:t>Spoor</w:t>
      </w:r>
      <w:r>
        <w:t>, F.</w:t>
      </w:r>
      <w:r w:rsidRPr="00A26557">
        <w:t xml:space="preserve"> Kimbel</w:t>
      </w:r>
      <w:r>
        <w:t>, W.H.</w:t>
      </w:r>
      <w:r w:rsidRPr="00A26557">
        <w:t xml:space="preserve"> Bobe</w:t>
      </w:r>
      <w:r>
        <w:t>, R.</w:t>
      </w:r>
      <w:r w:rsidRPr="00A26557">
        <w:t xml:space="preserve"> Geraads</w:t>
      </w:r>
      <w:r>
        <w:t>, D.</w:t>
      </w:r>
      <w:r w:rsidRPr="00A26557">
        <w:t xml:space="preserve"> Reed</w:t>
      </w:r>
      <w:r>
        <w:t xml:space="preserve">, D. </w:t>
      </w:r>
      <w:r w:rsidRPr="00A26557">
        <w:t>Wynn</w:t>
      </w:r>
      <w:r>
        <w:t>, J.G.  2006.  A</w:t>
      </w:r>
      <w:r w:rsidRPr="00A26557">
        <w:t xml:space="preserve"> juvenile early hominin skeleton from Dikika, Ethiopia</w:t>
      </w:r>
      <w:r>
        <w:t>.</w:t>
      </w:r>
      <w:r w:rsidRPr="00A26557">
        <w:t xml:space="preserve"> </w:t>
      </w:r>
      <w:r>
        <w:t xml:space="preserve"> </w:t>
      </w:r>
      <w:r w:rsidRPr="00A26557">
        <w:rPr>
          <w:i/>
        </w:rPr>
        <w:t>Nature</w:t>
      </w:r>
      <w:r w:rsidRPr="00A26557">
        <w:t xml:space="preserve"> 443</w:t>
      </w:r>
      <w:r>
        <w:t>:</w:t>
      </w:r>
      <w:r w:rsidRPr="00A26557">
        <w:t xml:space="preserve"> 296-301</w:t>
      </w:r>
      <w:r w:rsidR="002A5D37">
        <w:t>.</w:t>
      </w:r>
    </w:p>
    <w:p w:rsidR="00A35CA0" w:rsidRDefault="00CC3C93" w:rsidP="00CA5FBB">
      <w:pPr>
        <w:spacing w:before="120" w:line="240" w:lineRule="auto"/>
        <w:jc w:val="left"/>
        <w:rPr>
          <w:rFonts w:asciiTheme="majorBidi" w:hAnsiTheme="majorBidi" w:cstheme="majorBidi"/>
          <w:iCs/>
        </w:rPr>
      </w:pPr>
      <w:proofErr w:type="gramStart"/>
      <w:r w:rsidRPr="00667B89">
        <w:rPr>
          <w:rFonts w:asciiTheme="majorBidi" w:hAnsiTheme="majorBidi" w:cstheme="majorBidi"/>
          <w:iCs/>
        </w:rPr>
        <w:t>Almond, D.</w:t>
      </w:r>
      <w:proofErr w:type="gramEnd"/>
      <w:r w:rsidRPr="00667B89">
        <w:rPr>
          <w:rFonts w:asciiTheme="majorBidi" w:hAnsiTheme="majorBidi" w:cstheme="majorBidi"/>
          <w:iCs/>
        </w:rPr>
        <w:t xml:space="preserve">  Edlund, L.  2007.  Triver-Willard at birth and one year: evidence from US natality data 1983-2001.  </w:t>
      </w:r>
      <w:r w:rsidRPr="00667B89">
        <w:rPr>
          <w:rFonts w:asciiTheme="majorBidi" w:hAnsiTheme="majorBidi" w:cstheme="majorBidi"/>
          <w:i/>
          <w:iCs/>
        </w:rPr>
        <w:t>Proceedings of the Royal Society B</w:t>
      </w:r>
      <w:r w:rsidRPr="00667B89">
        <w:rPr>
          <w:rFonts w:asciiTheme="majorBidi" w:hAnsiTheme="majorBidi" w:cstheme="majorBidi"/>
          <w:iCs/>
        </w:rPr>
        <w:t xml:space="preserve"> 274(1624): 2491-2496</w:t>
      </w:r>
      <w:r w:rsidR="00FE3ED8">
        <w:rPr>
          <w:rFonts w:asciiTheme="majorBidi" w:hAnsiTheme="majorBidi" w:cstheme="majorBidi"/>
          <w:iCs/>
        </w:rPr>
        <w:t>.</w:t>
      </w:r>
    </w:p>
    <w:p w:rsidR="00A35CA0" w:rsidRDefault="00CC3C93" w:rsidP="00CA5FBB">
      <w:pPr>
        <w:tabs>
          <w:tab w:val="left" w:pos="0"/>
          <w:tab w:val="left" w:pos="360"/>
        </w:tabs>
        <w:spacing w:before="120" w:line="240" w:lineRule="auto"/>
        <w:jc w:val="left"/>
        <w:rPr>
          <w:rFonts w:asciiTheme="majorBidi" w:hAnsiTheme="majorBidi" w:cstheme="majorBidi"/>
          <w:color w:val="000000"/>
        </w:rPr>
      </w:pPr>
      <w:proofErr w:type="gramStart"/>
      <w:r>
        <w:rPr>
          <w:rFonts w:asciiTheme="majorBidi" w:hAnsiTheme="majorBidi" w:cstheme="majorBidi"/>
          <w:color w:val="000000"/>
        </w:rPr>
        <w:t>Anemone, R.L.</w:t>
      </w:r>
      <w:proofErr w:type="gramEnd"/>
      <w:r w:rsidRPr="008811CC">
        <w:rPr>
          <w:rFonts w:asciiTheme="majorBidi" w:hAnsiTheme="majorBidi" w:cstheme="majorBidi"/>
          <w:color w:val="000000"/>
        </w:rPr>
        <w:t xml:space="preserve"> </w:t>
      </w:r>
      <w:r>
        <w:rPr>
          <w:rFonts w:asciiTheme="majorBidi" w:hAnsiTheme="majorBidi" w:cstheme="majorBidi"/>
          <w:color w:val="000000"/>
        </w:rPr>
        <w:t xml:space="preserve"> Mooney, M.P.  Siegel, M.I. </w:t>
      </w:r>
      <w:r w:rsidRPr="008811CC">
        <w:rPr>
          <w:rFonts w:asciiTheme="majorBidi" w:hAnsiTheme="majorBidi" w:cstheme="majorBidi"/>
          <w:color w:val="000000"/>
        </w:rPr>
        <w:t xml:space="preserve"> 1996. </w:t>
      </w:r>
      <w:r>
        <w:rPr>
          <w:rFonts w:asciiTheme="majorBidi" w:hAnsiTheme="majorBidi" w:cstheme="majorBidi"/>
          <w:color w:val="000000"/>
        </w:rPr>
        <w:t xml:space="preserve"> </w:t>
      </w:r>
      <w:r w:rsidRPr="008811CC">
        <w:rPr>
          <w:rFonts w:asciiTheme="majorBidi" w:hAnsiTheme="majorBidi" w:cstheme="majorBidi"/>
          <w:color w:val="000000"/>
        </w:rPr>
        <w:t xml:space="preserve">Longitudinal study of dental development in chimpanzees of known </w:t>
      </w:r>
      <w:r>
        <w:rPr>
          <w:rFonts w:asciiTheme="majorBidi" w:hAnsiTheme="majorBidi" w:cstheme="majorBidi"/>
          <w:color w:val="000000"/>
        </w:rPr>
        <w:t xml:space="preserve">chronological age: implications </w:t>
      </w:r>
      <w:r w:rsidRPr="008811CC">
        <w:rPr>
          <w:rFonts w:asciiTheme="majorBidi" w:hAnsiTheme="majorBidi" w:cstheme="majorBidi"/>
          <w:color w:val="000000"/>
        </w:rPr>
        <w:t xml:space="preserve">for understanding the age at death for Plio-Pleistocene hominids. </w:t>
      </w:r>
      <w:r>
        <w:rPr>
          <w:rFonts w:asciiTheme="majorBidi" w:hAnsiTheme="majorBidi" w:cstheme="majorBidi"/>
          <w:i/>
          <w:color w:val="000000"/>
        </w:rPr>
        <w:t>American Journal of Physical Anthropology</w:t>
      </w:r>
      <w:r w:rsidRPr="008811CC">
        <w:rPr>
          <w:rFonts w:asciiTheme="majorBidi" w:hAnsiTheme="majorBidi" w:cstheme="majorBidi"/>
          <w:color w:val="000000"/>
        </w:rPr>
        <w:t xml:space="preserve"> 99</w:t>
      </w:r>
      <w:r>
        <w:rPr>
          <w:rFonts w:asciiTheme="majorBidi" w:hAnsiTheme="majorBidi" w:cstheme="majorBidi"/>
          <w:color w:val="000000"/>
        </w:rPr>
        <w:t xml:space="preserve">(1): </w:t>
      </w:r>
      <w:r w:rsidRPr="008811CC">
        <w:rPr>
          <w:rFonts w:asciiTheme="majorBidi" w:hAnsiTheme="majorBidi" w:cstheme="majorBidi"/>
          <w:color w:val="000000"/>
        </w:rPr>
        <w:t>119</w:t>
      </w:r>
      <w:r>
        <w:rPr>
          <w:rFonts w:asciiTheme="majorBidi" w:hAnsiTheme="majorBidi" w:cstheme="majorBidi"/>
          <w:color w:val="000000"/>
        </w:rPr>
        <w:t>-133</w:t>
      </w:r>
      <w:r w:rsidR="00FE3ED8">
        <w:rPr>
          <w:rFonts w:asciiTheme="majorBidi" w:hAnsiTheme="majorBidi" w:cstheme="majorBidi"/>
          <w:color w:val="000000"/>
        </w:rPr>
        <w:t>.</w:t>
      </w:r>
    </w:p>
    <w:p w:rsidR="00A35CA0" w:rsidRDefault="00CC3C93" w:rsidP="00CA5FBB">
      <w:pPr>
        <w:tabs>
          <w:tab w:val="left" w:pos="0"/>
          <w:tab w:val="left" w:pos="360"/>
        </w:tabs>
        <w:spacing w:before="120" w:line="240" w:lineRule="auto"/>
        <w:jc w:val="left"/>
        <w:rPr>
          <w:rFonts w:asciiTheme="majorBidi" w:hAnsiTheme="majorBidi" w:cstheme="majorBidi"/>
          <w:color w:val="000000"/>
          <w:u w:val="single"/>
        </w:rPr>
      </w:pPr>
      <w:proofErr w:type="gramStart"/>
      <w:r w:rsidRPr="00667B89">
        <w:rPr>
          <w:rFonts w:asciiTheme="majorBidi" w:hAnsiTheme="majorBidi" w:cstheme="majorBidi"/>
          <w:color w:val="000000"/>
        </w:rPr>
        <w:t>Anemone, R.L.</w:t>
      </w:r>
      <w:proofErr w:type="gramEnd"/>
      <w:r w:rsidRPr="00667B89">
        <w:rPr>
          <w:rFonts w:asciiTheme="majorBidi" w:hAnsiTheme="majorBidi" w:cstheme="majorBidi"/>
          <w:color w:val="000000"/>
        </w:rPr>
        <w:t xml:space="preserve">  Watts, E.S.  </w:t>
      </w:r>
      <w:proofErr w:type="gramStart"/>
      <w:r w:rsidRPr="00667B89">
        <w:rPr>
          <w:rFonts w:asciiTheme="majorBidi" w:hAnsiTheme="majorBidi" w:cstheme="majorBidi"/>
          <w:color w:val="000000"/>
        </w:rPr>
        <w:t>Swindler, D.R.</w:t>
      </w:r>
      <w:proofErr w:type="gramEnd"/>
      <w:r w:rsidRPr="00667B89">
        <w:rPr>
          <w:rFonts w:asciiTheme="majorBidi" w:hAnsiTheme="majorBidi" w:cstheme="majorBidi"/>
          <w:color w:val="000000"/>
        </w:rPr>
        <w:t xml:space="preserve">  1991.  Dental development of known-age chimpanzees, </w:t>
      </w:r>
      <w:r w:rsidRPr="00667B89">
        <w:rPr>
          <w:rStyle w:val="Emphasis"/>
          <w:rFonts w:asciiTheme="majorBidi" w:hAnsiTheme="majorBidi" w:cstheme="majorBidi"/>
          <w:color w:val="000000"/>
        </w:rPr>
        <w:t xml:space="preserve">Pan </w:t>
      </w:r>
      <w:proofErr w:type="gramStart"/>
      <w:r w:rsidRPr="00667B89">
        <w:rPr>
          <w:rStyle w:val="Emphasis"/>
          <w:rFonts w:asciiTheme="majorBidi" w:hAnsiTheme="majorBidi" w:cstheme="majorBidi"/>
          <w:color w:val="000000"/>
        </w:rPr>
        <w:t>troglodytes</w:t>
      </w:r>
      <w:proofErr w:type="gramEnd"/>
      <w:r w:rsidRPr="00667B89">
        <w:rPr>
          <w:rFonts w:asciiTheme="majorBidi" w:hAnsiTheme="majorBidi" w:cstheme="majorBidi"/>
          <w:color w:val="000000"/>
        </w:rPr>
        <w:t xml:space="preserve"> (primates, pongidae).  </w:t>
      </w:r>
      <w:proofErr w:type="gramStart"/>
      <w:r w:rsidRPr="00667B89">
        <w:rPr>
          <w:rFonts w:asciiTheme="majorBidi" w:hAnsiTheme="majorBidi" w:cstheme="majorBidi"/>
          <w:i/>
          <w:color w:val="000000"/>
        </w:rPr>
        <w:t xml:space="preserve">American Journal of Physical Anthropology </w:t>
      </w:r>
      <w:r>
        <w:rPr>
          <w:rFonts w:asciiTheme="majorBidi" w:hAnsiTheme="majorBidi" w:cstheme="majorBidi"/>
          <w:color w:val="000000"/>
        </w:rPr>
        <w:t>86(</w:t>
      </w:r>
      <w:r w:rsidRPr="00667B89">
        <w:rPr>
          <w:rFonts w:asciiTheme="majorBidi" w:hAnsiTheme="majorBidi" w:cstheme="majorBidi"/>
          <w:color w:val="000000"/>
        </w:rPr>
        <w:t>2</w:t>
      </w:r>
      <w:r>
        <w:rPr>
          <w:rFonts w:asciiTheme="majorBidi" w:hAnsiTheme="majorBidi" w:cstheme="majorBidi"/>
          <w:color w:val="000000"/>
        </w:rPr>
        <w:t>)</w:t>
      </w:r>
      <w:r w:rsidRPr="00667B89">
        <w:rPr>
          <w:rFonts w:asciiTheme="majorBidi" w:hAnsiTheme="majorBidi" w:cstheme="majorBidi"/>
          <w:color w:val="000000"/>
        </w:rPr>
        <w:t>:</w:t>
      </w:r>
      <w:r w:rsidR="00103756">
        <w:rPr>
          <w:rFonts w:asciiTheme="majorBidi" w:hAnsiTheme="majorBidi" w:cstheme="majorBidi"/>
          <w:color w:val="000000"/>
        </w:rPr>
        <w:t xml:space="preserve"> </w:t>
      </w:r>
      <w:r w:rsidRPr="00667B89">
        <w:rPr>
          <w:rFonts w:asciiTheme="majorBidi" w:hAnsiTheme="majorBidi" w:cstheme="majorBidi"/>
          <w:color w:val="000000"/>
        </w:rPr>
        <w:t>229-241</w:t>
      </w:r>
      <w:r w:rsidR="00FE3ED8">
        <w:rPr>
          <w:rFonts w:asciiTheme="majorBidi" w:hAnsiTheme="majorBidi" w:cstheme="majorBidi"/>
          <w:color w:val="000000"/>
        </w:rPr>
        <w:t>.</w:t>
      </w:r>
      <w:proofErr w:type="gramEnd"/>
    </w:p>
    <w:p w:rsidR="00A35CA0" w:rsidRDefault="00CC3C93" w:rsidP="00CA5FBB">
      <w:pPr>
        <w:autoSpaceDE w:val="0"/>
        <w:autoSpaceDN w:val="0"/>
        <w:adjustRightInd w:val="0"/>
        <w:spacing w:before="120" w:line="240" w:lineRule="auto"/>
        <w:jc w:val="left"/>
        <w:rPr>
          <w:rFonts w:asciiTheme="majorBidi" w:hAnsiTheme="majorBidi" w:cstheme="majorBidi"/>
          <w:color w:val="000000" w:themeColor="text1"/>
        </w:rPr>
      </w:pPr>
      <w:r w:rsidRPr="00667B89">
        <w:rPr>
          <w:rFonts w:asciiTheme="majorBidi" w:hAnsiTheme="majorBidi" w:cstheme="majorBidi"/>
          <w:color w:val="000000" w:themeColor="text1"/>
        </w:rPr>
        <w:t xml:space="preserve">Ashizawa, K.  Asami, T.  Anzo, M.  </w:t>
      </w:r>
      <w:r w:rsidRPr="00667B89">
        <w:rPr>
          <w:rFonts w:asciiTheme="majorBidi" w:hAnsiTheme="majorBidi" w:cstheme="majorBidi"/>
          <w:color w:val="000000" w:themeColor="text1"/>
          <w:lang w:val="it-IT"/>
        </w:rPr>
        <w:t xml:space="preserve">Matsuo, N.  Matsuoka, H.  Murata, M.  Ohtsuki, F.  Satoh, M.  Tanaka, H.  Tsukagoshi, K.  Tsukagoshi, T.  </w:t>
      </w:r>
      <w:r w:rsidRPr="00667B89">
        <w:rPr>
          <w:rFonts w:asciiTheme="majorBidi" w:hAnsiTheme="majorBidi" w:cstheme="majorBidi"/>
          <w:color w:val="000000" w:themeColor="text1"/>
        </w:rPr>
        <w:t xml:space="preserve">1996.  Standard RUS skeletal maturation of Tokyo children.  </w:t>
      </w:r>
      <w:r w:rsidRPr="00667B89">
        <w:rPr>
          <w:rFonts w:asciiTheme="majorBidi" w:hAnsiTheme="majorBidi" w:cstheme="majorBidi"/>
          <w:i/>
          <w:color w:val="000000" w:themeColor="text1"/>
        </w:rPr>
        <w:t>Annals of Human Biology</w:t>
      </w:r>
      <w:r w:rsidRPr="00667B89">
        <w:rPr>
          <w:rFonts w:asciiTheme="majorBidi" w:hAnsiTheme="majorBidi" w:cstheme="majorBidi"/>
          <w:color w:val="000000" w:themeColor="text1"/>
        </w:rPr>
        <w:t xml:space="preserve"> 23(6): 457-469</w:t>
      </w:r>
      <w:r w:rsidR="00FE3ED8">
        <w:rPr>
          <w:rFonts w:asciiTheme="majorBidi" w:hAnsiTheme="majorBidi" w:cstheme="majorBidi"/>
          <w:color w:val="000000" w:themeColor="text1"/>
        </w:rPr>
        <w:t>.</w:t>
      </w:r>
    </w:p>
    <w:p w:rsidR="00A35CA0" w:rsidRDefault="00CC3C93" w:rsidP="00CA5FBB">
      <w:pPr>
        <w:spacing w:before="120" w:line="240" w:lineRule="auto"/>
        <w:jc w:val="left"/>
      </w:pPr>
      <w:r w:rsidRPr="00C76894">
        <w:t xml:space="preserve">Auerbach, B.M.  </w:t>
      </w:r>
      <w:proofErr w:type="gramStart"/>
      <w:r w:rsidRPr="00C76894">
        <w:t>Ruff, C.B.</w:t>
      </w:r>
      <w:proofErr w:type="gramEnd"/>
      <w:r w:rsidRPr="00C76894">
        <w:t xml:space="preserve">  2006.  Limb bone bilateral asymmetry: variability and commonality among modern humans.  </w:t>
      </w:r>
      <w:r w:rsidRPr="00C76894">
        <w:rPr>
          <w:i/>
        </w:rPr>
        <w:t>Journal of Human Evolution</w:t>
      </w:r>
      <w:r w:rsidRPr="00C76894">
        <w:t xml:space="preserve"> 50(2): 203–218</w:t>
      </w:r>
      <w:r w:rsidR="008550F6">
        <w:t>.</w:t>
      </w:r>
    </w:p>
    <w:p w:rsidR="00A35CA0" w:rsidRDefault="00CC3C93" w:rsidP="00CA5FBB">
      <w:pPr>
        <w:tabs>
          <w:tab w:val="left" w:pos="360"/>
        </w:tabs>
        <w:spacing w:before="120" w:line="240" w:lineRule="auto"/>
        <w:jc w:val="left"/>
        <w:rPr>
          <w:noProof/>
          <w:color w:val="000000"/>
        </w:rPr>
      </w:pPr>
      <w:r w:rsidRPr="000E7BE2">
        <w:rPr>
          <w:noProof/>
          <w:color w:val="000000"/>
        </w:rPr>
        <w:t>Barros</w:t>
      </w:r>
      <w:r>
        <w:rPr>
          <w:noProof/>
          <w:color w:val="000000"/>
        </w:rPr>
        <w:t xml:space="preserve">, A.  </w:t>
      </w:r>
      <w:r w:rsidRPr="000E7BE2">
        <w:rPr>
          <w:noProof/>
          <w:color w:val="000000"/>
        </w:rPr>
        <w:t>Soligo</w:t>
      </w:r>
      <w:r>
        <w:rPr>
          <w:noProof/>
          <w:color w:val="000000"/>
        </w:rPr>
        <w:t xml:space="preserve">, C.  2013.  </w:t>
      </w:r>
      <w:r w:rsidRPr="000E7BE2">
        <w:rPr>
          <w:noProof/>
          <w:color w:val="000000"/>
        </w:rPr>
        <w:t>Bilateral Asymmetry of Humeral Torsion andLength in African Apes and Humans</w:t>
      </w:r>
      <w:r>
        <w:rPr>
          <w:noProof/>
          <w:color w:val="000000"/>
        </w:rPr>
        <w:t xml:space="preserve">.  </w:t>
      </w:r>
      <w:r>
        <w:rPr>
          <w:i/>
          <w:noProof/>
          <w:color w:val="000000"/>
        </w:rPr>
        <w:t xml:space="preserve">Folia Primatologica </w:t>
      </w:r>
      <w:r>
        <w:rPr>
          <w:noProof/>
          <w:color w:val="000000"/>
        </w:rPr>
        <w:t>84</w:t>
      </w:r>
      <w:r w:rsidR="008550F6">
        <w:rPr>
          <w:noProof/>
          <w:color w:val="000000"/>
        </w:rPr>
        <w:t>(3-5)</w:t>
      </w:r>
      <w:r>
        <w:rPr>
          <w:noProof/>
          <w:color w:val="000000"/>
        </w:rPr>
        <w:t>:</w:t>
      </w:r>
      <w:r w:rsidR="00103756">
        <w:rPr>
          <w:noProof/>
          <w:color w:val="000000"/>
        </w:rPr>
        <w:t xml:space="preserve"> </w:t>
      </w:r>
      <w:r>
        <w:rPr>
          <w:noProof/>
          <w:color w:val="000000"/>
        </w:rPr>
        <w:t>220-238</w:t>
      </w:r>
      <w:r w:rsidR="008550F6">
        <w:rPr>
          <w:noProof/>
          <w:color w:val="000000"/>
        </w:rPr>
        <w:t>.</w:t>
      </w:r>
    </w:p>
    <w:p w:rsidR="00A35CA0" w:rsidRDefault="00CC3C93" w:rsidP="00CA5FBB">
      <w:pPr>
        <w:tabs>
          <w:tab w:val="left" w:pos="360"/>
        </w:tabs>
        <w:spacing w:before="120" w:line="240" w:lineRule="auto"/>
        <w:jc w:val="left"/>
        <w:rPr>
          <w:noProof/>
          <w:color w:val="000000"/>
        </w:rPr>
      </w:pPr>
      <w:r w:rsidRPr="00CF4D30">
        <w:rPr>
          <w:noProof/>
          <w:color w:val="000000"/>
        </w:rPr>
        <w:t xml:space="preserve">Bastir, M.  Rosas, A.  2004.  Comparative ontogeny in humans and chimpanzees: Similarities, differences and paradoxes in postnatal growth and development of the skull.  </w:t>
      </w:r>
      <w:r w:rsidRPr="00CF4D30">
        <w:rPr>
          <w:i/>
          <w:noProof/>
          <w:color w:val="000000"/>
        </w:rPr>
        <w:t>Annals of Anatomy - Anatomischer Anzeiger</w:t>
      </w:r>
      <w:r w:rsidRPr="00CF4D30">
        <w:rPr>
          <w:noProof/>
          <w:color w:val="000000"/>
        </w:rPr>
        <w:t xml:space="preserve"> 186(5–6): 503–509</w:t>
      </w:r>
      <w:r w:rsidR="008550F6">
        <w:rPr>
          <w:noProof/>
          <w:color w:val="000000"/>
        </w:rPr>
        <w:t>.</w:t>
      </w:r>
    </w:p>
    <w:p w:rsidR="00A35CA0" w:rsidRDefault="006939E0" w:rsidP="00CA5FBB">
      <w:pPr>
        <w:spacing w:before="120" w:line="240" w:lineRule="auto"/>
        <w:jc w:val="left"/>
      </w:pPr>
      <w:r w:rsidRPr="00FC0E5E">
        <w:t xml:space="preserve">Berger, L.R.  </w:t>
      </w:r>
      <w:proofErr w:type="gramStart"/>
      <w:r w:rsidRPr="00FC0E5E">
        <w:t>de</w:t>
      </w:r>
      <w:proofErr w:type="gramEnd"/>
      <w:r w:rsidRPr="00FC0E5E">
        <w:t xml:space="preserve"> Ruiter, D.J. Churchill, S.E.  Schmid, P.  Carlson, K.J.  </w:t>
      </w:r>
      <w:proofErr w:type="gramStart"/>
      <w:r w:rsidRPr="00FC0E5E">
        <w:t>Dirks, P.H.G.M.</w:t>
      </w:r>
      <w:proofErr w:type="gramEnd"/>
      <w:r w:rsidRPr="00FC0E5E">
        <w:t xml:space="preserve">  Kibii, J.  2010. </w:t>
      </w:r>
      <w:r w:rsidRPr="009851EF">
        <w:rPr>
          <w:i/>
        </w:rPr>
        <w:t>Australopithecus sediba</w:t>
      </w:r>
      <w:r w:rsidRPr="00FC0E5E">
        <w:t xml:space="preserve">: A New Species of </w:t>
      </w:r>
      <w:r w:rsidRPr="009851EF">
        <w:rPr>
          <w:i/>
        </w:rPr>
        <w:t>Homo</w:t>
      </w:r>
      <w:r w:rsidRPr="00FC0E5E">
        <w:t xml:space="preserve">-Like Australopith from South Africa.  </w:t>
      </w:r>
      <w:r w:rsidRPr="009851EF">
        <w:rPr>
          <w:i/>
        </w:rPr>
        <w:t>Science</w:t>
      </w:r>
      <w:r w:rsidRPr="00FC0E5E">
        <w:t xml:space="preserve"> 5975(328): 195-204</w:t>
      </w:r>
      <w:r>
        <w:t>.</w:t>
      </w:r>
    </w:p>
    <w:p w:rsidR="00A35CA0" w:rsidRDefault="00CC3C93" w:rsidP="00CA5FBB">
      <w:pPr>
        <w:spacing w:before="120" w:line="240" w:lineRule="auto"/>
        <w:jc w:val="left"/>
        <w:rPr>
          <w:noProof/>
        </w:rPr>
      </w:pPr>
      <w:r>
        <w:rPr>
          <w:noProof/>
        </w:rPr>
        <w:t>Bermúdez De Castro</w:t>
      </w:r>
      <w:r w:rsidRPr="00DF0C26">
        <w:rPr>
          <w:noProof/>
        </w:rPr>
        <w:t>,</w:t>
      </w:r>
      <w:r>
        <w:rPr>
          <w:noProof/>
        </w:rPr>
        <w:t xml:space="preserve"> J.M.  </w:t>
      </w:r>
      <w:r w:rsidRPr="00DF0C26">
        <w:rPr>
          <w:noProof/>
        </w:rPr>
        <w:t>Nicolas</w:t>
      </w:r>
      <w:r>
        <w:rPr>
          <w:noProof/>
        </w:rPr>
        <w:t xml:space="preserve">, M.E.  1995.  </w:t>
      </w:r>
      <w:r w:rsidRPr="00DF0C26">
        <w:rPr>
          <w:noProof/>
        </w:rPr>
        <w:t>Posterior dental size reduction in h</w:t>
      </w:r>
      <w:r>
        <w:rPr>
          <w:noProof/>
        </w:rPr>
        <w:t xml:space="preserve">ominids: The Atapuerca evidence.  </w:t>
      </w:r>
      <w:r w:rsidRPr="00DF0C26">
        <w:rPr>
          <w:i/>
          <w:noProof/>
        </w:rPr>
        <w:t>American Journal of Physical Anthropology</w:t>
      </w:r>
      <w:r>
        <w:rPr>
          <w:noProof/>
        </w:rPr>
        <w:t xml:space="preserve"> </w:t>
      </w:r>
      <w:r w:rsidRPr="00DF0C26">
        <w:rPr>
          <w:noProof/>
        </w:rPr>
        <w:t>96</w:t>
      </w:r>
      <w:r>
        <w:rPr>
          <w:noProof/>
        </w:rPr>
        <w:t>(</w:t>
      </w:r>
      <w:r w:rsidRPr="00DF0C26">
        <w:rPr>
          <w:noProof/>
        </w:rPr>
        <w:t>4</w:t>
      </w:r>
      <w:r>
        <w:rPr>
          <w:noProof/>
        </w:rPr>
        <w:t>)</w:t>
      </w:r>
      <w:r w:rsidR="00103756">
        <w:rPr>
          <w:noProof/>
        </w:rPr>
        <w:t>:</w:t>
      </w:r>
      <w:r w:rsidRPr="00DF0C26">
        <w:rPr>
          <w:noProof/>
        </w:rPr>
        <w:t xml:space="preserve"> 335–356</w:t>
      </w:r>
      <w:r w:rsidR="008550F6">
        <w:rPr>
          <w:noProof/>
        </w:rPr>
        <w:t>.</w:t>
      </w:r>
    </w:p>
    <w:p w:rsidR="00A35CA0" w:rsidRDefault="00CC3C93" w:rsidP="00CA5FBB">
      <w:pPr>
        <w:autoSpaceDE w:val="0"/>
        <w:autoSpaceDN w:val="0"/>
        <w:adjustRightInd w:val="0"/>
        <w:spacing w:before="120" w:line="240" w:lineRule="auto"/>
        <w:jc w:val="left"/>
        <w:rPr>
          <w:rFonts w:asciiTheme="majorBidi" w:hAnsiTheme="majorBidi" w:cstheme="majorBidi"/>
        </w:rPr>
      </w:pPr>
      <w:proofErr w:type="gramStart"/>
      <w:r w:rsidRPr="00667B89">
        <w:rPr>
          <w:rFonts w:asciiTheme="majorBidi" w:hAnsiTheme="majorBidi" w:cstheme="majorBidi"/>
        </w:rPr>
        <w:t>Beunen.</w:t>
      </w:r>
      <w:proofErr w:type="gramEnd"/>
      <w:r w:rsidRPr="00667B89">
        <w:rPr>
          <w:rFonts w:asciiTheme="majorBidi" w:hAnsiTheme="majorBidi" w:cstheme="majorBidi"/>
        </w:rPr>
        <w:t xml:space="preserve"> G</w:t>
      </w:r>
      <w:proofErr w:type="gramStart"/>
      <w:r w:rsidRPr="00667B89">
        <w:rPr>
          <w:rFonts w:asciiTheme="majorBidi" w:hAnsiTheme="majorBidi" w:cstheme="majorBidi"/>
        </w:rPr>
        <w:t>,  Lefevre</w:t>
      </w:r>
      <w:proofErr w:type="gramEnd"/>
      <w:r w:rsidRPr="00667B89">
        <w:rPr>
          <w:rFonts w:asciiTheme="majorBidi" w:hAnsiTheme="majorBidi" w:cstheme="majorBidi"/>
        </w:rPr>
        <w:t>. J</w:t>
      </w:r>
      <w:proofErr w:type="gramStart"/>
      <w:r w:rsidRPr="00667B89">
        <w:rPr>
          <w:rFonts w:asciiTheme="majorBidi" w:hAnsiTheme="majorBidi" w:cstheme="majorBidi"/>
        </w:rPr>
        <w:t>,  Ostyn</w:t>
      </w:r>
      <w:proofErr w:type="gramEnd"/>
      <w:r w:rsidRPr="00667B89">
        <w:rPr>
          <w:rFonts w:asciiTheme="majorBidi" w:hAnsiTheme="majorBidi" w:cstheme="majorBidi"/>
        </w:rPr>
        <w:t>. M</w:t>
      </w:r>
      <w:proofErr w:type="gramStart"/>
      <w:r w:rsidRPr="00667B89">
        <w:rPr>
          <w:rFonts w:asciiTheme="majorBidi" w:hAnsiTheme="majorBidi" w:cstheme="majorBidi"/>
        </w:rPr>
        <w:t>,  Renson</w:t>
      </w:r>
      <w:proofErr w:type="gramEnd"/>
      <w:r w:rsidRPr="00667B89">
        <w:rPr>
          <w:rFonts w:asciiTheme="majorBidi" w:hAnsiTheme="majorBidi" w:cstheme="majorBidi"/>
        </w:rPr>
        <w:t>. R</w:t>
      </w:r>
      <w:proofErr w:type="gramStart"/>
      <w:r w:rsidRPr="00667B89">
        <w:rPr>
          <w:rFonts w:asciiTheme="majorBidi" w:hAnsiTheme="majorBidi" w:cstheme="majorBidi"/>
        </w:rPr>
        <w:t>,  Simons</w:t>
      </w:r>
      <w:proofErr w:type="gramEnd"/>
      <w:r w:rsidRPr="00667B89">
        <w:rPr>
          <w:rFonts w:asciiTheme="majorBidi" w:hAnsiTheme="majorBidi" w:cstheme="majorBidi"/>
        </w:rPr>
        <w:t>. J</w:t>
      </w:r>
      <w:proofErr w:type="gramStart"/>
      <w:r w:rsidRPr="00667B89">
        <w:rPr>
          <w:rFonts w:asciiTheme="majorBidi" w:hAnsiTheme="majorBidi" w:cstheme="majorBidi"/>
        </w:rPr>
        <w:t>,  Van</w:t>
      </w:r>
      <w:proofErr w:type="gramEnd"/>
      <w:r w:rsidRPr="00667B89">
        <w:rPr>
          <w:rFonts w:asciiTheme="majorBidi" w:hAnsiTheme="majorBidi" w:cstheme="majorBidi"/>
        </w:rPr>
        <w:t xml:space="preserve"> Gerven. </w:t>
      </w:r>
      <w:proofErr w:type="gramStart"/>
      <w:r w:rsidRPr="00667B89">
        <w:rPr>
          <w:rFonts w:asciiTheme="majorBidi" w:hAnsiTheme="majorBidi" w:cstheme="majorBidi"/>
        </w:rPr>
        <w:t>D.  1990</w:t>
      </w:r>
      <w:proofErr w:type="gramEnd"/>
      <w:r w:rsidRPr="00667B89">
        <w:rPr>
          <w:rFonts w:asciiTheme="majorBidi" w:hAnsiTheme="majorBidi" w:cstheme="majorBidi"/>
        </w:rPr>
        <w:t xml:space="preserve">. </w:t>
      </w:r>
      <w:r w:rsidR="00CB2300">
        <w:rPr>
          <w:rFonts w:asciiTheme="majorBidi" w:hAnsiTheme="majorBidi" w:cstheme="majorBidi"/>
        </w:rPr>
        <w:t xml:space="preserve"> </w:t>
      </w:r>
      <w:proofErr w:type="gramStart"/>
      <w:r w:rsidRPr="00667B89">
        <w:rPr>
          <w:rFonts w:asciiTheme="majorBidi" w:hAnsiTheme="majorBidi" w:cstheme="majorBidi"/>
        </w:rPr>
        <w:t>Skeletal maturity in Belgian youths assessed by the Tanner-Whitehouse method (TW2).</w:t>
      </w:r>
      <w:proofErr w:type="gramEnd"/>
      <w:r w:rsidRPr="00667B89">
        <w:rPr>
          <w:rFonts w:asciiTheme="majorBidi" w:hAnsiTheme="majorBidi" w:cstheme="majorBidi"/>
        </w:rPr>
        <w:t xml:space="preserve"> </w:t>
      </w:r>
      <w:r w:rsidRPr="00667B89">
        <w:rPr>
          <w:rFonts w:asciiTheme="majorBidi" w:hAnsiTheme="majorBidi" w:cstheme="majorBidi"/>
          <w:i/>
        </w:rPr>
        <w:t>Annals of Human Biology</w:t>
      </w:r>
      <w:r w:rsidRPr="00667B89">
        <w:rPr>
          <w:rFonts w:asciiTheme="majorBidi" w:hAnsiTheme="majorBidi" w:cstheme="majorBidi"/>
        </w:rPr>
        <w:t xml:space="preserve"> 17</w:t>
      </w:r>
      <w:r w:rsidR="00CB2300">
        <w:rPr>
          <w:rFonts w:asciiTheme="majorBidi" w:hAnsiTheme="majorBidi" w:cstheme="majorBidi"/>
        </w:rPr>
        <w:t>(5)</w:t>
      </w:r>
      <w:r w:rsidRPr="00667B89">
        <w:rPr>
          <w:rFonts w:asciiTheme="majorBidi" w:hAnsiTheme="majorBidi" w:cstheme="majorBidi"/>
        </w:rPr>
        <w:t>: 355–376</w:t>
      </w:r>
      <w:r w:rsidR="008550F6">
        <w:rPr>
          <w:rFonts w:asciiTheme="majorBidi" w:hAnsiTheme="majorBidi" w:cstheme="majorBidi"/>
        </w:rPr>
        <w:t>.</w:t>
      </w:r>
    </w:p>
    <w:p w:rsidR="00A35CA0" w:rsidRDefault="00CC3C93" w:rsidP="00CA5FBB">
      <w:pPr>
        <w:spacing w:before="120" w:line="240" w:lineRule="auto"/>
        <w:jc w:val="left"/>
        <w:rPr>
          <w:noProof/>
        </w:rPr>
      </w:pPr>
      <w:r w:rsidRPr="00CD44DB">
        <w:rPr>
          <w:noProof/>
        </w:rPr>
        <w:t xml:space="preserve">Beynon, A.D.  Dean, M.C.  Reid D.J.  1991.  Histological study on the chronology of the developing dentition in gorilla and orangutan.  </w:t>
      </w:r>
      <w:r w:rsidRPr="00CD44DB">
        <w:rPr>
          <w:i/>
          <w:noProof/>
        </w:rPr>
        <w:t>American Journal of Physical Anthropology</w:t>
      </w:r>
      <w:r w:rsidRPr="00CD44DB">
        <w:rPr>
          <w:noProof/>
        </w:rPr>
        <w:t xml:space="preserve"> 86(2):</w:t>
      </w:r>
      <w:r w:rsidR="00103756">
        <w:rPr>
          <w:noProof/>
        </w:rPr>
        <w:t xml:space="preserve"> </w:t>
      </w:r>
      <w:r w:rsidRPr="00CD44DB">
        <w:rPr>
          <w:noProof/>
        </w:rPr>
        <w:t>189-203</w:t>
      </w:r>
      <w:r w:rsidR="004F3ABF">
        <w:rPr>
          <w:noProof/>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011C31">
        <w:rPr>
          <w:rFonts w:asciiTheme="majorBidi" w:hAnsiTheme="majorBidi" w:cstheme="majorBidi"/>
          <w:lang w:val="sv-SE"/>
        </w:rPr>
        <w:t xml:space="preserve">Bininda-Emonds, O. R. P.  </w:t>
      </w:r>
      <w:r w:rsidRPr="00667B89">
        <w:rPr>
          <w:rFonts w:asciiTheme="majorBidi" w:hAnsiTheme="majorBidi" w:cstheme="majorBidi"/>
        </w:rPr>
        <w:t xml:space="preserve">Jeffery, J. E.  </w:t>
      </w:r>
      <w:proofErr w:type="gramStart"/>
      <w:r w:rsidRPr="00667B89">
        <w:rPr>
          <w:rFonts w:asciiTheme="majorBidi" w:hAnsiTheme="majorBidi" w:cstheme="majorBidi"/>
        </w:rPr>
        <w:t>Coates, M. I.</w:t>
      </w:r>
      <w:proofErr w:type="gramEnd"/>
      <w:r w:rsidRPr="00667B89">
        <w:rPr>
          <w:rFonts w:asciiTheme="majorBidi" w:hAnsiTheme="majorBidi" w:cstheme="majorBidi"/>
        </w:rPr>
        <w:t xml:space="preserve">  Richardson, M. K.  2002.  From Haeckel to event-pairing: the evolution of developmental sequences. </w:t>
      </w:r>
      <w:r w:rsidRPr="00667B89">
        <w:rPr>
          <w:rFonts w:asciiTheme="majorBidi" w:hAnsiTheme="majorBidi" w:cstheme="majorBidi"/>
          <w:i/>
        </w:rPr>
        <w:t>Theory Biosciences</w:t>
      </w:r>
      <w:r w:rsidRPr="00667B89">
        <w:rPr>
          <w:rFonts w:asciiTheme="majorBidi" w:hAnsiTheme="majorBidi" w:cstheme="majorBidi"/>
        </w:rPr>
        <w:t xml:space="preserve"> 121: 297–320</w:t>
      </w:r>
      <w:r w:rsidR="001E5F64">
        <w:rPr>
          <w:rFonts w:asciiTheme="majorBidi" w:hAnsiTheme="majorBidi" w:cstheme="majorBidi"/>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52522">
        <w:rPr>
          <w:rFonts w:asciiTheme="majorBidi" w:hAnsiTheme="majorBidi" w:cstheme="majorBidi"/>
          <w:bCs/>
          <w:lang w:val="sv-SE"/>
        </w:rPr>
        <w:t xml:space="preserve">Bininda-Emonds, O.R.P.   </w:t>
      </w:r>
      <w:r w:rsidRPr="00667B89">
        <w:rPr>
          <w:rFonts w:asciiTheme="majorBidi" w:hAnsiTheme="majorBidi" w:cstheme="majorBidi"/>
          <w:bCs/>
        </w:rPr>
        <w:t xml:space="preserve">Jeffrey, J.E.  Richardson, M.K.  2004.  Is Sequence Heterochrony an Important Evolutionary Mechanism in Mammals?  </w:t>
      </w:r>
      <w:r w:rsidRPr="00667B89">
        <w:rPr>
          <w:rFonts w:asciiTheme="majorBidi" w:hAnsiTheme="majorBidi" w:cstheme="majorBidi"/>
          <w:bCs/>
          <w:i/>
        </w:rPr>
        <w:t xml:space="preserve">Journal of Mammalian Evolution </w:t>
      </w:r>
      <w:r w:rsidRPr="00667B89">
        <w:rPr>
          <w:rFonts w:asciiTheme="majorBidi" w:hAnsiTheme="majorBidi" w:cstheme="majorBidi"/>
        </w:rPr>
        <w:t>10(4): 335-361</w:t>
      </w:r>
      <w:r w:rsidR="001E5F64">
        <w:rPr>
          <w:rFonts w:asciiTheme="majorBidi" w:hAnsiTheme="majorBidi" w:cstheme="majorBidi"/>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sidRPr="00667B89">
        <w:rPr>
          <w:rFonts w:asciiTheme="majorBidi" w:hAnsiTheme="majorBidi" w:cstheme="majorBidi"/>
          <w:noProof/>
          <w:color w:val="000000"/>
        </w:rPr>
        <w:lastRenderedPageBreak/>
        <w:t xml:space="preserve">Bisgard, J.D.  Bisgard, M.E.  1935.  Longitudinal growth of long bones.  </w:t>
      </w:r>
      <w:r w:rsidRPr="00667B89">
        <w:rPr>
          <w:rFonts w:asciiTheme="majorBidi" w:hAnsiTheme="majorBidi" w:cstheme="majorBidi"/>
          <w:i/>
          <w:noProof/>
          <w:color w:val="000000"/>
        </w:rPr>
        <w:t>Archives of Surgery</w:t>
      </w:r>
      <w:r w:rsidRPr="00667B89">
        <w:rPr>
          <w:rFonts w:asciiTheme="majorBidi" w:hAnsiTheme="majorBidi" w:cstheme="majorBidi"/>
          <w:noProof/>
          <w:color w:val="000000"/>
        </w:rPr>
        <w:t xml:space="preserve"> 31</w:t>
      </w:r>
      <w:r w:rsidR="001E5F64">
        <w:rPr>
          <w:rFonts w:asciiTheme="majorBidi" w:hAnsiTheme="majorBidi" w:cstheme="majorBidi"/>
          <w:noProof/>
          <w:color w:val="000000"/>
        </w:rPr>
        <w:t>(4)</w:t>
      </w:r>
      <w:r w:rsidRPr="00667B89">
        <w:rPr>
          <w:rFonts w:asciiTheme="majorBidi" w:hAnsiTheme="majorBidi" w:cstheme="majorBidi"/>
          <w:noProof/>
          <w:color w:val="000000"/>
        </w:rPr>
        <w:t>:</w:t>
      </w:r>
      <w:r w:rsidR="00103756">
        <w:rPr>
          <w:rFonts w:asciiTheme="majorBidi" w:hAnsiTheme="majorBidi" w:cstheme="majorBidi"/>
          <w:noProof/>
          <w:color w:val="000000"/>
        </w:rPr>
        <w:t xml:space="preserve"> </w:t>
      </w:r>
      <w:r w:rsidRPr="00667B89">
        <w:rPr>
          <w:rFonts w:asciiTheme="majorBidi" w:hAnsiTheme="majorBidi" w:cstheme="majorBidi"/>
          <w:noProof/>
          <w:color w:val="000000"/>
        </w:rPr>
        <w:t>568-578</w:t>
      </w:r>
      <w:r w:rsidR="00DF138E">
        <w:rPr>
          <w:rFonts w:asciiTheme="majorBidi" w:hAnsiTheme="majorBidi" w:cstheme="majorBidi"/>
          <w:noProof/>
          <w:color w:val="000000"/>
        </w:rPr>
        <w:t>.</w:t>
      </w:r>
    </w:p>
    <w:p w:rsidR="00A35CA0" w:rsidRDefault="00CC3C93" w:rsidP="00CA5FBB">
      <w:pPr>
        <w:autoSpaceDE w:val="0"/>
        <w:autoSpaceDN w:val="0"/>
        <w:adjustRightInd w:val="0"/>
        <w:spacing w:before="120" w:line="240" w:lineRule="auto"/>
        <w:jc w:val="left"/>
        <w:rPr>
          <w:rFonts w:asciiTheme="majorBidi" w:hAnsiTheme="majorBidi" w:cstheme="majorBidi"/>
          <w:color w:val="000000" w:themeColor="text1"/>
        </w:rPr>
      </w:pPr>
      <w:r w:rsidRPr="00667B89">
        <w:rPr>
          <w:rFonts w:asciiTheme="majorBidi" w:hAnsiTheme="majorBidi" w:cstheme="majorBidi"/>
          <w:color w:val="000000" w:themeColor="text1"/>
        </w:rPr>
        <w:t xml:space="preserve">Blomquist, G.E.  2009.  Brief Communication: Methods of Sequence Heterochrony for Describing Modular Developmental Changes in Human Evolution.  </w:t>
      </w:r>
      <w:r w:rsidRPr="00667B89">
        <w:rPr>
          <w:rFonts w:asciiTheme="majorBidi" w:hAnsiTheme="majorBidi" w:cstheme="majorBidi"/>
          <w:i/>
          <w:color w:val="000000" w:themeColor="text1"/>
        </w:rPr>
        <w:t>American Journal of Physical Anthropology</w:t>
      </w:r>
      <w:r w:rsidRPr="00667B89">
        <w:rPr>
          <w:rFonts w:asciiTheme="majorBidi" w:hAnsiTheme="majorBidi" w:cstheme="majorBidi"/>
          <w:color w:val="000000" w:themeColor="text1"/>
        </w:rPr>
        <w:t xml:space="preserve"> 138</w:t>
      </w:r>
      <w:r w:rsidR="00ED796B">
        <w:rPr>
          <w:rFonts w:asciiTheme="majorBidi" w:hAnsiTheme="majorBidi" w:cstheme="majorBidi"/>
          <w:color w:val="000000" w:themeColor="text1"/>
        </w:rPr>
        <w:t>(2)</w:t>
      </w:r>
      <w:r w:rsidRPr="00667B89">
        <w:rPr>
          <w:rFonts w:asciiTheme="majorBidi" w:hAnsiTheme="majorBidi" w:cstheme="majorBidi"/>
          <w:color w:val="000000" w:themeColor="text1"/>
        </w:rPr>
        <w:t>: 231-238</w:t>
      </w:r>
      <w:r w:rsidR="007E7FC4">
        <w:rPr>
          <w:rFonts w:asciiTheme="majorBidi" w:hAnsiTheme="majorBidi" w:cstheme="majorBidi"/>
          <w:color w:val="000000" w:themeColor="text1"/>
        </w:rPr>
        <w:t>.</w:t>
      </w:r>
    </w:p>
    <w:p w:rsidR="00A35CA0" w:rsidRDefault="00CC3C93" w:rsidP="00CA5FBB">
      <w:pPr>
        <w:spacing w:before="120" w:line="240" w:lineRule="auto"/>
        <w:jc w:val="left"/>
        <w:rPr>
          <w:noProof/>
        </w:rPr>
      </w:pPr>
      <w:r w:rsidRPr="00E85744">
        <w:rPr>
          <w:noProof/>
        </w:rPr>
        <w:t>Bock</w:t>
      </w:r>
      <w:r>
        <w:rPr>
          <w:noProof/>
        </w:rPr>
        <w:t>,</w:t>
      </w:r>
      <w:r w:rsidRPr="00E85744">
        <w:rPr>
          <w:noProof/>
        </w:rPr>
        <w:t xml:space="preserve"> R</w:t>
      </w:r>
      <w:r>
        <w:rPr>
          <w:noProof/>
        </w:rPr>
        <w:t>.</w:t>
      </w:r>
      <w:r w:rsidRPr="00E85744">
        <w:rPr>
          <w:noProof/>
        </w:rPr>
        <w:t>D</w:t>
      </w:r>
      <w:r>
        <w:rPr>
          <w:noProof/>
        </w:rPr>
        <w:t>.</w:t>
      </w:r>
      <w:r w:rsidRPr="00E85744">
        <w:rPr>
          <w:noProof/>
        </w:rPr>
        <w:t xml:space="preserve"> </w:t>
      </w:r>
      <w:r>
        <w:rPr>
          <w:noProof/>
        </w:rPr>
        <w:t xml:space="preserve"> </w:t>
      </w:r>
      <w:r w:rsidRPr="00E85744">
        <w:rPr>
          <w:noProof/>
        </w:rPr>
        <w:t>Thissen</w:t>
      </w:r>
      <w:r>
        <w:rPr>
          <w:noProof/>
        </w:rPr>
        <w:t>,</w:t>
      </w:r>
      <w:r w:rsidRPr="00E85744">
        <w:rPr>
          <w:noProof/>
        </w:rPr>
        <w:t xml:space="preserve"> D</w:t>
      </w:r>
      <w:r>
        <w:rPr>
          <w:noProof/>
        </w:rPr>
        <w:t xml:space="preserve">.  1980.  </w:t>
      </w:r>
      <w:r w:rsidRPr="00E85744">
        <w:rPr>
          <w:i/>
          <w:noProof/>
        </w:rPr>
        <w:t>Statistical problems of fitting individual growth curves</w:t>
      </w:r>
      <w:r>
        <w:rPr>
          <w:noProof/>
        </w:rPr>
        <w:t xml:space="preserve">. In Johnston, F.E.  </w:t>
      </w:r>
      <w:r w:rsidRPr="00E85744">
        <w:rPr>
          <w:noProof/>
        </w:rPr>
        <w:t>Roche,</w:t>
      </w:r>
      <w:r>
        <w:rPr>
          <w:noProof/>
        </w:rPr>
        <w:t xml:space="preserve"> A.F.  </w:t>
      </w:r>
      <w:r w:rsidRPr="00E85744">
        <w:rPr>
          <w:noProof/>
        </w:rPr>
        <w:t>Susann</w:t>
      </w:r>
      <w:r>
        <w:rPr>
          <w:noProof/>
        </w:rPr>
        <w:t xml:space="preserve">e, C. (eds.)  Human Physical Growth </w:t>
      </w:r>
      <w:r w:rsidRPr="00E85744">
        <w:rPr>
          <w:noProof/>
        </w:rPr>
        <w:t>and Maturation,</w:t>
      </w:r>
      <w:r>
        <w:rPr>
          <w:noProof/>
        </w:rPr>
        <w:t xml:space="preserve"> Methodologies and Factors. </w:t>
      </w:r>
      <w:r w:rsidRPr="00E85744">
        <w:rPr>
          <w:noProof/>
        </w:rPr>
        <w:t>Plenum</w:t>
      </w:r>
      <w:r>
        <w:rPr>
          <w:noProof/>
        </w:rPr>
        <w:t>: New York. pp. 265–290</w:t>
      </w:r>
      <w:r w:rsidR="007E7FC4">
        <w:rPr>
          <w:noProof/>
        </w:rPr>
        <w:t>.</w:t>
      </w:r>
    </w:p>
    <w:p w:rsidR="00A35CA0" w:rsidRDefault="00CC3C93" w:rsidP="00CA5FBB">
      <w:pPr>
        <w:spacing w:before="120" w:line="240" w:lineRule="auto"/>
        <w:jc w:val="left"/>
        <w:rPr>
          <w:noProof/>
        </w:rPr>
      </w:pPr>
      <w:r w:rsidRPr="000F72FE">
        <w:rPr>
          <w:noProof/>
        </w:rPr>
        <w:t xml:space="preserve">Boesch C, Boesch-Achermann H. </w:t>
      </w:r>
      <w:r>
        <w:rPr>
          <w:noProof/>
        </w:rPr>
        <w:t xml:space="preserve"> </w:t>
      </w:r>
      <w:r w:rsidRPr="000F72FE">
        <w:rPr>
          <w:noProof/>
        </w:rPr>
        <w:t xml:space="preserve">2000. </w:t>
      </w:r>
      <w:r>
        <w:rPr>
          <w:noProof/>
        </w:rPr>
        <w:t xml:space="preserve"> The chimpanzees of </w:t>
      </w:r>
      <w:r w:rsidRPr="000F72FE">
        <w:rPr>
          <w:noProof/>
        </w:rPr>
        <w:t>the Tai Forest: behavio</w:t>
      </w:r>
      <w:r>
        <w:rPr>
          <w:noProof/>
        </w:rPr>
        <w:t xml:space="preserve">ural ecology and evolution. New </w:t>
      </w:r>
      <w:r w:rsidRPr="000F72FE">
        <w:rPr>
          <w:noProof/>
        </w:rPr>
        <w:t xml:space="preserve">York: Oxford University Press. </w:t>
      </w:r>
      <w:r>
        <w:rPr>
          <w:noProof/>
        </w:rPr>
        <w:t>p.</w:t>
      </w:r>
      <w:r w:rsidRPr="000F72FE">
        <w:rPr>
          <w:noProof/>
        </w:rPr>
        <w:t>316</w:t>
      </w:r>
      <w:r w:rsidR="007E7FC4">
        <w:rPr>
          <w:noProof/>
        </w:rPr>
        <w:t>.</w:t>
      </w:r>
    </w:p>
    <w:p w:rsidR="00A35CA0" w:rsidRDefault="00CC3C93" w:rsidP="00CA5FBB">
      <w:pPr>
        <w:tabs>
          <w:tab w:val="left" w:pos="360"/>
        </w:tabs>
        <w:spacing w:before="120" w:line="240" w:lineRule="auto"/>
        <w:jc w:val="left"/>
        <w:rPr>
          <w:noProof/>
          <w:color w:val="000000" w:themeColor="text1"/>
        </w:rPr>
      </w:pPr>
      <w:r>
        <w:rPr>
          <w:noProof/>
          <w:color w:val="000000"/>
        </w:rPr>
        <w:t>Bogin, B.A.</w:t>
      </w:r>
      <w:r w:rsidRPr="002F6C68">
        <w:rPr>
          <w:noProof/>
          <w:color w:val="000000" w:themeColor="text1"/>
        </w:rPr>
        <w:t xml:space="preserve">  1988.  </w:t>
      </w:r>
      <w:r w:rsidRPr="002F6C68">
        <w:rPr>
          <w:i/>
          <w:noProof/>
          <w:color w:val="000000" w:themeColor="text1"/>
        </w:rPr>
        <w:t>Patterns of Human Growth</w:t>
      </w:r>
      <w:r w:rsidRPr="002F6C68">
        <w:rPr>
          <w:noProof/>
          <w:color w:val="000000" w:themeColor="text1"/>
        </w:rPr>
        <w:t>.  Cambridge University Press: Cambridge</w:t>
      </w:r>
      <w:r w:rsidR="007E7FC4">
        <w:rPr>
          <w:noProof/>
          <w:color w:val="000000" w:themeColor="text1"/>
        </w:rPr>
        <w:t>.</w:t>
      </w:r>
    </w:p>
    <w:p w:rsidR="00A35CA0" w:rsidRDefault="00CC3C93" w:rsidP="00CA5FBB">
      <w:pPr>
        <w:autoSpaceDE w:val="0"/>
        <w:autoSpaceDN w:val="0"/>
        <w:adjustRightInd w:val="0"/>
        <w:spacing w:before="120" w:line="240" w:lineRule="auto"/>
        <w:jc w:val="left"/>
        <w:rPr>
          <w:rFonts w:asciiTheme="majorBidi" w:hAnsiTheme="majorBidi" w:cstheme="majorBidi"/>
          <w:color w:val="000000" w:themeColor="text1"/>
        </w:rPr>
      </w:pPr>
      <w:r w:rsidRPr="002F6C68">
        <w:rPr>
          <w:rFonts w:asciiTheme="majorBidi" w:hAnsiTheme="majorBidi" w:cstheme="majorBidi"/>
          <w:color w:val="000000" w:themeColor="text1"/>
        </w:rPr>
        <w:t xml:space="preserve">Bogin, B.A.  1990.  The evolution of human childhood.  </w:t>
      </w:r>
      <w:r w:rsidRPr="002F6C68">
        <w:rPr>
          <w:rFonts w:asciiTheme="majorBidi" w:hAnsiTheme="majorBidi" w:cstheme="majorBidi"/>
          <w:i/>
          <w:color w:val="000000" w:themeColor="text1"/>
        </w:rPr>
        <w:t>BioScience</w:t>
      </w:r>
      <w:r w:rsidRPr="002F6C68">
        <w:rPr>
          <w:rFonts w:asciiTheme="majorBidi" w:hAnsiTheme="majorBidi" w:cstheme="majorBidi"/>
          <w:color w:val="000000" w:themeColor="text1"/>
        </w:rPr>
        <w:t xml:space="preserve"> 40</w:t>
      </w:r>
      <w:r w:rsidR="00B13352">
        <w:rPr>
          <w:rFonts w:asciiTheme="majorBidi" w:hAnsiTheme="majorBidi" w:cstheme="majorBidi"/>
          <w:color w:val="000000" w:themeColor="text1"/>
        </w:rPr>
        <w:t>(1)</w:t>
      </w:r>
      <w:r w:rsidRPr="002F6C68">
        <w:rPr>
          <w:rFonts w:asciiTheme="majorBidi" w:hAnsiTheme="majorBidi" w:cstheme="majorBidi"/>
          <w:color w:val="000000" w:themeColor="text1"/>
        </w:rPr>
        <w:t>:</w:t>
      </w:r>
      <w:r w:rsidR="00103756">
        <w:rPr>
          <w:rFonts w:asciiTheme="majorBidi" w:hAnsiTheme="majorBidi" w:cstheme="majorBidi"/>
          <w:color w:val="000000" w:themeColor="text1"/>
        </w:rPr>
        <w:t xml:space="preserve"> </w:t>
      </w:r>
      <w:r w:rsidRPr="002F6C68">
        <w:rPr>
          <w:rFonts w:asciiTheme="majorBidi" w:hAnsiTheme="majorBidi" w:cstheme="majorBidi"/>
          <w:color w:val="000000" w:themeColor="text1"/>
        </w:rPr>
        <w:t>16–25</w:t>
      </w:r>
      <w:r w:rsidR="007E7FC4">
        <w:rPr>
          <w:rFonts w:asciiTheme="majorBidi" w:hAnsiTheme="majorBidi" w:cstheme="majorBidi"/>
          <w:color w:val="000000" w:themeColor="text1"/>
        </w:rPr>
        <w:t>.</w:t>
      </w:r>
    </w:p>
    <w:p w:rsidR="00A35CA0" w:rsidRDefault="00CC3C93" w:rsidP="00CA5FBB">
      <w:pPr>
        <w:pStyle w:val="ListParagraph"/>
        <w:spacing w:before="120" w:line="240" w:lineRule="auto"/>
        <w:ind w:left="0"/>
        <w:jc w:val="left"/>
        <w:rPr>
          <w:color w:val="000000" w:themeColor="text1"/>
          <w:lang w:val="en-CA"/>
        </w:rPr>
      </w:pPr>
      <w:r w:rsidRPr="002F6C68">
        <w:rPr>
          <w:color w:val="000000" w:themeColor="text1"/>
          <w:lang w:val="en-CA"/>
        </w:rPr>
        <w:t xml:space="preserve">Bogin, B.A.  1991.  Measurement of growth variability and environmental quality in Guatemalan children.  </w:t>
      </w:r>
      <w:r w:rsidRPr="002F6C68">
        <w:rPr>
          <w:i/>
          <w:color w:val="000000" w:themeColor="text1"/>
          <w:lang w:val="en-CA"/>
        </w:rPr>
        <w:t>Annals of Human Biology</w:t>
      </w:r>
      <w:r w:rsidRPr="002F6C68">
        <w:rPr>
          <w:color w:val="000000" w:themeColor="text1"/>
          <w:lang w:val="en-CA"/>
        </w:rPr>
        <w:t xml:space="preserve"> 18(4): 285-294</w:t>
      </w:r>
      <w:r w:rsidR="007E7FC4">
        <w:rPr>
          <w:color w:val="000000" w:themeColor="text1"/>
          <w:lang w:val="en-CA"/>
        </w:rPr>
        <w:t>.</w:t>
      </w:r>
    </w:p>
    <w:p w:rsidR="00A35CA0" w:rsidRDefault="00CC3C93" w:rsidP="00CA5FBB">
      <w:pPr>
        <w:tabs>
          <w:tab w:val="left" w:pos="360"/>
        </w:tabs>
        <w:spacing w:before="120" w:line="240" w:lineRule="auto"/>
        <w:jc w:val="left"/>
        <w:rPr>
          <w:noProof/>
          <w:color w:val="000000"/>
        </w:rPr>
      </w:pPr>
      <w:r w:rsidRPr="002F6C68">
        <w:rPr>
          <w:noProof/>
          <w:color w:val="000000" w:themeColor="text1"/>
        </w:rPr>
        <w:t>Bogin, B.A.</w:t>
      </w:r>
      <w:r>
        <w:rPr>
          <w:noProof/>
          <w:color w:val="000000"/>
        </w:rPr>
        <w:t xml:space="preserve">  1997.  Evolutionary hypotheses for human childhood.  </w:t>
      </w:r>
      <w:r>
        <w:rPr>
          <w:i/>
          <w:noProof/>
          <w:color w:val="000000"/>
        </w:rPr>
        <w:t>American Journal of Physical Anthropology</w:t>
      </w:r>
      <w:r>
        <w:rPr>
          <w:noProof/>
          <w:color w:val="000000"/>
        </w:rPr>
        <w:t xml:space="preserve"> 104(S25): 63-89</w:t>
      </w:r>
      <w:r w:rsidR="007E7FC4">
        <w:rPr>
          <w:noProof/>
          <w:color w:val="000000"/>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sidRPr="00667B89">
        <w:rPr>
          <w:rFonts w:asciiTheme="majorBidi" w:hAnsiTheme="majorBidi" w:cstheme="majorBidi"/>
          <w:noProof/>
          <w:color w:val="000000"/>
        </w:rPr>
        <w:t>Bogin, B.</w:t>
      </w:r>
      <w:r>
        <w:rPr>
          <w:rFonts w:asciiTheme="majorBidi" w:hAnsiTheme="majorBidi" w:cstheme="majorBidi"/>
          <w:noProof/>
          <w:color w:val="000000"/>
        </w:rPr>
        <w:t>A.</w:t>
      </w:r>
      <w:r w:rsidRPr="00667B89">
        <w:rPr>
          <w:rFonts w:asciiTheme="majorBidi" w:hAnsiTheme="majorBidi" w:cstheme="majorBidi"/>
          <w:noProof/>
          <w:color w:val="000000"/>
        </w:rPr>
        <w:t xml:space="preserve">  1999</w:t>
      </w:r>
      <w:r w:rsidRPr="00747067">
        <w:rPr>
          <w:rFonts w:asciiTheme="majorBidi" w:hAnsiTheme="majorBidi" w:cstheme="majorBidi"/>
          <w:noProof/>
          <w:color w:val="000000"/>
          <w:vertAlign w:val="superscript"/>
        </w:rPr>
        <w:t>a</w:t>
      </w:r>
      <w:r w:rsidRPr="00667B89">
        <w:rPr>
          <w:rFonts w:asciiTheme="majorBidi" w:hAnsiTheme="majorBidi" w:cstheme="majorBidi"/>
          <w:noProof/>
          <w:color w:val="000000"/>
        </w:rPr>
        <w:t xml:space="preserve">.  </w:t>
      </w:r>
      <w:r w:rsidRPr="00667B89">
        <w:rPr>
          <w:rFonts w:asciiTheme="majorBidi" w:hAnsiTheme="majorBidi" w:cstheme="majorBidi"/>
          <w:i/>
          <w:noProof/>
          <w:color w:val="000000"/>
        </w:rPr>
        <w:t>Patterns of Human Growth</w:t>
      </w:r>
      <w:r w:rsidRPr="00667B89">
        <w:rPr>
          <w:rFonts w:asciiTheme="majorBidi" w:hAnsiTheme="majorBidi" w:cstheme="majorBidi"/>
          <w:noProof/>
          <w:color w:val="000000"/>
        </w:rPr>
        <w:t xml:space="preserve"> 2</w:t>
      </w:r>
      <w:r w:rsidRPr="00667B89">
        <w:rPr>
          <w:rFonts w:asciiTheme="majorBidi" w:hAnsiTheme="majorBidi" w:cstheme="majorBidi"/>
          <w:noProof/>
          <w:color w:val="000000"/>
          <w:vertAlign w:val="superscript"/>
        </w:rPr>
        <w:t>nd</w:t>
      </w:r>
      <w:r w:rsidRPr="00667B89">
        <w:rPr>
          <w:rFonts w:asciiTheme="majorBidi" w:hAnsiTheme="majorBidi" w:cstheme="majorBidi"/>
          <w:noProof/>
          <w:color w:val="000000"/>
        </w:rPr>
        <w:t xml:space="preserve"> Ed.  Cambridge University Press, Cambridge</w:t>
      </w:r>
      <w:r w:rsidR="007E7FC4">
        <w:rPr>
          <w:rFonts w:asciiTheme="majorBidi" w:hAnsiTheme="majorBidi" w:cstheme="majorBidi"/>
          <w:noProof/>
          <w:color w:val="000000"/>
        </w:rPr>
        <w:t>.</w:t>
      </w:r>
    </w:p>
    <w:p w:rsidR="00A35CA0" w:rsidRDefault="00CC3C93" w:rsidP="00CA5FBB">
      <w:pPr>
        <w:pStyle w:val="ListParagraph"/>
        <w:spacing w:before="120" w:line="240" w:lineRule="auto"/>
        <w:ind w:left="0"/>
        <w:jc w:val="left"/>
        <w:rPr>
          <w:noProof/>
        </w:rPr>
      </w:pPr>
      <w:r w:rsidRPr="00C01AF7">
        <w:rPr>
          <w:noProof/>
        </w:rPr>
        <w:t>Bogin</w:t>
      </w:r>
      <w:r>
        <w:rPr>
          <w:noProof/>
        </w:rPr>
        <w:t>, B.A.  1999</w:t>
      </w:r>
      <w:r w:rsidRPr="00747067">
        <w:rPr>
          <w:noProof/>
          <w:vertAlign w:val="superscript"/>
        </w:rPr>
        <w:t>b</w:t>
      </w:r>
      <w:r>
        <w:rPr>
          <w:noProof/>
        </w:rPr>
        <w:t xml:space="preserve">.  </w:t>
      </w:r>
      <w:r w:rsidRPr="00C01AF7">
        <w:rPr>
          <w:noProof/>
        </w:rPr>
        <w:t>Evolution</w:t>
      </w:r>
      <w:r>
        <w:rPr>
          <w:noProof/>
        </w:rPr>
        <w:t xml:space="preserve">ary Perspective on Human Growth.  </w:t>
      </w:r>
      <w:r w:rsidRPr="00C01AF7">
        <w:rPr>
          <w:i/>
          <w:noProof/>
        </w:rPr>
        <w:t>Annual Review of Anthropology</w:t>
      </w:r>
      <w:r w:rsidRPr="00C01AF7">
        <w:rPr>
          <w:noProof/>
        </w:rPr>
        <w:t xml:space="preserve"> 28</w:t>
      </w:r>
      <w:r>
        <w:rPr>
          <w:noProof/>
        </w:rPr>
        <w:t>:</w:t>
      </w:r>
      <w:r w:rsidRPr="00C01AF7">
        <w:rPr>
          <w:noProof/>
        </w:rPr>
        <w:t xml:space="preserve"> 109-153</w:t>
      </w:r>
      <w:r w:rsidR="007E7FC4">
        <w:rPr>
          <w:noProof/>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011C31">
        <w:rPr>
          <w:rFonts w:asciiTheme="majorBidi" w:hAnsiTheme="majorBidi" w:cstheme="majorBidi"/>
          <w:lang w:val="nl-NL"/>
        </w:rPr>
        <w:t>Bogin, B.</w:t>
      </w:r>
      <w:r>
        <w:rPr>
          <w:rFonts w:asciiTheme="majorBidi" w:hAnsiTheme="majorBidi" w:cstheme="majorBidi"/>
          <w:lang w:val="nl-NL"/>
        </w:rPr>
        <w:t>A.</w:t>
      </w:r>
      <w:r w:rsidRPr="00011C31">
        <w:rPr>
          <w:rFonts w:asciiTheme="majorBidi" w:hAnsiTheme="majorBidi" w:cstheme="majorBidi"/>
          <w:lang w:val="nl-NL"/>
        </w:rPr>
        <w:t xml:space="preserve">  MacVean, R.B.  </w:t>
      </w:r>
      <w:r w:rsidRPr="00667B89">
        <w:rPr>
          <w:rFonts w:asciiTheme="majorBidi" w:hAnsiTheme="majorBidi" w:cstheme="majorBidi"/>
        </w:rPr>
        <w:t xml:space="preserve">1983.  </w:t>
      </w:r>
      <w:proofErr w:type="gramStart"/>
      <w:r w:rsidRPr="00667B89">
        <w:rPr>
          <w:rFonts w:asciiTheme="majorBidi" w:hAnsiTheme="majorBidi" w:cstheme="majorBidi"/>
        </w:rPr>
        <w:t>The relationship of socioeconomic status and sex to body size, skeletal maturation, and cognitive status of Guatemala City schoolchildren.</w:t>
      </w:r>
      <w:proofErr w:type="gramEnd"/>
      <w:r w:rsidRPr="00667B89">
        <w:rPr>
          <w:rFonts w:asciiTheme="majorBidi" w:hAnsiTheme="majorBidi" w:cstheme="majorBidi"/>
        </w:rPr>
        <w:t xml:space="preserve"> </w:t>
      </w:r>
      <w:r w:rsidRPr="00667B89">
        <w:rPr>
          <w:rFonts w:asciiTheme="majorBidi" w:hAnsiTheme="majorBidi" w:cstheme="majorBidi"/>
          <w:i/>
        </w:rPr>
        <w:t>Child Development</w:t>
      </w:r>
      <w:r w:rsidRPr="00667B89">
        <w:rPr>
          <w:rFonts w:asciiTheme="majorBidi" w:hAnsiTheme="majorBidi" w:cstheme="majorBidi"/>
        </w:rPr>
        <w:t xml:space="preserve"> 54</w:t>
      </w:r>
      <w:r w:rsidR="007E7FC4">
        <w:rPr>
          <w:rFonts w:asciiTheme="majorBidi" w:hAnsiTheme="majorBidi" w:cstheme="majorBidi"/>
        </w:rPr>
        <w:t>(1)</w:t>
      </w:r>
      <w:r w:rsidRPr="00667B89">
        <w:rPr>
          <w:rFonts w:asciiTheme="majorBidi" w:hAnsiTheme="majorBidi" w:cstheme="majorBidi"/>
        </w:rPr>
        <w:t>: 115–128</w:t>
      </w:r>
      <w:r w:rsidR="009126F7">
        <w:rPr>
          <w:rFonts w:asciiTheme="majorBidi" w:hAnsiTheme="majorBidi" w:cstheme="majorBidi"/>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Bogin, B.</w:t>
      </w:r>
      <w:r>
        <w:rPr>
          <w:rFonts w:asciiTheme="majorBidi" w:hAnsiTheme="majorBidi" w:cstheme="majorBidi"/>
        </w:rPr>
        <w:t>A.</w:t>
      </w:r>
      <w:r w:rsidRPr="00667B89">
        <w:rPr>
          <w:rFonts w:asciiTheme="majorBidi" w:hAnsiTheme="majorBidi" w:cstheme="majorBidi"/>
        </w:rPr>
        <w:t xml:space="preserve">  Sullivan, T.  Hauspie, R.  MacVean, R.B.  1989.  Longitudinal growth in height, weight, and bone age of Guatemala Latino and Indian schoolchildren. </w:t>
      </w:r>
      <w:proofErr w:type="gramStart"/>
      <w:r w:rsidRPr="00667B89">
        <w:rPr>
          <w:rFonts w:asciiTheme="majorBidi" w:hAnsiTheme="majorBidi" w:cstheme="majorBidi"/>
          <w:i/>
        </w:rPr>
        <w:t>American  Journal</w:t>
      </w:r>
      <w:proofErr w:type="gramEnd"/>
      <w:r w:rsidRPr="00667B89">
        <w:rPr>
          <w:rFonts w:asciiTheme="majorBidi" w:hAnsiTheme="majorBidi" w:cstheme="majorBidi"/>
          <w:i/>
        </w:rPr>
        <w:t xml:space="preserve"> of Human Biology</w:t>
      </w:r>
      <w:r w:rsidRPr="00667B89">
        <w:rPr>
          <w:rFonts w:asciiTheme="majorBidi" w:hAnsiTheme="majorBidi" w:cstheme="majorBidi"/>
        </w:rPr>
        <w:t xml:space="preserve"> 1</w:t>
      </w:r>
      <w:r w:rsidR="009126F7">
        <w:rPr>
          <w:rFonts w:asciiTheme="majorBidi" w:hAnsiTheme="majorBidi" w:cstheme="majorBidi"/>
        </w:rPr>
        <w:t>(1)</w:t>
      </w:r>
      <w:r w:rsidRPr="00667B89">
        <w:rPr>
          <w:rFonts w:asciiTheme="majorBidi" w:hAnsiTheme="majorBidi" w:cstheme="majorBidi"/>
        </w:rPr>
        <w:t>:</w:t>
      </w:r>
      <w:r w:rsidR="00103756">
        <w:rPr>
          <w:rFonts w:asciiTheme="majorBidi" w:hAnsiTheme="majorBidi" w:cstheme="majorBidi"/>
        </w:rPr>
        <w:t xml:space="preserve"> </w:t>
      </w:r>
      <w:r w:rsidRPr="00667B89">
        <w:rPr>
          <w:rFonts w:asciiTheme="majorBidi" w:hAnsiTheme="majorBidi" w:cstheme="majorBidi"/>
        </w:rPr>
        <w:t>103–113</w:t>
      </w:r>
      <w:r w:rsidR="00677939">
        <w:rPr>
          <w:rFonts w:asciiTheme="majorBidi" w:hAnsiTheme="majorBidi" w:cstheme="majorBidi"/>
        </w:rPr>
        <w:t>.</w:t>
      </w:r>
    </w:p>
    <w:p w:rsidR="000876B6" w:rsidRDefault="000876B6" w:rsidP="000876B6">
      <w:pPr>
        <w:autoSpaceDE w:val="0"/>
        <w:autoSpaceDN w:val="0"/>
        <w:adjustRightInd w:val="0"/>
        <w:spacing w:before="120" w:line="240" w:lineRule="auto"/>
        <w:jc w:val="left"/>
        <w:rPr>
          <w:rFonts w:asciiTheme="majorBidi" w:hAnsiTheme="majorBidi" w:cstheme="majorBidi"/>
        </w:rPr>
      </w:pPr>
      <w:r w:rsidRPr="000876B6">
        <w:rPr>
          <w:rFonts w:asciiTheme="majorBidi" w:hAnsiTheme="majorBidi" w:cstheme="majorBidi"/>
        </w:rPr>
        <w:t>Bogin, B.A.  Smith, B.H.  1996.  Evolution of the Human Life Cycle.  American Journal of Human Biology 8(6): 703-716.</w:t>
      </w:r>
    </w:p>
    <w:p w:rsidR="008D1B9E" w:rsidRDefault="008D1B9E" w:rsidP="008D1B9E">
      <w:pPr>
        <w:autoSpaceDE w:val="0"/>
        <w:autoSpaceDN w:val="0"/>
        <w:adjustRightInd w:val="0"/>
        <w:spacing w:before="120" w:line="240" w:lineRule="auto"/>
        <w:jc w:val="left"/>
        <w:rPr>
          <w:rFonts w:asciiTheme="majorBidi" w:hAnsiTheme="majorBidi" w:cstheme="majorBidi"/>
        </w:rPr>
      </w:pPr>
      <w:proofErr w:type="gramStart"/>
      <w:r w:rsidRPr="008D1B9E">
        <w:rPr>
          <w:rFonts w:asciiTheme="majorBidi" w:hAnsiTheme="majorBidi" w:cstheme="majorBidi"/>
        </w:rPr>
        <w:t>Bolter, D.R.</w:t>
      </w:r>
      <w:proofErr w:type="gramEnd"/>
      <w:r w:rsidRPr="008D1B9E">
        <w:rPr>
          <w:rFonts w:asciiTheme="majorBidi" w:hAnsiTheme="majorBidi" w:cstheme="majorBidi"/>
        </w:rPr>
        <w:t xml:space="preserve">  2011.  A Comparative Study of Growth Patterns in Crested Langurs and Ververt Monkeys.  </w:t>
      </w:r>
      <w:r w:rsidRPr="008D1B9E">
        <w:rPr>
          <w:rFonts w:asciiTheme="majorBidi" w:hAnsiTheme="majorBidi" w:cstheme="majorBidi"/>
          <w:i/>
        </w:rPr>
        <w:t>Anatomy Research International</w:t>
      </w:r>
      <w:r w:rsidRPr="008D1B9E">
        <w:rPr>
          <w:rFonts w:asciiTheme="majorBidi" w:hAnsiTheme="majorBidi" w:cstheme="majorBidi"/>
        </w:rPr>
        <w:t xml:space="preserve"> Article ID 948671, 12 pages doi:10.1155/2011/948671</w:t>
      </w:r>
      <w:r>
        <w:rPr>
          <w:rFonts w:asciiTheme="majorBidi" w:hAnsiTheme="majorBidi" w:cstheme="majorBidi"/>
        </w:rPr>
        <w:t>.</w:t>
      </w:r>
    </w:p>
    <w:p w:rsidR="00A35CA0" w:rsidRDefault="00CC3C93" w:rsidP="00CA5FBB">
      <w:pPr>
        <w:autoSpaceDE w:val="0"/>
        <w:autoSpaceDN w:val="0"/>
        <w:adjustRightInd w:val="0"/>
        <w:spacing w:before="120" w:line="240" w:lineRule="auto"/>
        <w:jc w:val="left"/>
        <w:rPr>
          <w:rFonts w:asciiTheme="majorBidi" w:hAnsiTheme="majorBidi" w:cstheme="majorBidi"/>
        </w:rPr>
      </w:pPr>
      <w:proofErr w:type="gramStart"/>
      <w:r>
        <w:rPr>
          <w:rFonts w:asciiTheme="majorBidi" w:hAnsiTheme="majorBidi" w:cstheme="majorBidi"/>
        </w:rPr>
        <w:t>Bolter, D.R.</w:t>
      </w:r>
      <w:proofErr w:type="gramEnd"/>
      <w:r>
        <w:rPr>
          <w:rFonts w:asciiTheme="majorBidi" w:hAnsiTheme="majorBidi" w:cstheme="majorBidi"/>
        </w:rPr>
        <w:t xml:space="preserve">  Zihlman, A.L.  2003.  Morphometric analysis in wild-</w:t>
      </w:r>
      <w:r w:rsidR="00B47802">
        <w:rPr>
          <w:rFonts w:asciiTheme="majorBidi" w:hAnsiTheme="majorBidi" w:cstheme="majorBidi"/>
        </w:rPr>
        <w:t xml:space="preserve">collected </w:t>
      </w:r>
      <w:r>
        <w:rPr>
          <w:rFonts w:asciiTheme="majorBidi" w:hAnsiTheme="majorBidi" w:cstheme="majorBidi"/>
        </w:rPr>
        <w:t>ververt monkeys (</w:t>
      </w:r>
      <w:r>
        <w:rPr>
          <w:rFonts w:asciiTheme="majorBidi" w:hAnsiTheme="majorBidi" w:cstheme="majorBidi"/>
          <w:i/>
        </w:rPr>
        <w:t>C</w:t>
      </w:r>
      <w:r w:rsidRPr="00FF2C95">
        <w:rPr>
          <w:rFonts w:asciiTheme="majorBidi" w:hAnsiTheme="majorBidi" w:cstheme="majorBidi"/>
          <w:i/>
        </w:rPr>
        <w:t>ercopithecus aethiops</w:t>
      </w:r>
      <w:r>
        <w:rPr>
          <w:rFonts w:asciiTheme="majorBidi" w:hAnsiTheme="majorBidi" w:cstheme="majorBidi"/>
        </w:rPr>
        <w:t xml:space="preserve">) with implications for growth patterns in Old World monkeys, apes, and humans.  </w:t>
      </w:r>
      <w:r>
        <w:rPr>
          <w:rFonts w:asciiTheme="majorBidi" w:hAnsiTheme="majorBidi" w:cstheme="majorBidi"/>
          <w:i/>
        </w:rPr>
        <w:t>Journal of Zoology</w:t>
      </w:r>
      <w:r>
        <w:rPr>
          <w:rFonts w:asciiTheme="majorBidi" w:hAnsiTheme="majorBidi" w:cstheme="majorBidi"/>
        </w:rPr>
        <w:t xml:space="preserve"> 260</w:t>
      </w:r>
      <w:r w:rsidR="00B47802">
        <w:rPr>
          <w:rFonts w:asciiTheme="majorBidi" w:hAnsiTheme="majorBidi" w:cstheme="majorBidi"/>
        </w:rPr>
        <w:t>(1)</w:t>
      </w:r>
      <w:r>
        <w:rPr>
          <w:rFonts w:asciiTheme="majorBidi" w:hAnsiTheme="majorBidi" w:cstheme="majorBidi"/>
        </w:rPr>
        <w:t>:</w:t>
      </w:r>
      <w:r w:rsidR="00103756">
        <w:rPr>
          <w:rFonts w:asciiTheme="majorBidi" w:hAnsiTheme="majorBidi" w:cstheme="majorBidi"/>
        </w:rPr>
        <w:t xml:space="preserve"> </w:t>
      </w:r>
      <w:r>
        <w:rPr>
          <w:rFonts w:asciiTheme="majorBidi" w:hAnsiTheme="majorBidi" w:cstheme="majorBidi"/>
        </w:rPr>
        <w:t>99-110.</w:t>
      </w:r>
    </w:p>
    <w:p w:rsidR="00A35CA0" w:rsidRDefault="00CC3C93" w:rsidP="00CA5FBB">
      <w:pPr>
        <w:spacing w:before="120" w:line="240" w:lineRule="auto"/>
        <w:jc w:val="left"/>
        <w:rPr>
          <w:noProof/>
          <w:color w:val="000000" w:themeColor="text1"/>
        </w:rPr>
      </w:pPr>
      <w:r w:rsidRPr="00D075A1">
        <w:rPr>
          <w:noProof/>
          <w:color w:val="000000" w:themeColor="text1"/>
        </w:rPr>
        <w:t xml:space="preserve">Bolter, D.R.  Zihlman, A.L.  2011.  Brief communication: Dental development timing in captive </w:t>
      </w:r>
      <w:r w:rsidRPr="00D075A1">
        <w:rPr>
          <w:i/>
          <w:noProof/>
          <w:color w:val="000000" w:themeColor="text1"/>
        </w:rPr>
        <w:t>Pan paniscus</w:t>
      </w:r>
      <w:r w:rsidRPr="00D075A1">
        <w:rPr>
          <w:noProof/>
          <w:color w:val="000000" w:themeColor="text1"/>
        </w:rPr>
        <w:t xml:space="preserve"> with comparisons to </w:t>
      </w:r>
      <w:r w:rsidRPr="00D075A1">
        <w:rPr>
          <w:i/>
          <w:noProof/>
          <w:color w:val="000000" w:themeColor="text1"/>
        </w:rPr>
        <w:t>Pan troglodytes</w:t>
      </w:r>
      <w:r w:rsidRPr="00D075A1">
        <w:rPr>
          <w:noProof/>
          <w:color w:val="000000" w:themeColor="text1"/>
        </w:rPr>
        <w:t xml:space="preserve">.  </w:t>
      </w:r>
      <w:r w:rsidRPr="00D075A1">
        <w:rPr>
          <w:i/>
          <w:noProof/>
          <w:color w:val="000000" w:themeColor="text1"/>
        </w:rPr>
        <w:t>American Journal of Physical Anthropology</w:t>
      </w:r>
      <w:r w:rsidRPr="00D075A1">
        <w:rPr>
          <w:noProof/>
          <w:color w:val="000000" w:themeColor="text1"/>
        </w:rPr>
        <w:t xml:space="preserve"> 145(4) 647–652</w:t>
      </w:r>
      <w:r w:rsidR="004E4E2A">
        <w:rPr>
          <w:noProof/>
          <w:color w:val="000000" w:themeColor="text1"/>
        </w:rPr>
        <w:t>.</w:t>
      </w:r>
    </w:p>
    <w:p w:rsidR="00A35CA0" w:rsidRDefault="00CC3C93" w:rsidP="00CA5FBB">
      <w:pPr>
        <w:autoSpaceDE w:val="0"/>
        <w:autoSpaceDN w:val="0"/>
        <w:adjustRightInd w:val="0"/>
        <w:spacing w:before="120" w:line="240" w:lineRule="auto"/>
        <w:jc w:val="left"/>
        <w:rPr>
          <w:rFonts w:asciiTheme="majorBidi" w:hAnsiTheme="majorBidi" w:cstheme="majorBidi"/>
          <w:color w:val="000000" w:themeColor="text1"/>
        </w:rPr>
      </w:pPr>
      <w:proofErr w:type="gramStart"/>
      <w:r>
        <w:rPr>
          <w:rFonts w:asciiTheme="majorBidi" w:hAnsiTheme="majorBidi" w:cstheme="majorBidi"/>
          <w:color w:val="000000" w:themeColor="text1"/>
        </w:rPr>
        <w:t>Bolter, D.R.</w:t>
      </w:r>
      <w:proofErr w:type="gramEnd"/>
      <w:r>
        <w:rPr>
          <w:rFonts w:asciiTheme="majorBidi" w:hAnsiTheme="majorBidi" w:cstheme="majorBidi"/>
          <w:color w:val="000000" w:themeColor="text1"/>
        </w:rPr>
        <w:t xml:space="preserve">  Zihlman, A.L.  2012.  </w:t>
      </w:r>
      <w:r w:rsidRPr="00F7655C">
        <w:rPr>
          <w:rFonts w:asciiTheme="majorBidi" w:hAnsiTheme="majorBidi" w:cstheme="majorBidi"/>
          <w:color w:val="000000" w:themeColor="text1"/>
        </w:rPr>
        <w:t xml:space="preserve">Skeletal development in </w:t>
      </w:r>
      <w:r w:rsidRPr="00F7655C">
        <w:rPr>
          <w:rFonts w:asciiTheme="majorBidi" w:hAnsiTheme="majorBidi" w:cstheme="majorBidi"/>
          <w:i/>
          <w:color w:val="000000" w:themeColor="text1"/>
        </w:rPr>
        <w:t xml:space="preserve">Pan </w:t>
      </w:r>
      <w:proofErr w:type="gramStart"/>
      <w:r w:rsidRPr="00F7655C">
        <w:rPr>
          <w:rFonts w:asciiTheme="majorBidi" w:hAnsiTheme="majorBidi" w:cstheme="majorBidi"/>
          <w:i/>
          <w:color w:val="000000" w:themeColor="text1"/>
        </w:rPr>
        <w:t>paniscus</w:t>
      </w:r>
      <w:proofErr w:type="gramEnd"/>
      <w:r w:rsidRPr="00F7655C">
        <w:rPr>
          <w:rFonts w:asciiTheme="majorBidi" w:hAnsiTheme="majorBidi" w:cstheme="majorBidi"/>
          <w:color w:val="000000" w:themeColor="text1"/>
        </w:rPr>
        <w:t xml:space="preserve"> with comparisons to </w:t>
      </w:r>
      <w:r w:rsidRPr="00F7655C">
        <w:rPr>
          <w:rFonts w:asciiTheme="majorBidi" w:hAnsiTheme="majorBidi" w:cstheme="majorBidi"/>
          <w:i/>
          <w:color w:val="000000" w:themeColor="text1"/>
        </w:rPr>
        <w:t>Pan troglodytes</w:t>
      </w:r>
      <w:r>
        <w:rPr>
          <w:rFonts w:asciiTheme="majorBidi" w:hAnsiTheme="majorBidi" w:cstheme="majorBidi"/>
          <w:i/>
          <w:color w:val="000000" w:themeColor="text1"/>
        </w:rPr>
        <w:t xml:space="preserve">.  </w:t>
      </w:r>
      <w:r w:rsidRPr="00F7655C">
        <w:rPr>
          <w:rFonts w:asciiTheme="majorBidi" w:hAnsiTheme="majorBidi" w:cstheme="majorBidi"/>
          <w:i/>
          <w:color w:val="000000" w:themeColor="text1"/>
        </w:rPr>
        <w:t>American Journal of Physical Anthropology</w:t>
      </w:r>
      <w:r>
        <w:rPr>
          <w:rFonts w:asciiTheme="majorBidi" w:hAnsiTheme="majorBidi" w:cstheme="majorBidi"/>
          <w:color w:val="000000" w:themeColor="text1"/>
        </w:rPr>
        <w:t xml:space="preserve"> </w:t>
      </w:r>
      <w:r w:rsidRPr="00F7655C">
        <w:rPr>
          <w:rFonts w:asciiTheme="majorBidi" w:hAnsiTheme="majorBidi" w:cstheme="majorBidi"/>
          <w:color w:val="000000" w:themeColor="text1"/>
        </w:rPr>
        <w:t>147</w:t>
      </w:r>
      <w:r>
        <w:rPr>
          <w:rFonts w:asciiTheme="majorBidi" w:hAnsiTheme="majorBidi" w:cstheme="majorBidi"/>
          <w:color w:val="000000" w:themeColor="text1"/>
        </w:rPr>
        <w:t>(</w:t>
      </w:r>
      <w:r w:rsidRPr="00F7655C">
        <w:rPr>
          <w:rFonts w:asciiTheme="majorBidi" w:hAnsiTheme="majorBidi" w:cstheme="majorBidi"/>
          <w:color w:val="000000" w:themeColor="text1"/>
        </w:rPr>
        <w:t>4</w:t>
      </w:r>
      <w:r>
        <w:rPr>
          <w:rFonts w:asciiTheme="majorBidi" w:hAnsiTheme="majorBidi" w:cstheme="majorBidi"/>
          <w:color w:val="000000" w:themeColor="text1"/>
        </w:rPr>
        <w:t>):</w:t>
      </w:r>
      <w:r w:rsidR="002845B1">
        <w:rPr>
          <w:rFonts w:asciiTheme="majorBidi" w:hAnsiTheme="majorBidi" w:cstheme="majorBidi"/>
          <w:color w:val="000000" w:themeColor="text1"/>
        </w:rPr>
        <w:t xml:space="preserve"> 629–636</w:t>
      </w:r>
      <w:r w:rsidR="004E4E2A">
        <w:rPr>
          <w:rFonts w:asciiTheme="majorBidi" w:hAnsiTheme="majorBidi" w:cstheme="majorBidi"/>
          <w:color w:val="000000" w:themeColor="text1"/>
        </w:rPr>
        <w:t>.</w:t>
      </w:r>
    </w:p>
    <w:p w:rsidR="00A35CA0" w:rsidRDefault="00CC3C93" w:rsidP="00CA5FBB">
      <w:pPr>
        <w:spacing w:before="120" w:line="240" w:lineRule="auto"/>
        <w:jc w:val="left"/>
        <w:rPr>
          <w:color w:val="000000"/>
        </w:rPr>
      </w:pPr>
      <w:r>
        <w:rPr>
          <w:color w:val="000000"/>
        </w:rPr>
        <w:t>Boughner, J.C.  Dean, M.C.</w:t>
      </w:r>
      <w:r w:rsidRPr="00814B08">
        <w:rPr>
          <w:color w:val="000000"/>
        </w:rPr>
        <w:t xml:space="preserve"> </w:t>
      </w:r>
      <w:r>
        <w:rPr>
          <w:color w:val="000000"/>
        </w:rPr>
        <w:t xml:space="preserve"> </w:t>
      </w:r>
      <w:r w:rsidRPr="00814B08">
        <w:rPr>
          <w:color w:val="000000"/>
        </w:rPr>
        <w:t>2004. Does space</w:t>
      </w:r>
      <w:r>
        <w:rPr>
          <w:color w:val="000000"/>
        </w:rPr>
        <w:t xml:space="preserve"> in the jaw inﬂuence the timing of molar crown initiation? </w:t>
      </w:r>
      <w:r w:rsidRPr="00814B08">
        <w:rPr>
          <w:color w:val="000000"/>
        </w:rPr>
        <w:t>A model u</w:t>
      </w:r>
      <w:r>
        <w:rPr>
          <w:color w:val="000000"/>
        </w:rPr>
        <w:t>sing baboons (</w:t>
      </w:r>
      <w:r w:rsidRPr="00D53670">
        <w:rPr>
          <w:i/>
          <w:color w:val="000000"/>
        </w:rPr>
        <w:t xml:space="preserve">Papio </w:t>
      </w:r>
      <w:proofErr w:type="gramStart"/>
      <w:r w:rsidRPr="00D53670">
        <w:rPr>
          <w:i/>
          <w:color w:val="000000"/>
        </w:rPr>
        <w:t>anubis</w:t>
      </w:r>
      <w:proofErr w:type="gramEnd"/>
      <w:r>
        <w:rPr>
          <w:color w:val="000000"/>
        </w:rPr>
        <w:t xml:space="preserve">) and </w:t>
      </w:r>
      <w:r w:rsidRPr="00814B08">
        <w:rPr>
          <w:color w:val="000000"/>
        </w:rPr>
        <w:t>great apes (</w:t>
      </w:r>
      <w:r w:rsidRPr="00D53670">
        <w:rPr>
          <w:i/>
          <w:color w:val="000000"/>
        </w:rPr>
        <w:t>Pan troglodytes</w:t>
      </w:r>
      <w:r w:rsidRPr="00814B08">
        <w:rPr>
          <w:color w:val="000000"/>
        </w:rPr>
        <w:t>,</w:t>
      </w:r>
      <w:r w:rsidRPr="00D53670">
        <w:rPr>
          <w:i/>
          <w:color w:val="000000"/>
        </w:rPr>
        <w:t xml:space="preserve"> Pan paniscus</w:t>
      </w:r>
      <w:r w:rsidRPr="00814B08">
        <w:rPr>
          <w:color w:val="000000"/>
        </w:rPr>
        <w:t xml:space="preserve">). </w:t>
      </w:r>
      <w:r w:rsidRPr="009D6713">
        <w:rPr>
          <w:i/>
          <w:color w:val="000000"/>
        </w:rPr>
        <w:t>Journal of Human Evolution</w:t>
      </w:r>
      <w:r w:rsidRPr="00814B08">
        <w:rPr>
          <w:color w:val="000000"/>
        </w:rPr>
        <w:t xml:space="preserve"> 46</w:t>
      </w:r>
      <w:r>
        <w:rPr>
          <w:color w:val="000000"/>
        </w:rPr>
        <w:t>(3):</w:t>
      </w:r>
      <w:r w:rsidR="00103756">
        <w:rPr>
          <w:color w:val="000000"/>
        </w:rPr>
        <w:t xml:space="preserve"> </w:t>
      </w:r>
      <w:r>
        <w:rPr>
          <w:color w:val="000000"/>
        </w:rPr>
        <w:t>253-</w:t>
      </w:r>
      <w:r w:rsidRPr="00814B08">
        <w:rPr>
          <w:color w:val="000000"/>
        </w:rPr>
        <w:t>277</w:t>
      </w:r>
      <w:r w:rsidR="004E4E2A">
        <w:rPr>
          <w:color w:val="000000"/>
        </w:rPr>
        <w:t>.</w:t>
      </w:r>
    </w:p>
    <w:p w:rsidR="00FC0E5E" w:rsidRDefault="009E02C8" w:rsidP="00E53F3C">
      <w:pPr>
        <w:spacing w:before="120" w:line="240" w:lineRule="auto"/>
      </w:pPr>
      <w:proofErr w:type="gramStart"/>
      <w:r w:rsidRPr="003F78FF">
        <w:t>Boughner, J.C. &amp; Dean, M.C.</w:t>
      </w:r>
      <w:proofErr w:type="gramEnd"/>
      <w:r w:rsidRPr="003F78FF">
        <w:t xml:space="preserve">  2008.  Mandibular Shape, Ontogeny and Dental Development in Bonobos (</w:t>
      </w:r>
      <w:r w:rsidRPr="009E02C8">
        <w:rPr>
          <w:i/>
        </w:rPr>
        <w:t xml:space="preserve">Pan </w:t>
      </w:r>
      <w:proofErr w:type="gramStart"/>
      <w:r w:rsidRPr="009E02C8">
        <w:rPr>
          <w:i/>
        </w:rPr>
        <w:t>paniscus</w:t>
      </w:r>
      <w:proofErr w:type="gramEnd"/>
      <w:r w:rsidRPr="003F78FF">
        <w:t>) and Chimpanzees (</w:t>
      </w:r>
      <w:r w:rsidRPr="009E02C8">
        <w:rPr>
          <w:i/>
        </w:rPr>
        <w:t>Pan troglodytes</w:t>
      </w:r>
      <w:r w:rsidRPr="003F78FF">
        <w:t xml:space="preserve">).  </w:t>
      </w:r>
      <w:r w:rsidRPr="009E02C8">
        <w:rPr>
          <w:i/>
        </w:rPr>
        <w:t>Evolutionary Biology</w:t>
      </w:r>
      <w:r w:rsidRPr="003F78FF">
        <w:t xml:space="preserve"> 35(4)</w:t>
      </w:r>
      <w:r>
        <w:t>:</w:t>
      </w:r>
      <w:r w:rsidRPr="003F78FF">
        <w:t xml:space="preserve"> 296 -308</w:t>
      </w:r>
      <w:r>
        <w:t>.</w:t>
      </w:r>
    </w:p>
    <w:p w:rsidR="00A35CA0" w:rsidRPr="00CA5FBB" w:rsidRDefault="00CC3C93" w:rsidP="00CA5FBB">
      <w:pPr>
        <w:spacing w:before="120" w:line="240" w:lineRule="auto"/>
        <w:jc w:val="left"/>
        <w:rPr>
          <w:b/>
          <w:noProof/>
          <w:color w:val="000000" w:themeColor="text1"/>
        </w:rPr>
      </w:pPr>
      <w:r w:rsidRPr="00B63C2C">
        <w:rPr>
          <w:noProof/>
          <w:color w:val="000000"/>
        </w:rPr>
        <w:lastRenderedPageBreak/>
        <w:t>Boughne</w:t>
      </w:r>
      <w:r w:rsidRPr="00B63C2C">
        <w:rPr>
          <w:noProof/>
          <w:color w:val="000000" w:themeColor="text1"/>
        </w:rPr>
        <w:t>r, J.C.  Dean, M.C.  Wilgenbusch, C.S.  2012.  Permanent tooth mineralization in bonobos (</w:t>
      </w:r>
      <w:r w:rsidRPr="00B63C2C">
        <w:rPr>
          <w:i/>
          <w:noProof/>
          <w:color w:val="000000" w:themeColor="text1"/>
        </w:rPr>
        <w:t>Pan paniscus</w:t>
      </w:r>
      <w:r w:rsidRPr="00B63C2C">
        <w:rPr>
          <w:noProof/>
          <w:color w:val="000000" w:themeColor="text1"/>
        </w:rPr>
        <w:t>) and chimpanzees (</w:t>
      </w:r>
      <w:r w:rsidRPr="00B63C2C">
        <w:rPr>
          <w:i/>
          <w:noProof/>
          <w:color w:val="000000" w:themeColor="text1"/>
        </w:rPr>
        <w:t>P. troglodytes</w:t>
      </w:r>
      <w:r w:rsidRPr="00B63C2C">
        <w:rPr>
          <w:noProof/>
          <w:color w:val="000000" w:themeColor="text1"/>
        </w:rPr>
        <w:t xml:space="preserve">).  American Journal of Physical Anthropology </w:t>
      </w:r>
      <w:r w:rsidRPr="00DE3030">
        <w:rPr>
          <w:noProof/>
          <w:color w:val="000000" w:themeColor="text1"/>
        </w:rPr>
        <w:t>149(4): 560–571</w:t>
      </w:r>
      <w:r w:rsidR="004E4E2A">
        <w:rPr>
          <w:noProof/>
          <w:color w:val="000000" w:themeColor="text1"/>
        </w:rPr>
        <w:t>.</w:t>
      </w:r>
    </w:p>
    <w:p w:rsidR="00A35CA0" w:rsidRDefault="00CC3C93" w:rsidP="00CA5FBB">
      <w:pPr>
        <w:spacing w:before="120" w:line="240" w:lineRule="auto"/>
        <w:jc w:val="left"/>
        <w:rPr>
          <w:noProof/>
          <w:color w:val="000000"/>
        </w:rPr>
      </w:pPr>
      <w:r w:rsidRPr="0067770D">
        <w:rPr>
          <w:noProof/>
          <w:color w:val="000000"/>
        </w:rPr>
        <w:t xml:space="preserve">Braga, J.  Heuze, Y.  2007.  </w:t>
      </w:r>
      <w:r w:rsidRPr="0067770D">
        <w:rPr>
          <w:i/>
          <w:noProof/>
          <w:color w:val="000000"/>
        </w:rPr>
        <w:t>Quantifying variation in human dental development sequences: An EVO-DEVO perspective</w:t>
      </w:r>
      <w:r w:rsidRPr="0067770D">
        <w:rPr>
          <w:noProof/>
          <w:color w:val="000000"/>
        </w:rPr>
        <w:t>.  Bailey, S.E.  and Hublin J.J. (eds.) Dental Perspectives on Human Evolution.  Springer, The Netherlands. pp.247-261.</w:t>
      </w:r>
    </w:p>
    <w:p w:rsidR="00A35CA0" w:rsidRDefault="00CC3C93" w:rsidP="00CA5FBB">
      <w:pPr>
        <w:spacing w:before="120" w:line="240" w:lineRule="auto"/>
        <w:jc w:val="left"/>
        <w:rPr>
          <w:lang w:val="en-GB"/>
        </w:rPr>
      </w:pPr>
      <w:r w:rsidRPr="005C6B3D">
        <w:rPr>
          <w:lang w:val="en-GB"/>
        </w:rPr>
        <w:t xml:space="preserve">Bramblett, C.A.  1969.  </w:t>
      </w:r>
      <w:r w:rsidRPr="005C6B3D">
        <w:rPr>
          <w:color w:val="000000"/>
        </w:rPr>
        <w:t>Non-metric skeletal age changes in the Darajani baboon</w:t>
      </w:r>
      <w:r w:rsidRPr="005C6B3D">
        <w:rPr>
          <w:i/>
          <w:lang w:val="en-GB"/>
        </w:rPr>
        <w:t>.  American Journal of Physical Anthropology</w:t>
      </w:r>
      <w:r w:rsidRPr="005C6B3D">
        <w:rPr>
          <w:lang w:val="en-GB"/>
        </w:rPr>
        <w:t xml:space="preserve"> 30(2): 161-171</w:t>
      </w:r>
      <w:r w:rsidR="008642F3">
        <w:rPr>
          <w:lang w:val="en-GB"/>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de-DE"/>
        </w:rPr>
        <w:t xml:space="preserve">Brodeur, A.E.  Silberstein, M.J.  </w:t>
      </w:r>
      <w:r w:rsidRPr="00667B89">
        <w:rPr>
          <w:rFonts w:asciiTheme="majorBidi" w:hAnsiTheme="majorBidi" w:cstheme="majorBidi"/>
          <w:color w:val="000000" w:themeColor="text1"/>
          <w:lang w:val="en-CA"/>
        </w:rPr>
        <w:t xml:space="preserve">and Graviss, E.R.  1981.  </w:t>
      </w:r>
      <w:proofErr w:type="gramStart"/>
      <w:r w:rsidRPr="00667B89">
        <w:rPr>
          <w:rFonts w:asciiTheme="majorBidi" w:hAnsiTheme="majorBidi" w:cstheme="majorBidi"/>
          <w:i/>
          <w:color w:val="000000" w:themeColor="text1"/>
          <w:lang w:val="en-CA"/>
        </w:rPr>
        <w:t>Radiology of the Pediatric Elbow.</w:t>
      </w:r>
      <w:proofErr w:type="gramEnd"/>
      <w:r w:rsidRPr="00667B89">
        <w:rPr>
          <w:rFonts w:asciiTheme="majorBidi" w:hAnsiTheme="majorBidi" w:cstheme="majorBidi"/>
          <w:color w:val="000000" w:themeColor="text1"/>
          <w:lang w:val="en-CA"/>
        </w:rPr>
        <w:t xml:space="preserve">  </w:t>
      </w:r>
      <w:r w:rsidRPr="00C96BF6">
        <w:rPr>
          <w:rFonts w:asciiTheme="majorBidi" w:hAnsiTheme="majorBidi" w:cstheme="majorBidi"/>
          <w:color w:val="000000" w:themeColor="text1"/>
          <w:lang w:val="en-CA"/>
        </w:rPr>
        <w:t>G.K. Hall</w:t>
      </w:r>
      <w:r w:rsidR="008642F3">
        <w:rPr>
          <w:rFonts w:asciiTheme="majorBidi" w:hAnsiTheme="majorBidi" w:cstheme="majorBidi"/>
          <w:color w:val="000000" w:themeColor="text1"/>
          <w:lang w:val="en-CA"/>
        </w:rPr>
        <w:t>: Boston.</w:t>
      </w:r>
    </w:p>
    <w:p w:rsidR="00A35CA0" w:rsidRDefault="00CC3C93" w:rsidP="00CA5FBB">
      <w:pPr>
        <w:tabs>
          <w:tab w:val="left" w:pos="360"/>
        </w:tabs>
        <w:spacing w:before="120" w:line="240" w:lineRule="auto"/>
        <w:jc w:val="left"/>
        <w:rPr>
          <w:noProof/>
          <w:color w:val="000000"/>
        </w:rPr>
      </w:pPr>
      <w:r w:rsidRPr="00C96BF6">
        <w:rPr>
          <w:noProof/>
          <w:color w:val="000000"/>
        </w:rPr>
        <w:t xml:space="preserve">Bufill, E.  Agustí, J.  Blesa, R.  2011.  Human neoteny revisited: The case of synaptic plasticity.  </w:t>
      </w:r>
      <w:r w:rsidRPr="00C96BF6">
        <w:rPr>
          <w:i/>
          <w:noProof/>
          <w:color w:val="000000"/>
        </w:rPr>
        <w:t>American Journal of Human Biology</w:t>
      </w:r>
      <w:r w:rsidRPr="00C96BF6">
        <w:rPr>
          <w:noProof/>
          <w:color w:val="000000"/>
        </w:rPr>
        <w:t xml:space="preserve"> 23(6): 729–739</w:t>
      </w:r>
      <w:r w:rsidR="00F76ECD">
        <w:rPr>
          <w:noProof/>
          <w:color w:val="000000"/>
        </w:rPr>
        <w:t>.</w:t>
      </w:r>
    </w:p>
    <w:p w:rsidR="00A35CA0" w:rsidRDefault="00CC3C93" w:rsidP="00CA5FBB">
      <w:pPr>
        <w:tabs>
          <w:tab w:val="left" w:pos="360"/>
        </w:tabs>
        <w:spacing w:before="120" w:line="240" w:lineRule="auto"/>
        <w:jc w:val="left"/>
        <w:rPr>
          <w:noProof/>
        </w:rPr>
      </w:pPr>
      <w:r>
        <w:rPr>
          <w:noProof/>
        </w:rPr>
        <w:t xml:space="preserve">Byers, S.  Moore, A.J.  Byard, R.W.  Fazzalari, N.L.  2000.  </w:t>
      </w:r>
      <w:r w:rsidRPr="002F5744">
        <w:rPr>
          <w:noProof/>
        </w:rPr>
        <w:t>Quantitative Histomor</w:t>
      </w:r>
      <w:r>
        <w:rPr>
          <w:noProof/>
        </w:rPr>
        <w:t xml:space="preserve">phometric Analysis of the Human </w:t>
      </w:r>
      <w:r w:rsidRPr="002F5744">
        <w:rPr>
          <w:noProof/>
        </w:rPr>
        <w:t>Growth Plate From Birth to Adolescence</w:t>
      </w:r>
      <w:r>
        <w:rPr>
          <w:noProof/>
        </w:rPr>
        <w:t xml:space="preserve">.  </w:t>
      </w:r>
      <w:r w:rsidRPr="002F5744">
        <w:rPr>
          <w:i/>
          <w:noProof/>
        </w:rPr>
        <w:t>Bone</w:t>
      </w:r>
      <w:r>
        <w:rPr>
          <w:noProof/>
        </w:rPr>
        <w:t xml:space="preserve"> 27(4): 495-501</w:t>
      </w:r>
      <w:r w:rsidR="00F76ECD">
        <w:rPr>
          <w:noProof/>
        </w:rPr>
        <w:t>.</w:t>
      </w:r>
    </w:p>
    <w:p w:rsidR="00A35CA0" w:rsidRDefault="00CC3C93" w:rsidP="00CA5FBB">
      <w:pPr>
        <w:spacing w:before="120" w:line="240" w:lineRule="auto"/>
        <w:jc w:val="left"/>
        <w:rPr>
          <w:noProof/>
        </w:rPr>
      </w:pPr>
      <w:r>
        <w:rPr>
          <w:noProof/>
        </w:rPr>
        <w:t>Calcagno</w:t>
      </w:r>
      <w:r w:rsidRPr="008E4D79">
        <w:rPr>
          <w:noProof/>
        </w:rPr>
        <w:t>,</w:t>
      </w:r>
      <w:r>
        <w:rPr>
          <w:noProof/>
        </w:rPr>
        <w:t xml:space="preserve"> J.M.  Gibson, K.R.  1988. </w:t>
      </w:r>
      <w:r w:rsidRPr="008E4D79">
        <w:rPr>
          <w:noProof/>
        </w:rPr>
        <w:t xml:space="preserve">Human dental reduction: Natural selection </w:t>
      </w:r>
      <w:r>
        <w:rPr>
          <w:noProof/>
        </w:rPr>
        <w:t xml:space="preserve">or the probable mutation effect.  </w:t>
      </w:r>
      <w:r w:rsidRPr="008E4D79">
        <w:rPr>
          <w:i/>
          <w:noProof/>
        </w:rPr>
        <w:t>American Journal of Physical Anthropology</w:t>
      </w:r>
      <w:r>
        <w:rPr>
          <w:noProof/>
        </w:rPr>
        <w:t xml:space="preserve"> 7</w:t>
      </w:r>
      <w:r w:rsidRPr="008E4D79">
        <w:rPr>
          <w:noProof/>
        </w:rPr>
        <w:t>7</w:t>
      </w:r>
      <w:r>
        <w:rPr>
          <w:noProof/>
        </w:rPr>
        <w:t>(</w:t>
      </w:r>
      <w:r w:rsidRPr="008E4D79">
        <w:rPr>
          <w:noProof/>
        </w:rPr>
        <w:t>4</w:t>
      </w:r>
      <w:r>
        <w:rPr>
          <w:noProof/>
        </w:rPr>
        <w:t>):</w:t>
      </w:r>
      <w:r w:rsidRPr="008E4D79">
        <w:rPr>
          <w:noProof/>
        </w:rPr>
        <w:t xml:space="preserve"> 505–517</w:t>
      </w:r>
      <w:r w:rsidR="00F76ECD">
        <w:rPr>
          <w:noProof/>
        </w:rPr>
        <w:t>.</w:t>
      </w:r>
    </w:p>
    <w:p w:rsidR="00A40A68" w:rsidRDefault="00A40A68" w:rsidP="00A40A68">
      <w:pPr>
        <w:spacing w:before="120" w:line="240" w:lineRule="auto"/>
        <w:jc w:val="left"/>
        <w:rPr>
          <w:rFonts w:asciiTheme="majorBidi" w:hAnsiTheme="majorBidi" w:cstheme="majorBidi"/>
          <w:color w:val="000000" w:themeColor="text1"/>
        </w:rPr>
      </w:pPr>
      <w:proofErr w:type="gramStart"/>
      <w:r w:rsidRPr="00A40A68">
        <w:rPr>
          <w:rFonts w:asciiTheme="majorBidi" w:hAnsiTheme="majorBidi" w:cstheme="majorBidi"/>
          <w:color w:val="000000" w:themeColor="text1"/>
        </w:rPr>
        <w:t>Cameron, N.</w:t>
      </w:r>
      <w:proofErr w:type="gramEnd"/>
      <w:r w:rsidRPr="00A40A68">
        <w:rPr>
          <w:rFonts w:asciiTheme="majorBidi" w:hAnsiTheme="majorBidi" w:cstheme="majorBidi"/>
          <w:color w:val="000000" w:themeColor="text1"/>
        </w:rPr>
        <w:t xml:space="preserve">  2006.  </w:t>
      </w:r>
      <w:r w:rsidRPr="00A40A68">
        <w:rPr>
          <w:rFonts w:asciiTheme="majorBidi" w:hAnsiTheme="majorBidi" w:cstheme="majorBidi"/>
          <w:i/>
          <w:color w:val="000000" w:themeColor="text1"/>
        </w:rPr>
        <w:t>Assessment of Maturation</w:t>
      </w:r>
      <w:r w:rsidRPr="00A40A68">
        <w:rPr>
          <w:rFonts w:asciiTheme="majorBidi" w:hAnsiTheme="majorBidi" w:cstheme="majorBidi"/>
          <w:color w:val="000000" w:themeColor="text1"/>
        </w:rPr>
        <w:t xml:space="preserve">.  In: Human Growth and Development.  Cameron, N. </w:t>
      </w:r>
      <w:proofErr w:type="gramStart"/>
      <w:r w:rsidRPr="00A40A68">
        <w:rPr>
          <w:rFonts w:asciiTheme="majorBidi" w:hAnsiTheme="majorBidi" w:cstheme="majorBidi"/>
          <w:color w:val="000000" w:themeColor="text1"/>
        </w:rPr>
        <w:t>ed</w:t>
      </w:r>
      <w:proofErr w:type="gramEnd"/>
      <w:r w:rsidRPr="00A40A68">
        <w:rPr>
          <w:rFonts w:asciiTheme="majorBidi" w:hAnsiTheme="majorBidi" w:cstheme="majorBidi"/>
          <w:color w:val="000000" w:themeColor="text1"/>
        </w:rPr>
        <w:t>.  Academic Press, New York.  pp. 363-382.</w:t>
      </w:r>
    </w:p>
    <w:p w:rsidR="00A35CA0" w:rsidRDefault="00CC3C93" w:rsidP="00CA5FBB">
      <w:pPr>
        <w:spacing w:before="120" w:line="240" w:lineRule="auto"/>
        <w:jc w:val="left"/>
        <w:rPr>
          <w:rFonts w:asciiTheme="majorBidi" w:hAnsiTheme="majorBidi" w:cstheme="majorBidi"/>
          <w:color w:val="000000" w:themeColor="text1"/>
        </w:rPr>
      </w:pPr>
      <w:r w:rsidRPr="00667B89">
        <w:rPr>
          <w:rFonts w:asciiTheme="majorBidi" w:hAnsiTheme="majorBidi" w:cstheme="majorBidi"/>
          <w:color w:val="000000" w:themeColor="text1"/>
        </w:rPr>
        <w:t xml:space="preserve">Cardoso, H.F.V.  2007.  Environmental effects on skeletal versus dental development: Using a documented subadult skeletal sample to test a basic assumption in human osteological research.  </w:t>
      </w:r>
      <w:r w:rsidRPr="00667B89">
        <w:rPr>
          <w:rFonts w:asciiTheme="majorBidi" w:hAnsiTheme="majorBidi" w:cstheme="majorBidi"/>
          <w:i/>
          <w:color w:val="000000" w:themeColor="text1"/>
        </w:rPr>
        <w:t>American Journal of Physical Anthropology</w:t>
      </w:r>
      <w:r w:rsidRPr="00667B89">
        <w:rPr>
          <w:rFonts w:asciiTheme="majorBidi" w:hAnsiTheme="majorBidi" w:cstheme="majorBidi"/>
          <w:color w:val="000000" w:themeColor="text1"/>
        </w:rPr>
        <w:t xml:space="preserve"> 132(2): 223-233</w:t>
      </w:r>
      <w:r w:rsidR="00F76ECD">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Cardoso, H.F.V.  2008.  Epiphyseal union at the innominate and lower limb in a modern Portuguese skeletal sample, and age estimation in adolescent and young adult male and female skeletons.  </w:t>
      </w:r>
      <w:r w:rsidRPr="00667B89">
        <w:rPr>
          <w:rFonts w:asciiTheme="majorBidi" w:hAnsiTheme="majorBidi" w:cstheme="majorBidi"/>
          <w:i/>
          <w:color w:val="000000" w:themeColor="text1"/>
          <w:lang w:val="en-CA"/>
        </w:rPr>
        <w:t>American Journal of Physical Anthropology</w:t>
      </w:r>
      <w:r w:rsidRPr="00667B89">
        <w:rPr>
          <w:rFonts w:asciiTheme="majorBidi" w:hAnsiTheme="majorBidi" w:cstheme="majorBidi"/>
          <w:color w:val="000000" w:themeColor="text1"/>
          <w:lang w:val="en-CA"/>
        </w:rPr>
        <w:t xml:space="preserve"> 135(2):</w:t>
      </w:r>
      <w:r w:rsidR="00103756">
        <w:rPr>
          <w:rFonts w:asciiTheme="majorBidi" w:hAnsiTheme="majorBidi" w:cstheme="majorBidi"/>
          <w:color w:val="000000" w:themeColor="text1"/>
          <w:lang w:val="en-CA"/>
        </w:rPr>
        <w:t xml:space="preserve"> </w:t>
      </w:r>
      <w:r w:rsidRPr="00667B89">
        <w:rPr>
          <w:rFonts w:asciiTheme="majorBidi" w:hAnsiTheme="majorBidi" w:cstheme="majorBidi"/>
          <w:color w:val="000000" w:themeColor="text1"/>
          <w:lang w:val="en-CA"/>
        </w:rPr>
        <w:t>161-170</w:t>
      </w:r>
      <w:r w:rsidR="00F76ECD">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lang w:val="en-CA"/>
        </w:rPr>
      </w:pPr>
      <w:proofErr w:type="gramStart"/>
      <w:r>
        <w:rPr>
          <w:rFonts w:asciiTheme="majorBidi" w:hAnsiTheme="majorBidi" w:cstheme="majorBidi"/>
          <w:lang w:val="en-CA"/>
        </w:rPr>
        <w:t>Chaillet, N.</w:t>
      </w:r>
      <w:proofErr w:type="gramEnd"/>
      <w:r>
        <w:rPr>
          <w:rFonts w:asciiTheme="majorBidi" w:hAnsiTheme="majorBidi" w:cstheme="majorBidi"/>
          <w:lang w:val="en-CA"/>
        </w:rPr>
        <w:t xml:space="preserve">  Demirjian A.  2004.  </w:t>
      </w:r>
      <w:r w:rsidRPr="00A5135F">
        <w:rPr>
          <w:rFonts w:asciiTheme="majorBidi" w:hAnsiTheme="majorBidi" w:cstheme="majorBidi"/>
          <w:lang w:val="en-CA"/>
        </w:rPr>
        <w:t>Dental maturity in South France: A comparison between Demirjian's method and polynomial functions.</w:t>
      </w:r>
      <w:r>
        <w:rPr>
          <w:rFonts w:asciiTheme="majorBidi" w:hAnsiTheme="majorBidi" w:cstheme="majorBidi"/>
          <w:lang w:val="en-CA"/>
        </w:rPr>
        <w:t xml:space="preserve">  </w:t>
      </w:r>
      <w:r w:rsidRPr="00A5135F">
        <w:rPr>
          <w:rFonts w:asciiTheme="majorBidi" w:hAnsiTheme="majorBidi" w:cstheme="majorBidi"/>
          <w:i/>
          <w:lang w:val="en-CA"/>
        </w:rPr>
        <w:t>Journal of Forensic Sciences</w:t>
      </w:r>
      <w:r>
        <w:rPr>
          <w:rFonts w:asciiTheme="majorBidi" w:hAnsiTheme="majorBidi" w:cstheme="majorBidi"/>
          <w:lang w:val="en-CA"/>
        </w:rPr>
        <w:t xml:space="preserve"> 49(5):</w:t>
      </w:r>
      <w:r w:rsidR="00103756">
        <w:rPr>
          <w:rFonts w:asciiTheme="majorBidi" w:hAnsiTheme="majorBidi" w:cstheme="majorBidi"/>
          <w:lang w:val="en-CA"/>
        </w:rPr>
        <w:t xml:space="preserve"> </w:t>
      </w:r>
      <w:r>
        <w:rPr>
          <w:rFonts w:asciiTheme="majorBidi" w:hAnsiTheme="majorBidi" w:cstheme="majorBidi"/>
          <w:lang w:val="en-CA"/>
        </w:rPr>
        <w:t>1059-1066</w:t>
      </w:r>
      <w:r w:rsidR="00466167">
        <w:rPr>
          <w:rFonts w:asciiTheme="majorBidi" w:hAnsiTheme="majorBidi" w:cstheme="majorBidi"/>
          <w:lang w:val="en-CA"/>
        </w:rPr>
        <w:t>.</w:t>
      </w:r>
    </w:p>
    <w:p w:rsidR="00A35CA0" w:rsidRDefault="00CC3C93" w:rsidP="00CA5FBB">
      <w:pPr>
        <w:spacing w:before="120" w:line="240" w:lineRule="auto"/>
        <w:jc w:val="left"/>
        <w:rPr>
          <w:noProof/>
          <w:color w:val="000000"/>
        </w:rPr>
      </w:pPr>
      <w:r w:rsidRPr="004526C0">
        <w:rPr>
          <w:noProof/>
          <w:color w:val="000000"/>
        </w:rPr>
        <w:t>Chia,</w:t>
      </w:r>
      <w:r>
        <w:rPr>
          <w:noProof/>
          <w:color w:val="000000"/>
        </w:rPr>
        <w:t xml:space="preserve"> D.J.  Ono</w:t>
      </w:r>
      <w:r w:rsidRPr="004526C0">
        <w:rPr>
          <w:noProof/>
          <w:color w:val="000000"/>
        </w:rPr>
        <w:t>,</w:t>
      </w:r>
      <w:r>
        <w:rPr>
          <w:noProof/>
          <w:color w:val="000000"/>
        </w:rPr>
        <w:t xml:space="preserve"> M.  Woelfle</w:t>
      </w:r>
      <w:r w:rsidRPr="004526C0">
        <w:rPr>
          <w:noProof/>
          <w:color w:val="000000"/>
        </w:rPr>
        <w:t>,</w:t>
      </w:r>
      <w:r>
        <w:rPr>
          <w:noProof/>
          <w:color w:val="000000"/>
        </w:rPr>
        <w:t xml:space="preserve"> J.  </w:t>
      </w:r>
      <w:r w:rsidRPr="004526C0">
        <w:rPr>
          <w:noProof/>
          <w:color w:val="000000"/>
        </w:rPr>
        <w:t>Schlesinger-M</w:t>
      </w:r>
      <w:r>
        <w:rPr>
          <w:noProof/>
          <w:color w:val="000000"/>
        </w:rPr>
        <w:t>assart</w:t>
      </w:r>
      <w:r w:rsidRPr="004526C0">
        <w:rPr>
          <w:noProof/>
          <w:color w:val="000000"/>
        </w:rPr>
        <w:t>,</w:t>
      </w:r>
      <w:r>
        <w:rPr>
          <w:noProof/>
          <w:color w:val="000000"/>
        </w:rPr>
        <w:t xml:space="preserve"> M.  Jiang, H.  Rotwein, P.  2006.  C</w:t>
      </w:r>
      <w:r w:rsidRPr="004526C0">
        <w:rPr>
          <w:noProof/>
          <w:color w:val="000000"/>
        </w:rPr>
        <w:t>haracterization of Distinct Stat5b Binding Sites That Mediate Growth Hormone-stimulated IGF-I Gene Transcription</w:t>
      </w:r>
      <w:r>
        <w:rPr>
          <w:noProof/>
          <w:color w:val="000000"/>
        </w:rPr>
        <w:t xml:space="preserve">.  </w:t>
      </w:r>
      <w:r w:rsidRPr="004526C0">
        <w:rPr>
          <w:i/>
          <w:noProof/>
          <w:color w:val="000000"/>
        </w:rPr>
        <w:t>The Journal of Biological Chemistry</w:t>
      </w:r>
      <w:r w:rsidRPr="004526C0">
        <w:rPr>
          <w:noProof/>
          <w:color w:val="000000"/>
        </w:rPr>
        <w:t xml:space="preserve"> 281</w:t>
      </w:r>
      <w:r>
        <w:rPr>
          <w:noProof/>
          <w:color w:val="000000"/>
        </w:rPr>
        <w:t>:</w:t>
      </w:r>
      <w:r w:rsidRPr="004526C0">
        <w:rPr>
          <w:noProof/>
          <w:color w:val="000000"/>
        </w:rPr>
        <w:t xml:space="preserve"> 3190-3197.</w:t>
      </w:r>
    </w:p>
    <w:p w:rsidR="00A35CA0" w:rsidRDefault="00CC3C93" w:rsidP="00CA5FBB">
      <w:pPr>
        <w:spacing w:before="120" w:line="240" w:lineRule="auto"/>
        <w:jc w:val="left"/>
        <w:rPr>
          <w:noProof/>
        </w:rPr>
      </w:pPr>
      <w:r>
        <w:rPr>
          <w:noProof/>
        </w:rPr>
        <w:t xml:space="preserve">Chisholm, J.S.  Quinlivan, J.A.  Petersen, R.W.  </w:t>
      </w:r>
      <w:r w:rsidRPr="00C274B1">
        <w:rPr>
          <w:noProof/>
        </w:rPr>
        <w:t>Coall</w:t>
      </w:r>
      <w:r>
        <w:rPr>
          <w:noProof/>
        </w:rPr>
        <w:t xml:space="preserve">, D.A.  2005.  </w:t>
      </w:r>
      <w:r w:rsidRPr="00C274B1">
        <w:rPr>
          <w:noProof/>
        </w:rPr>
        <w:t>Early stress predicts age at menarche and first birth, adult attachment, and expected lifespan</w:t>
      </w:r>
      <w:r>
        <w:rPr>
          <w:noProof/>
        </w:rPr>
        <w:t xml:space="preserve">.  </w:t>
      </w:r>
      <w:r w:rsidRPr="00015157">
        <w:rPr>
          <w:i/>
          <w:noProof/>
        </w:rPr>
        <w:t>Human Nature</w:t>
      </w:r>
      <w:r w:rsidRPr="00C274B1">
        <w:rPr>
          <w:noProof/>
        </w:rPr>
        <w:t xml:space="preserve"> 16</w:t>
      </w:r>
      <w:r>
        <w:rPr>
          <w:noProof/>
        </w:rPr>
        <w:t>(3):</w:t>
      </w:r>
      <w:r w:rsidRPr="00C274B1">
        <w:rPr>
          <w:noProof/>
        </w:rPr>
        <w:t xml:space="preserve"> 233-265</w:t>
      </w:r>
      <w:r w:rsidR="00466167">
        <w:rPr>
          <w:noProof/>
        </w:rPr>
        <w:t>.</w:t>
      </w:r>
    </w:p>
    <w:p w:rsidR="00A35CA0" w:rsidRPr="00CA5FBB" w:rsidRDefault="008943E4" w:rsidP="00CA5FBB">
      <w:pPr>
        <w:tabs>
          <w:tab w:val="left" w:pos="360"/>
        </w:tabs>
        <w:spacing w:before="120" w:line="240" w:lineRule="auto"/>
        <w:jc w:val="left"/>
        <w:rPr>
          <w:rFonts w:asciiTheme="majorBidi" w:hAnsiTheme="majorBidi" w:cstheme="majorBidi"/>
          <w:color w:val="000000" w:themeColor="text1"/>
        </w:rPr>
      </w:pPr>
      <w:r w:rsidRPr="00CA5FBB">
        <w:rPr>
          <w:rFonts w:asciiTheme="majorBidi" w:hAnsiTheme="majorBidi" w:cstheme="majorBidi"/>
          <w:noProof/>
          <w:color w:val="000000" w:themeColor="text1"/>
        </w:rPr>
        <w:t xml:space="preserve">Cheverud, J.M.  1981.  Epiphyseal union and dental eruption in </w:t>
      </w:r>
      <w:r w:rsidRPr="00CA5FBB">
        <w:rPr>
          <w:rFonts w:asciiTheme="majorBidi" w:hAnsiTheme="majorBidi" w:cstheme="majorBidi"/>
          <w:i/>
          <w:noProof/>
          <w:color w:val="000000" w:themeColor="text1"/>
        </w:rPr>
        <w:t>Macaca mullata</w:t>
      </w:r>
      <w:r w:rsidRPr="00CA5FBB">
        <w:rPr>
          <w:rFonts w:asciiTheme="majorBidi" w:hAnsiTheme="majorBidi" w:cstheme="majorBidi"/>
          <w:noProof/>
          <w:color w:val="000000" w:themeColor="text1"/>
        </w:rPr>
        <w:t xml:space="preserve">.  </w:t>
      </w:r>
      <w:r w:rsidRPr="00CA5FBB">
        <w:rPr>
          <w:rFonts w:asciiTheme="majorBidi" w:hAnsiTheme="majorBidi" w:cstheme="majorBidi"/>
          <w:i/>
          <w:noProof/>
          <w:color w:val="000000" w:themeColor="text1"/>
        </w:rPr>
        <w:t xml:space="preserve">The American Journal of Physical Anthropology </w:t>
      </w:r>
      <w:r w:rsidRPr="00CA5FBB">
        <w:rPr>
          <w:rFonts w:asciiTheme="majorBidi" w:hAnsiTheme="majorBidi" w:cstheme="majorBidi"/>
          <w:noProof/>
          <w:color w:val="000000" w:themeColor="text1"/>
        </w:rPr>
        <w:t>56</w:t>
      </w:r>
      <w:r w:rsidR="00466167">
        <w:rPr>
          <w:rFonts w:asciiTheme="majorBidi" w:hAnsiTheme="majorBidi" w:cstheme="majorBidi"/>
          <w:noProof/>
          <w:color w:val="000000" w:themeColor="text1"/>
        </w:rPr>
        <w:t>(</w:t>
      </w:r>
      <w:r w:rsidRPr="00CA5FBB">
        <w:rPr>
          <w:rFonts w:asciiTheme="majorBidi" w:hAnsiTheme="majorBidi" w:cstheme="majorBidi"/>
          <w:noProof/>
          <w:color w:val="000000" w:themeColor="text1"/>
        </w:rPr>
        <w:t>2</w:t>
      </w:r>
      <w:r w:rsidR="00466167">
        <w:rPr>
          <w:rFonts w:asciiTheme="majorBidi" w:hAnsiTheme="majorBidi" w:cstheme="majorBidi"/>
          <w:noProof/>
          <w:color w:val="000000" w:themeColor="text1"/>
        </w:rPr>
        <w:t>)</w:t>
      </w:r>
      <w:r w:rsidRPr="00CA5FBB">
        <w:rPr>
          <w:rFonts w:asciiTheme="majorBidi" w:hAnsiTheme="majorBidi" w:cstheme="majorBidi"/>
          <w:noProof/>
          <w:color w:val="000000" w:themeColor="text1"/>
        </w:rPr>
        <w:t>: 157-167</w:t>
      </w:r>
      <w:r w:rsidR="00466167">
        <w:rPr>
          <w:rFonts w:asciiTheme="majorBidi" w:hAnsiTheme="majorBidi" w:cstheme="majorBidi"/>
          <w:noProof/>
          <w:color w:val="000000" w:themeColor="text1"/>
        </w:rPr>
        <w:t>.</w:t>
      </w:r>
    </w:p>
    <w:p w:rsidR="00A35CA0" w:rsidRPr="00CA5FBB" w:rsidRDefault="008943E4" w:rsidP="00CA5FBB">
      <w:pPr>
        <w:autoSpaceDE w:val="0"/>
        <w:autoSpaceDN w:val="0"/>
        <w:adjustRightInd w:val="0"/>
        <w:spacing w:before="120" w:line="240" w:lineRule="auto"/>
        <w:jc w:val="left"/>
        <w:rPr>
          <w:rFonts w:asciiTheme="majorBidi" w:eastAsia="NewCenturySchlbk-Roman" w:hAnsiTheme="majorBidi" w:cstheme="majorBidi"/>
          <w:i/>
          <w:color w:val="000000" w:themeColor="text1"/>
        </w:rPr>
      </w:pPr>
      <w:r w:rsidRPr="00CA5FBB">
        <w:rPr>
          <w:rFonts w:asciiTheme="majorBidi" w:eastAsia="NewCenturySchlbk-Roman" w:hAnsiTheme="majorBidi" w:cstheme="majorBidi"/>
          <w:color w:val="000000" w:themeColor="text1"/>
        </w:rPr>
        <w:t xml:space="preserve">Clegg, M.  Aiello, L.C.  1999.  A comparison of the Nariokotome </w:t>
      </w:r>
      <w:r w:rsidRPr="00CA5FBB">
        <w:rPr>
          <w:rFonts w:asciiTheme="majorBidi" w:eastAsia="NewCenturySchlbk-Roman" w:hAnsiTheme="majorBidi" w:cstheme="majorBidi"/>
          <w:i/>
          <w:color w:val="000000" w:themeColor="text1"/>
        </w:rPr>
        <w:t xml:space="preserve">Homo erectus </w:t>
      </w:r>
      <w:r w:rsidRPr="00CA5FBB">
        <w:rPr>
          <w:rFonts w:asciiTheme="majorBidi" w:eastAsia="NewCenturySchlbk-Roman" w:hAnsiTheme="majorBidi" w:cstheme="majorBidi"/>
          <w:color w:val="000000" w:themeColor="text1"/>
        </w:rPr>
        <w:t xml:space="preserve">with juveniles from a modern human population. </w:t>
      </w:r>
      <w:r w:rsidRPr="00CA5FBB">
        <w:rPr>
          <w:rFonts w:asciiTheme="majorBidi" w:eastAsia="NewCenturySchlbk-Roman" w:hAnsiTheme="majorBidi" w:cstheme="majorBidi"/>
          <w:i/>
          <w:color w:val="000000" w:themeColor="text1"/>
        </w:rPr>
        <w:t>American Journal of Physical Anthropology</w:t>
      </w:r>
      <w:r w:rsidRPr="00CA5FBB">
        <w:rPr>
          <w:rFonts w:asciiTheme="majorBidi" w:eastAsia="NewCenturySchlbk-Roman" w:hAnsiTheme="majorBidi" w:cstheme="majorBidi"/>
          <w:color w:val="000000" w:themeColor="text1"/>
        </w:rPr>
        <w:t xml:space="preserve"> 110(1): 81–93.</w:t>
      </w:r>
    </w:p>
    <w:p w:rsidR="00A35CA0" w:rsidRDefault="008943E4" w:rsidP="00CA5FBB">
      <w:pPr>
        <w:spacing w:before="120" w:line="240" w:lineRule="auto"/>
        <w:jc w:val="left"/>
        <w:rPr>
          <w:noProof/>
          <w:color w:val="000000"/>
        </w:rPr>
      </w:pPr>
      <w:r w:rsidRPr="00CA5FBB">
        <w:rPr>
          <w:noProof/>
          <w:color w:val="000000" w:themeColor="text1"/>
        </w:rPr>
        <w:t>Cobb, S.  O’Higgins, P.  2007.</w:t>
      </w:r>
      <w:r w:rsidR="00CC3C93">
        <w:rPr>
          <w:noProof/>
          <w:color w:val="000000"/>
        </w:rPr>
        <w:t xml:space="preserve">  The ontogeny of sexual dimorphism in the facial skeleton of the African apes.  </w:t>
      </w:r>
      <w:r w:rsidR="00CC3C93">
        <w:rPr>
          <w:i/>
          <w:noProof/>
          <w:color w:val="000000"/>
        </w:rPr>
        <w:t>Journal of Human Evolution</w:t>
      </w:r>
      <w:r w:rsidR="00CC3C93">
        <w:rPr>
          <w:noProof/>
          <w:color w:val="000000"/>
        </w:rPr>
        <w:t xml:space="preserve"> 53(2): 176-190</w:t>
      </w:r>
      <w:r w:rsidR="00DE2923">
        <w:rPr>
          <w:noProof/>
          <w:color w:val="000000"/>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Cockshott, W.P.  Park, W</w:t>
      </w:r>
      <w:proofErr w:type="gramStart"/>
      <w:r w:rsidRPr="00667B89">
        <w:rPr>
          <w:rFonts w:asciiTheme="majorBidi" w:hAnsiTheme="majorBidi" w:cstheme="majorBidi"/>
          <w:color w:val="000000" w:themeColor="text1"/>
          <w:lang w:val="en-CA"/>
        </w:rPr>
        <w:t>,M</w:t>
      </w:r>
      <w:proofErr w:type="gramEnd"/>
      <w:r w:rsidRPr="00667B89">
        <w:rPr>
          <w:rFonts w:asciiTheme="majorBidi" w:hAnsiTheme="majorBidi" w:cstheme="majorBidi"/>
          <w:color w:val="000000" w:themeColor="text1"/>
          <w:lang w:val="en-CA"/>
        </w:rPr>
        <w:t xml:space="preserve">,  1983.  </w:t>
      </w:r>
      <w:proofErr w:type="gramStart"/>
      <w:r w:rsidRPr="00667B89">
        <w:rPr>
          <w:rFonts w:asciiTheme="majorBidi" w:hAnsiTheme="majorBidi" w:cstheme="majorBidi"/>
          <w:color w:val="000000" w:themeColor="text1"/>
          <w:lang w:val="en-CA"/>
        </w:rPr>
        <w:t>Observer variation in skeletal radiology.</w:t>
      </w:r>
      <w:proofErr w:type="gramEnd"/>
      <w:r w:rsidRPr="00667B89">
        <w:rPr>
          <w:rFonts w:asciiTheme="majorBidi" w:hAnsiTheme="majorBidi" w:cstheme="majorBidi"/>
          <w:color w:val="000000" w:themeColor="text1"/>
          <w:lang w:val="en-CA"/>
        </w:rPr>
        <w:t xml:space="preserve">  </w:t>
      </w:r>
      <w:r w:rsidRPr="00667B89">
        <w:rPr>
          <w:rFonts w:asciiTheme="majorBidi" w:hAnsiTheme="majorBidi" w:cstheme="majorBidi"/>
          <w:i/>
          <w:color w:val="000000" w:themeColor="text1"/>
          <w:lang w:val="en-CA"/>
        </w:rPr>
        <w:t>Skeletal Radiology</w:t>
      </w:r>
      <w:r w:rsidRPr="00667B89">
        <w:rPr>
          <w:rFonts w:asciiTheme="majorBidi" w:hAnsiTheme="majorBidi" w:cstheme="majorBidi"/>
          <w:color w:val="000000" w:themeColor="text1"/>
          <w:lang w:val="en-CA"/>
        </w:rPr>
        <w:t xml:space="preserve"> 10:</w:t>
      </w:r>
      <w:r w:rsidR="00103756">
        <w:rPr>
          <w:rFonts w:asciiTheme="majorBidi" w:hAnsiTheme="majorBidi" w:cstheme="majorBidi"/>
          <w:color w:val="000000" w:themeColor="text1"/>
          <w:lang w:val="en-CA"/>
        </w:rPr>
        <w:t xml:space="preserve"> </w:t>
      </w:r>
      <w:r w:rsidRPr="00667B89">
        <w:rPr>
          <w:rFonts w:asciiTheme="majorBidi" w:hAnsiTheme="majorBidi" w:cstheme="majorBidi"/>
          <w:color w:val="000000" w:themeColor="text1"/>
          <w:lang w:val="en-CA"/>
        </w:rPr>
        <w:t>86-90</w:t>
      </w:r>
      <w:r w:rsidR="00DE2923">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color w:val="000000" w:themeColor="text1"/>
          <w:lang w:val="en-CA"/>
        </w:rPr>
      </w:pPr>
      <w:r w:rsidRPr="00BB5D98">
        <w:rPr>
          <w:rFonts w:asciiTheme="majorBidi" w:hAnsiTheme="majorBidi" w:cstheme="majorBidi"/>
          <w:color w:val="000000" w:themeColor="text1"/>
          <w:lang w:val="en-CA"/>
        </w:rPr>
        <w:t>C</w:t>
      </w:r>
      <w:r>
        <w:rPr>
          <w:rFonts w:asciiTheme="majorBidi" w:hAnsiTheme="majorBidi" w:cstheme="majorBidi"/>
          <w:color w:val="000000" w:themeColor="text1"/>
          <w:lang w:val="en-CA"/>
        </w:rPr>
        <w:t>oe, C.</w:t>
      </w:r>
      <w:r w:rsidRPr="00BB5D98">
        <w:rPr>
          <w:rFonts w:asciiTheme="majorBidi" w:hAnsiTheme="majorBidi" w:cstheme="majorBidi"/>
          <w:color w:val="000000" w:themeColor="text1"/>
          <w:lang w:val="en-CA"/>
        </w:rPr>
        <w:t>L.</w:t>
      </w:r>
      <w:r>
        <w:rPr>
          <w:rFonts w:asciiTheme="majorBidi" w:hAnsiTheme="majorBidi" w:cstheme="majorBidi"/>
          <w:color w:val="000000" w:themeColor="text1"/>
          <w:lang w:val="en-CA"/>
        </w:rPr>
        <w:t xml:space="preserve">  </w:t>
      </w:r>
      <w:r w:rsidRPr="00BB5D98">
        <w:rPr>
          <w:rFonts w:asciiTheme="majorBidi" w:hAnsiTheme="majorBidi" w:cstheme="majorBidi"/>
          <w:color w:val="000000" w:themeColor="text1"/>
          <w:lang w:val="en-CA"/>
        </w:rPr>
        <w:t>C</w:t>
      </w:r>
      <w:r>
        <w:rPr>
          <w:rFonts w:asciiTheme="majorBidi" w:hAnsiTheme="majorBidi" w:cstheme="majorBidi"/>
          <w:color w:val="000000" w:themeColor="text1"/>
          <w:lang w:val="en-CA"/>
        </w:rPr>
        <w:t>onnolly, A.</w:t>
      </w:r>
      <w:r w:rsidRPr="00BB5D98">
        <w:rPr>
          <w:rFonts w:asciiTheme="majorBidi" w:hAnsiTheme="majorBidi" w:cstheme="majorBidi"/>
          <w:color w:val="000000" w:themeColor="text1"/>
          <w:lang w:val="en-CA"/>
        </w:rPr>
        <w:t>C.</w:t>
      </w:r>
      <w:r>
        <w:rPr>
          <w:rFonts w:asciiTheme="majorBidi" w:hAnsiTheme="majorBidi" w:cstheme="majorBidi"/>
          <w:color w:val="000000" w:themeColor="text1"/>
          <w:lang w:val="en-CA"/>
        </w:rPr>
        <w:t xml:space="preserve"> </w:t>
      </w:r>
      <w:r w:rsidRPr="00BB5D98">
        <w:rPr>
          <w:rFonts w:asciiTheme="majorBidi" w:hAnsiTheme="majorBidi" w:cstheme="majorBidi"/>
          <w:color w:val="000000" w:themeColor="text1"/>
          <w:lang w:val="en-CA"/>
        </w:rPr>
        <w:t xml:space="preserve"> K</w:t>
      </w:r>
      <w:r>
        <w:rPr>
          <w:rFonts w:asciiTheme="majorBidi" w:hAnsiTheme="majorBidi" w:cstheme="majorBidi"/>
          <w:color w:val="000000" w:themeColor="text1"/>
          <w:lang w:val="en-CA"/>
        </w:rPr>
        <w:t>raemer, H.</w:t>
      </w:r>
      <w:r w:rsidRPr="00BB5D98">
        <w:rPr>
          <w:rFonts w:asciiTheme="majorBidi" w:hAnsiTheme="majorBidi" w:cstheme="majorBidi"/>
          <w:color w:val="000000" w:themeColor="text1"/>
          <w:lang w:val="en-CA"/>
        </w:rPr>
        <w:t>C.</w:t>
      </w:r>
      <w:r>
        <w:rPr>
          <w:rFonts w:asciiTheme="majorBidi" w:hAnsiTheme="majorBidi" w:cstheme="majorBidi"/>
          <w:color w:val="000000" w:themeColor="text1"/>
          <w:lang w:val="en-CA"/>
        </w:rPr>
        <w:t xml:space="preserve"> </w:t>
      </w:r>
      <w:r w:rsidRPr="00BB5D98">
        <w:rPr>
          <w:rFonts w:asciiTheme="majorBidi" w:hAnsiTheme="majorBidi" w:cstheme="majorBidi"/>
          <w:color w:val="000000" w:themeColor="text1"/>
          <w:lang w:val="en-CA"/>
        </w:rPr>
        <w:t xml:space="preserve"> </w:t>
      </w:r>
      <w:proofErr w:type="gramStart"/>
      <w:r w:rsidRPr="00BB5D98">
        <w:rPr>
          <w:rFonts w:asciiTheme="majorBidi" w:hAnsiTheme="majorBidi" w:cstheme="majorBidi"/>
          <w:color w:val="000000" w:themeColor="text1"/>
          <w:lang w:val="en-CA"/>
        </w:rPr>
        <w:t>L</w:t>
      </w:r>
      <w:r w:rsidR="00734E2A">
        <w:rPr>
          <w:rFonts w:asciiTheme="majorBidi" w:hAnsiTheme="majorBidi" w:cstheme="majorBidi"/>
          <w:color w:val="000000" w:themeColor="text1"/>
          <w:lang w:val="en-CA"/>
        </w:rPr>
        <w:t>evine</w:t>
      </w:r>
      <w:r w:rsidRPr="00BB5D98">
        <w:rPr>
          <w:rFonts w:asciiTheme="majorBidi" w:hAnsiTheme="majorBidi" w:cstheme="majorBidi"/>
          <w:color w:val="000000" w:themeColor="text1"/>
          <w:lang w:val="en-CA"/>
        </w:rPr>
        <w:t>, S.</w:t>
      </w:r>
      <w:proofErr w:type="gramEnd"/>
      <w:r w:rsidRPr="00BB5D98">
        <w:rPr>
          <w:rFonts w:asciiTheme="majorBidi" w:hAnsiTheme="majorBidi" w:cstheme="majorBidi"/>
          <w:color w:val="000000" w:themeColor="text1"/>
          <w:lang w:val="en-CA"/>
        </w:rPr>
        <w:t xml:space="preserve"> </w:t>
      </w:r>
      <w:r>
        <w:rPr>
          <w:rFonts w:asciiTheme="majorBidi" w:hAnsiTheme="majorBidi" w:cstheme="majorBidi"/>
          <w:color w:val="000000" w:themeColor="text1"/>
          <w:lang w:val="en-CA"/>
        </w:rPr>
        <w:t xml:space="preserve"> </w:t>
      </w:r>
      <w:r w:rsidRPr="00BB5D98">
        <w:rPr>
          <w:rFonts w:asciiTheme="majorBidi" w:hAnsiTheme="majorBidi" w:cstheme="majorBidi"/>
          <w:color w:val="000000" w:themeColor="text1"/>
          <w:lang w:val="en-CA"/>
        </w:rPr>
        <w:t xml:space="preserve">1979. </w:t>
      </w:r>
      <w:r>
        <w:rPr>
          <w:rFonts w:asciiTheme="majorBidi" w:hAnsiTheme="majorBidi" w:cstheme="majorBidi"/>
          <w:color w:val="000000" w:themeColor="text1"/>
          <w:lang w:val="en-CA"/>
        </w:rPr>
        <w:t xml:space="preserve"> Reproductive development of </w:t>
      </w:r>
      <w:r w:rsidRPr="00BB5D98">
        <w:rPr>
          <w:rFonts w:asciiTheme="majorBidi" w:hAnsiTheme="majorBidi" w:cstheme="majorBidi"/>
          <w:color w:val="000000" w:themeColor="text1"/>
          <w:lang w:val="en-CA"/>
        </w:rPr>
        <w:t xml:space="preserve">behavior of captive female chimpanzee. </w:t>
      </w:r>
      <w:r>
        <w:rPr>
          <w:rFonts w:asciiTheme="majorBidi" w:hAnsiTheme="majorBidi" w:cstheme="majorBidi"/>
          <w:color w:val="000000" w:themeColor="text1"/>
          <w:lang w:val="en-CA"/>
        </w:rPr>
        <w:t xml:space="preserve"> </w:t>
      </w:r>
      <w:r w:rsidRPr="00BB5D98">
        <w:rPr>
          <w:rFonts w:asciiTheme="majorBidi" w:hAnsiTheme="majorBidi" w:cstheme="majorBidi"/>
          <w:i/>
          <w:color w:val="000000" w:themeColor="text1"/>
          <w:lang w:val="en-CA"/>
        </w:rPr>
        <w:t>Primates</w:t>
      </w:r>
      <w:r w:rsidRPr="00BB5D98">
        <w:rPr>
          <w:rFonts w:asciiTheme="majorBidi" w:hAnsiTheme="majorBidi" w:cstheme="majorBidi"/>
          <w:color w:val="000000" w:themeColor="text1"/>
          <w:lang w:val="en-CA"/>
        </w:rPr>
        <w:t xml:space="preserve"> 23</w:t>
      </w:r>
      <w:r w:rsidR="00734E2A">
        <w:rPr>
          <w:rFonts w:asciiTheme="majorBidi" w:hAnsiTheme="majorBidi" w:cstheme="majorBidi"/>
          <w:color w:val="000000" w:themeColor="text1"/>
          <w:lang w:val="en-CA"/>
        </w:rPr>
        <w:t>(4)</w:t>
      </w:r>
      <w:r w:rsidR="00103756">
        <w:rPr>
          <w:rFonts w:asciiTheme="majorBidi" w:hAnsiTheme="majorBidi" w:cstheme="majorBidi"/>
          <w:color w:val="000000" w:themeColor="text1"/>
          <w:lang w:val="en-CA"/>
        </w:rPr>
        <w:t>:</w:t>
      </w:r>
      <w:r w:rsidRPr="00BB5D98">
        <w:rPr>
          <w:rFonts w:asciiTheme="majorBidi" w:hAnsiTheme="majorBidi" w:cstheme="majorBidi"/>
          <w:color w:val="000000" w:themeColor="text1"/>
          <w:lang w:val="en-CA"/>
        </w:rPr>
        <w:t xml:space="preserve"> 393-405.</w:t>
      </w:r>
    </w:p>
    <w:p w:rsidR="00A35CA0" w:rsidRDefault="00CC3C93" w:rsidP="00CA5FBB">
      <w:pPr>
        <w:autoSpaceDE w:val="0"/>
        <w:autoSpaceDN w:val="0"/>
        <w:adjustRightInd w:val="0"/>
        <w:spacing w:before="120" w:line="240" w:lineRule="auto"/>
        <w:jc w:val="left"/>
        <w:rPr>
          <w:rFonts w:asciiTheme="majorBidi" w:hAnsiTheme="majorBidi" w:cstheme="majorBidi"/>
          <w:color w:val="000000" w:themeColor="text1"/>
        </w:rPr>
      </w:pPr>
      <w:r w:rsidRPr="00667B89">
        <w:rPr>
          <w:rFonts w:asciiTheme="majorBidi" w:hAnsiTheme="majorBidi" w:cstheme="majorBidi"/>
          <w:noProof/>
          <w:color w:val="000000" w:themeColor="text1"/>
        </w:rPr>
        <w:lastRenderedPageBreak/>
        <w:t xml:space="preserve">Colbert, M.W.  Rowe, T.  2008.  </w:t>
      </w:r>
      <w:r w:rsidRPr="00667B89">
        <w:rPr>
          <w:rFonts w:asciiTheme="majorBidi" w:hAnsiTheme="majorBidi" w:cstheme="majorBidi"/>
          <w:color w:val="000000" w:themeColor="text1"/>
        </w:rPr>
        <w:t xml:space="preserve">Ontogenetic Sequence Analysis: Using Parsimony to Characterize Developmental Sequences and Sequence Polymorphism.  </w:t>
      </w:r>
      <w:r w:rsidRPr="00667B89">
        <w:rPr>
          <w:rFonts w:asciiTheme="majorBidi" w:hAnsiTheme="majorBidi" w:cstheme="majorBidi"/>
          <w:i/>
          <w:color w:val="000000" w:themeColor="text1"/>
        </w:rPr>
        <w:t>Journal of Experimental Zoology</w:t>
      </w:r>
      <w:r w:rsidRPr="00667B89">
        <w:rPr>
          <w:rFonts w:asciiTheme="majorBidi" w:hAnsiTheme="majorBidi" w:cstheme="majorBidi"/>
          <w:color w:val="000000" w:themeColor="text1"/>
        </w:rPr>
        <w:t xml:space="preserve"> </w:t>
      </w:r>
      <w:proofErr w:type="gramStart"/>
      <w:r w:rsidRPr="00667B89">
        <w:rPr>
          <w:rFonts w:asciiTheme="majorBidi" w:hAnsiTheme="majorBidi" w:cstheme="majorBidi"/>
          <w:color w:val="000000" w:themeColor="text1"/>
        </w:rPr>
        <w:t>310B</w:t>
      </w:r>
      <w:r w:rsidR="00891779">
        <w:rPr>
          <w:rFonts w:asciiTheme="majorBidi" w:hAnsiTheme="majorBidi" w:cstheme="majorBidi"/>
          <w:color w:val="000000" w:themeColor="text1"/>
        </w:rPr>
        <w:t>(</w:t>
      </w:r>
      <w:proofErr w:type="gramEnd"/>
      <w:r w:rsidR="00891779">
        <w:rPr>
          <w:rFonts w:asciiTheme="majorBidi" w:hAnsiTheme="majorBidi" w:cstheme="majorBidi"/>
          <w:color w:val="000000" w:themeColor="text1"/>
        </w:rPr>
        <w:t>5):</w:t>
      </w:r>
      <w:r w:rsidRPr="00667B89">
        <w:rPr>
          <w:rFonts w:asciiTheme="majorBidi" w:hAnsiTheme="majorBidi" w:cstheme="majorBidi"/>
          <w:color w:val="000000" w:themeColor="text1"/>
        </w:rPr>
        <w:t xml:space="preserve"> 398-416</w:t>
      </w:r>
      <w:r w:rsidR="00891779">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rPr>
      </w:pPr>
      <w:proofErr w:type="gramStart"/>
      <w:r w:rsidRPr="00667B89">
        <w:rPr>
          <w:rFonts w:asciiTheme="majorBidi" w:hAnsiTheme="majorBidi" w:cstheme="majorBidi"/>
        </w:rPr>
        <w:t>Conroy, G.C.</w:t>
      </w:r>
      <w:proofErr w:type="gramEnd"/>
      <w:r w:rsidRPr="00667B89">
        <w:rPr>
          <w:rFonts w:asciiTheme="majorBidi" w:hAnsiTheme="majorBidi" w:cstheme="majorBidi"/>
        </w:rPr>
        <w:t xml:space="preserve">  Kuykendall, K.  1995.  Paleopediatrics: Or when did human infants really become human?  </w:t>
      </w:r>
      <w:r w:rsidRPr="00667B89">
        <w:rPr>
          <w:rFonts w:asciiTheme="majorBidi" w:hAnsiTheme="majorBidi" w:cstheme="majorBidi"/>
          <w:i/>
        </w:rPr>
        <w:t>American Journal of Physical Anthropology</w:t>
      </w:r>
      <w:r w:rsidRPr="00667B89">
        <w:rPr>
          <w:rFonts w:asciiTheme="majorBidi" w:hAnsiTheme="majorBidi" w:cstheme="majorBidi"/>
        </w:rPr>
        <w:t xml:space="preserve"> 98</w:t>
      </w:r>
      <w:r w:rsidR="0065428D">
        <w:rPr>
          <w:rFonts w:asciiTheme="majorBidi" w:hAnsiTheme="majorBidi" w:cstheme="majorBidi"/>
        </w:rPr>
        <w:t>(2)</w:t>
      </w:r>
      <w:r w:rsidRPr="00667B89">
        <w:rPr>
          <w:rFonts w:asciiTheme="majorBidi" w:hAnsiTheme="majorBidi" w:cstheme="majorBidi"/>
        </w:rPr>
        <w:t>:</w:t>
      </w:r>
      <w:r w:rsidR="00103756">
        <w:rPr>
          <w:rFonts w:asciiTheme="majorBidi" w:hAnsiTheme="majorBidi" w:cstheme="majorBidi"/>
        </w:rPr>
        <w:t xml:space="preserve"> </w:t>
      </w:r>
      <w:r w:rsidRPr="00667B89">
        <w:rPr>
          <w:rFonts w:asciiTheme="majorBidi" w:hAnsiTheme="majorBidi" w:cstheme="majorBidi"/>
        </w:rPr>
        <w:t>121-131</w:t>
      </w:r>
      <w:r w:rsidR="0065428D">
        <w:rPr>
          <w:rFonts w:asciiTheme="majorBidi" w:hAnsiTheme="majorBidi" w:cstheme="majorBidi"/>
        </w:rPr>
        <w:t>.</w:t>
      </w:r>
    </w:p>
    <w:p w:rsidR="00A35CA0" w:rsidRDefault="00CC3C93" w:rsidP="00CA5FBB">
      <w:pPr>
        <w:autoSpaceDE w:val="0"/>
        <w:autoSpaceDN w:val="0"/>
        <w:adjustRightInd w:val="0"/>
        <w:spacing w:before="120" w:line="240" w:lineRule="auto"/>
        <w:jc w:val="left"/>
        <w:rPr>
          <w:rFonts w:eastAsiaTheme="minorHAnsi"/>
          <w:lang w:val="en-GB"/>
        </w:rPr>
      </w:pPr>
      <w:proofErr w:type="gramStart"/>
      <w:r w:rsidRPr="003F1612">
        <w:rPr>
          <w:rFonts w:eastAsiaTheme="minorHAnsi"/>
          <w:lang w:val="en-GB"/>
        </w:rPr>
        <w:t>Conroy, G.C.</w:t>
      </w:r>
      <w:proofErr w:type="gramEnd"/>
      <w:r w:rsidRPr="003F1612">
        <w:rPr>
          <w:rFonts w:eastAsiaTheme="minorHAnsi"/>
          <w:lang w:val="en-GB"/>
        </w:rPr>
        <w:t xml:space="preserve"> </w:t>
      </w:r>
      <w:r>
        <w:rPr>
          <w:rFonts w:eastAsiaTheme="minorHAnsi"/>
          <w:lang w:val="en-GB"/>
        </w:rPr>
        <w:t xml:space="preserve"> M</w:t>
      </w:r>
      <w:r w:rsidRPr="003F1612">
        <w:rPr>
          <w:rFonts w:eastAsiaTheme="minorHAnsi"/>
          <w:lang w:val="en-GB"/>
        </w:rPr>
        <w:t xml:space="preserve">ahoney, C.J. </w:t>
      </w:r>
      <w:r>
        <w:rPr>
          <w:rFonts w:eastAsiaTheme="minorHAnsi"/>
          <w:lang w:val="en-GB"/>
        </w:rPr>
        <w:t xml:space="preserve"> </w:t>
      </w:r>
      <w:r w:rsidRPr="003F1612">
        <w:rPr>
          <w:rFonts w:eastAsiaTheme="minorHAnsi"/>
          <w:lang w:val="en-GB"/>
        </w:rPr>
        <w:t xml:space="preserve">1991. </w:t>
      </w:r>
      <w:r>
        <w:rPr>
          <w:rFonts w:eastAsiaTheme="minorHAnsi"/>
          <w:lang w:val="en-GB"/>
        </w:rPr>
        <w:t xml:space="preserve"> </w:t>
      </w:r>
      <w:r w:rsidRPr="003F1612">
        <w:rPr>
          <w:rFonts w:eastAsiaTheme="minorHAnsi"/>
          <w:lang w:val="en-GB"/>
        </w:rPr>
        <w:t>Mixed longitudinal</w:t>
      </w:r>
      <w:r>
        <w:rPr>
          <w:rFonts w:eastAsiaTheme="minorHAnsi"/>
          <w:lang w:val="en-GB"/>
        </w:rPr>
        <w:t xml:space="preserve"> </w:t>
      </w:r>
      <w:r w:rsidRPr="003F1612">
        <w:rPr>
          <w:rFonts w:eastAsiaTheme="minorHAnsi"/>
          <w:lang w:val="en-GB"/>
        </w:rPr>
        <w:t xml:space="preserve">study of dental emergence in the chimpanzee, </w:t>
      </w:r>
      <w:r w:rsidRPr="003F1612">
        <w:rPr>
          <w:rFonts w:eastAsia="AdvTimes-i"/>
          <w:i/>
          <w:lang w:val="en-GB"/>
        </w:rPr>
        <w:t xml:space="preserve">Pan </w:t>
      </w:r>
      <w:proofErr w:type="gramStart"/>
      <w:r w:rsidRPr="003F1612">
        <w:rPr>
          <w:rFonts w:eastAsia="AdvTimes-i"/>
          <w:i/>
          <w:lang w:val="en-GB"/>
        </w:rPr>
        <w:t>troglodytes</w:t>
      </w:r>
      <w:proofErr w:type="gramEnd"/>
      <w:r>
        <w:rPr>
          <w:rFonts w:eastAsiaTheme="minorHAnsi"/>
          <w:lang w:val="en-GB"/>
        </w:rPr>
        <w:t xml:space="preserve"> </w:t>
      </w:r>
      <w:r w:rsidRPr="003F1612">
        <w:rPr>
          <w:rFonts w:eastAsiaTheme="minorHAnsi"/>
          <w:lang w:val="en-GB"/>
        </w:rPr>
        <w:t xml:space="preserve">(primates, pongidae). </w:t>
      </w:r>
      <w:proofErr w:type="gramStart"/>
      <w:r w:rsidRPr="003F1612">
        <w:rPr>
          <w:rFonts w:eastAsia="AdvTimes-i"/>
          <w:i/>
          <w:lang w:val="en-GB"/>
        </w:rPr>
        <w:t>American Journal of Physical Anthropology</w:t>
      </w:r>
      <w:r w:rsidRPr="003F1612">
        <w:rPr>
          <w:rFonts w:eastAsia="AdvTimes-i"/>
          <w:lang w:val="en-GB"/>
        </w:rPr>
        <w:t xml:space="preserve"> </w:t>
      </w:r>
      <w:r w:rsidRPr="003F1612">
        <w:rPr>
          <w:rFonts w:eastAsiaTheme="minorHAnsi"/>
          <w:lang w:val="en-GB"/>
        </w:rPr>
        <w:t>86</w:t>
      </w:r>
      <w:r>
        <w:rPr>
          <w:rFonts w:eastAsiaTheme="minorHAnsi"/>
          <w:lang w:val="en-GB"/>
        </w:rPr>
        <w:t xml:space="preserve">(2): </w:t>
      </w:r>
      <w:r w:rsidRPr="003F1612">
        <w:rPr>
          <w:rFonts w:eastAsiaTheme="minorHAnsi"/>
          <w:lang w:val="en-GB"/>
        </w:rPr>
        <w:t>243–</w:t>
      </w:r>
      <w:r>
        <w:rPr>
          <w:rFonts w:eastAsiaTheme="minorHAnsi"/>
          <w:lang w:val="en-GB"/>
        </w:rPr>
        <w:t>254</w:t>
      </w:r>
      <w:r w:rsidR="00317B8F">
        <w:rPr>
          <w:rFonts w:eastAsiaTheme="minorHAnsi"/>
          <w:lang w:val="en-GB"/>
        </w:rPr>
        <w:t>.</w:t>
      </w:r>
      <w:proofErr w:type="gramEnd"/>
    </w:p>
    <w:p w:rsidR="00A35CA0" w:rsidRDefault="00CC3C93" w:rsidP="00CA5FBB">
      <w:pPr>
        <w:spacing w:before="120" w:line="240" w:lineRule="auto"/>
        <w:jc w:val="left"/>
        <w:rPr>
          <w:rFonts w:asciiTheme="majorBidi" w:hAnsiTheme="majorBidi" w:cstheme="majorBidi"/>
        </w:rPr>
      </w:pPr>
      <w:proofErr w:type="gramStart"/>
      <w:r w:rsidRPr="00667B89">
        <w:rPr>
          <w:rFonts w:asciiTheme="majorBidi" w:hAnsiTheme="majorBidi" w:cstheme="majorBidi"/>
        </w:rPr>
        <w:t>Conroy, G.C.</w:t>
      </w:r>
      <w:proofErr w:type="gramEnd"/>
      <w:r w:rsidRPr="00667B89">
        <w:rPr>
          <w:rFonts w:asciiTheme="majorBidi" w:hAnsiTheme="majorBidi" w:cstheme="majorBidi"/>
        </w:rPr>
        <w:t xml:space="preserve">  </w:t>
      </w:r>
      <w:proofErr w:type="gramStart"/>
      <w:r w:rsidRPr="00667B89">
        <w:rPr>
          <w:rFonts w:asciiTheme="majorBidi" w:hAnsiTheme="majorBidi" w:cstheme="majorBidi"/>
        </w:rPr>
        <w:t>Vannier, M.W.</w:t>
      </w:r>
      <w:proofErr w:type="gramEnd"/>
      <w:r w:rsidRPr="00667B89">
        <w:rPr>
          <w:rFonts w:asciiTheme="majorBidi" w:hAnsiTheme="majorBidi" w:cstheme="majorBidi"/>
        </w:rPr>
        <w:t xml:space="preserve">  1987.  Dental Development of the Taung skull from computerized tomography.  </w:t>
      </w:r>
      <w:r w:rsidRPr="00667B89">
        <w:rPr>
          <w:rFonts w:asciiTheme="majorBidi" w:hAnsiTheme="majorBidi" w:cstheme="majorBidi"/>
          <w:i/>
        </w:rPr>
        <w:t>Nature</w:t>
      </w:r>
      <w:r w:rsidRPr="00667B89">
        <w:rPr>
          <w:rFonts w:asciiTheme="majorBidi" w:hAnsiTheme="majorBidi" w:cstheme="majorBidi"/>
        </w:rPr>
        <w:t xml:space="preserve"> 329</w:t>
      </w:r>
      <w:r w:rsidR="004536EF">
        <w:rPr>
          <w:rFonts w:asciiTheme="majorBidi" w:hAnsiTheme="majorBidi" w:cstheme="majorBidi"/>
        </w:rPr>
        <w:t>(</w:t>
      </w:r>
      <w:r w:rsidRPr="00667B89">
        <w:rPr>
          <w:rFonts w:asciiTheme="majorBidi" w:hAnsiTheme="majorBidi" w:cstheme="majorBidi"/>
        </w:rPr>
        <w:t>6140</w:t>
      </w:r>
      <w:r w:rsidR="004536EF">
        <w:rPr>
          <w:rFonts w:asciiTheme="majorBidi" w:hAnsiTheme="majorBidi" w:cstheme="majorBidi"/>
        </w:rPr>
        <w:t>)</w:t>
      </w:r>
      <w:r w:rsidRPr="00667B89">
        <w:rPr>
          <w:rFonts w:asciiTheme="majorBidi" w:hAnsiTheme="majorBidi" w:cstheme="majorBidi"/>
        </w:rPr>
        <w:t>:</w:t>
      </w:r>
      <w:r w:rsidR="004536EF">
        <w:rPr>
          <w:rFonts w:asciiTheme="majorBidi" w:hAnsiTheme="majorBidi" w:cstheme="majorBidi"/>
        </w:rPr>
        <w:t xml:space="preserve"> </w:t>
      </w:r>
      <w:r w:rsidRPr="00667B89">
        <w:rPr>
          <w:rFonts w:asciiTheme="majorBidi" w:hAnsiTheme="majorBidi" w:cstheme="majorBidi"/>
        </w:rPr>
        <w:t>625-627</w:t>
      </w:r>
      <w:r w:rsidR="00317B8F">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 xml:space="preserve">Coolidge, H.J. 1933.  </w:t>
      </w:r>
      <w:r w:rsidRPr="00667B89">
        <w:rPr>
          <w:rFonts w:asciiTheme="majorBidi" w:hAnsiTheme="majorBidi" w:cstheme="majorBidi"/>
          <w:i/>
          <w:color w:val="000000"/>
          <w:lang w:val="en-CA"/>
        </w:rPr>
        <w:t xml:space="preserve">Pan </w:t>
      </w:r>
      <w:proofErr w:type="gramStart"/>
      <w:r w:rsidRPr="00667B89">
        <w:rPr>
          <w:rFonts w:asciiTheme="majorBidi" w:hAnsiTheme="majorBidi" w:cstheme="majorBidi"/>
          <w:i/>
          <w:color w:val="000000"/>
          <w:lang w:val="en-CA"/>
        </w:rPr>
        <w:t>paniscus</w:t>
      </w:r>
      <w:proofErr w:type="gramEnd"/>
      <w:r w:rsidRPr="00667B89">
        <w:rPr>
          <w:rFonts w:asciiTheme="majorBidi" w:hAnsiTheme="majorBidi" w:cstheme="majorBidi"/>
          <w:color w:val="000000"/>
          <w:lang w:val="en-CA"/>
        </w:rPr>
        <w:t xml:space="preserve">: Pygmy chimpanzee from south of the Congo River.  </w:t>
      </w:r>
      <w:r w:rsidRPr="00667B89">
        <w:rPr>
          <w:rFonts w:asciiTheme="majorBidi" w:hAnsiTheme="majorBidi" w:cstheme="majorBidi"/>
          <w:i/>
          <w:color w:val="000000"/>
          <w:lang w:val="en-CA"/>
        </w:rPr>
        <w:t>American Journals of Physical Anthropology</w:t>
      </w:r>
      <w:r>
        <w:rPr>
          <w:rFonts w:asciiTheme="majorBidi" w:hAnsiTheme="majorBidi" w:cstheme="majorBidi"/>
          <w:color w:val="000000"/>
          <w:lang w:val="en-CA"/>
        </w:rPr>
        <w:t xml:space="preserve"> 18(1):</w:t>
      </w:r>
      <w:r w:rsidR="00103756">
        <w:rPr>
          <w:rFonts w:asciiTheme="majorBidi" w:hAnsiTheme="majorBidi" w:cstheme="majorBidi"/>
          <w:color w:val="000000"/>
          <w:lang w:val="en-CA"/>
        </w:rPr>
        <w:t xml:space="preserve"> </w:t>
      </w:r>
      <w:r>
        <w:rPr>
          <w:rFonts w:asciiTheme="majorBidi" w:hAnsiTheme="majorBidi" w:cstheme="majorBidi"/>
          <w:color w:val="000000"/>
          <w:lang w:val="en-CA"/>
        </w:rPr>
        <w:t>1-59</w:t>
      </w:r>
      <w:r w:rsidR="004536EF">
        <w:rPr>
          <w:rFonts w:asciiTheme="majorBidi" w:hAnsiTheme="majorBidi" w:cstheme="majorBidi"/>
          <w:color w:val="000000"/>
          <w:lang w:val="en-CA"/>
        </w:rPr>
        <w:t>.</w:t>
      </w:r>
    </w:p>
    <w:p w:rsidR="00A35CA0" w:rsidRDefault="00CC3C93" w:rsidP="00CA5FBB">
      <w:pPr>
        <w:pStyle w:val="ListParagraph"/>
        <w:spacing w:before="120" w:line="240" w:lineRule="auto"/>
        <w:ind w:left="0"/>
        <w:jc w:val="left"/>
        <w:rPr>
          <w:noProof/>
        </w:rPr>
      </w:pPr>
      <w:r w:rsidRPr="00D52BA8">
        <w:rPr>
          <w:noProof/>
        </w:rPr>
        <w:t xml:space="preserve">Coolidge, H.J.  Shea, B.T.  1982.  External Body Dimensions of </w:t>
      </w:r>
      <w:r w:rsidRPr="00D52BA8">
        <w:rPr>
          <w:i/>
          <w:noProof/>
        </w:rPr>
        <w:t>Pan paniscus</w:t>
      </w:r>
      <w:r w:rsidRPr="00D52BA8">
        <w:rPr>
          <w:noProof/>
        </w:rPr>
        <w:t xml:space="preserve"> and </w:t>
      </w:r>
      <w:r w:rsidRPr="00D52BA8">
        <w:rPr>
          <w:i/>
          <w:noProof/>
        </w:rPr>
        <w:t>Pan troglodytes</w:t>
      </w:r>
      <w:r w:rsidRPr="00D52BA8">
        <w:rPr>
          <w:noProof/>
        </w:rPr>
        <w:t xml:space="preserve"> Chimpanzees.  </w:t>
      </w:r>
      <w:r w:rsidRPr="00D52BA8">
        <w:rPr>
          <w:i/>
          <w:noProof/>
        </w:rPr>
        <w:t>Primates</w:t>
      </w:r>
      <w:r w:rsidRPr="00D52BA8">
        <w:rPr>
          <w:noProof/>
        </w:rPr>
        <w:t xml:space="preserve"> 23(2): 245-251</w:t>
      </w:r>
      <w:r w:rsidR="00DA21D5">
        <w:rPr>
          <w:noProof/>
        </w:rPr>
        <w:t>.</w:t>
      </w:r>
    </w:p>
    <w:p w:rsidR="00A35CA0" w:rsidRDefault="00CC3C93" w:rsidP="00CA5FBB">
      <w:pPr>
        <w:spacing w:before="120" w:line="240" w:lineRule="auto"/>
        <w:jc w:val="left"/>
        <w:rPr>
          <w:bCs/>
          <w:color w:val="000000"/>
          <w:shd w:val="clear" w:color="auto" w:fill="FFFFFF"/>
        </w:rPr>
      </w:pPr>
      <w:proofErr w:type="gramStart"/>
      <w:r w:rsidRPr="00C76894">
        <w:t>Corp, N.</w:t>
      </w:r>
      <w:proofErr w:type="gramEnd"/>
      <w:r w:rsidRPr="00C76894">
        <w:t xml:space="preserve">  Byrne, R.W.  2003.  </w:t>
      </w:r>
      <w:r w:rsidRPr="00C76894">
        <w:rPr>
          <w:bCs/>
          <w:color w:val="000000"/>
          <w:shd w:val="clear" w:color="auto" w:fill="FFFFFF"/>
        </w:rPr>
        <w:t>Sex difference in chimpanzee handedness</w:t>
      </w:r>
      <w:r>
        <w:rPr>
          <w:bCs/>
          <w:color w:val="000000"/>
          <w:shd w:val="clear" w:color="auto" w:fill="FFFFFF"/>
        </w:rPr>
        <w:t xml:space="preserve">.  </w:t>
      </w:r>
      <w:r>
        <w:rPr>
          <w:bCs/>
          <w:i/>
          <w:color w:val="000000"/>
          <w:shd w:val="clear" w:color="auto" w:fill="FFFFFF"/>
        </w:rPr>
        <w:t>American Journal of Physical Anthropology</w:t>
      </w:r>
      <w:r>
        <w:rPr>
          <w:bCs/>
          <w:color w:val="000000"/>
          <w:shd w:val="clear" w:color="auto" w:fill="FFFFFF"/>
        </w:rPr>
        <w:t xml:space="preserve"> 123(1):</w:t>
      </w:r>
      <w:r w:rsidR="00103756">
        <w:rPr>
          <w:bCs/>
          <w:color w:val="000000"/>
          <w:shd w:val="clear" w:color="auto" w:fill="FFFFFF"/>
        </w:rPr>
        <w:t xml:space="preserve"> </w:t>
      </w:r>
      <w:r>
        <w:rPr>
          <w:bCs/>
          <w:color w:val="000000"/>
          <w:shd w:val="clear" w:color="auto" w:fill="FFFFFF"/>
        </w:rPr>
        <w:t>62-68</w:t>
      </w:r>
      <w:r w:rsidR="00DA21D5">
        <w:rPr>
          <w:bCs/>
          <w:color w:val="000000"/>
          <w:shd w:val="clear" w:color="auto" w:fill="FFFFFF"/>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667B89">
        <w:rPr>
          <w:rFonts w:asciiTheme="majorBidi" w:hAnsiTheme="majorBidi" w:cstheme="majorBidi"/>
          <w:color w:val="000000" w:themeColor="text1"/>
          <w:lang w:val="en-CA"/>
        </w:rPr>
        <w:t>Coqueugniot, H.</w:t>
      </w:r>
      <w:proofErr w:type="gramEnd"/>
      <w:r w:rsidRPr="00667B89">
        <w:rPr>
          <w:rFonts w:asciiTheme="majorBidi" w:hAnsiTheme="majorBidi" w:cstheme="majorBidi"/>
          <w:color w:val="000000" w:themeColor="text1"/>
          <w:lang w:val="en-CA"/>
        </w:rPr>
        <w:t xml:space="preserve">  Weaver, T.  2007.  Infracranial maturation in the skeletal collection from Coimbra, Portugal: New aging standards for epiphyseal union.  </w:t>
      </w:r>
      <w:r w:rsidRPr="00667B89">
        <w:rPr>
          <w:rFonts w:asciiTheme="majorBidi" w:hAnsiTheme="majorBidi" w:cstheme="majorBidi"/>
          <w:i/>
          <w:color w:val="000000" w:themeColor="text1"/>
          <w:lang w:val="en-CA"/>
        </w:rPr>
        <w:t>American Journal of Physical Anthropology</w:t>
      </w:r>
      <w:r w:rsidRPr="00667B89">
        <w:rPr>
          <w:rFonts w:asciiTheme="majorBidi" w:hAnsiTheme="majorBidi" w:cstheme="majorBidi"/>
          <w:color w:val="000000" w:themeColor="text1"/>
          <w:lang w:val="en-CA"/>
        </w:rPr>
        <w:t xml:space="preserve"> 134(3): 424-437</w:t>
      </w:r>
      <w:r w:rsidR="00DA21D5">
        <w:rPr>
          <w:rFonts w:asciiTheme="majorBidi" w:hAnsiTheme="majorBidi" w:cstheme="majorBidi"/>
          <w:color w:val="000000" w:themeColor="text1"/>
          <w:lang w:val="en-CA"/>
        </w:rPr>
        <w:t>.</w:t>
      </w:r>
    </w:p>
    <w:p w:rsidR="00A35CA0" w:rsidRPr="002F230D"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Cundy, P</w:t>
      </w:r>
      <w:proofErr w:type="gramStart"/>
      <w:r w:rsidRPr="00667B89">
        <w:rPr>
          <w:rFonts w:asciiTheme="majorBidi" w:hAnsiTheme="majorBidi" w:cstheme="majorBidi"/>
          <w:color w:val="000000" w:themeColor="text1"/>
          <w:lang w:val="en-CA"/>
        </w:rPr>
        <w:t>,  Patterson</w:t>
      </w:r>
      <w:proofErr w:type="gramEnd"/>
      <w:r w:rsidRPr="00667B89">
        <w:rPr>
          <w:rFonts w:asciiTheme="majorBidi" w:hAnsiTheme="majorBidi" w:cstheme="majorBidi"/>
          <w:color w:val="000000" w:themeColor="text1"/>
          <w:lang w:val="en-CA"/>
        </w:rPr>
        <w:t xml:space="preserve">, D.  Morris, L.  And Foster, B. 1988.  </w:t>
      </w:r>
      <w:proofErr w:type="gramStart"/>
      <w:r w:rsidRPr="00667B89">
        <w:rPr>
          <w:rFonts w:asciiTheme="majorBidi" w:hAnsiTheme="majorBidi" w:cstheme="majorBidi"/>
          <w:color w:val="000000" w:themeColor="text1"/>
          <w:lang w:val="en-CA"/>
        </w:rPr>
        <w:t xml:space="preserve">Skeletal age estimation in leg length </w:t>
      </w:r>
      <w:r w:rsidRPr="002F230D">
        <w:rPr>
          <w:rFonts w:asciiTheme="majorBidi" w:hAnsiTheme="majorBidi" w:cstheme="majorBidi"/>
          <w:color w:val="000000" w:themeColor="text1"/>
          <w:lang w:val="en-CA"/>
        </w:rPr>
        <w:t>discrepancy.</w:t>
      </w:r>
      <w:proofErr w:type="gramEnd"/>
      <w:r w:rsidRPr="002F230D">
        <w:rPr>
          <w:rFonts w:asciiTheme="majorBidi" w:hAnsiTheme="majorBidi" w:cstheme="majorBidi"/>
          <w:color w:val="000000" w:themeColor="text1"/>
          <w:lang w:val="en-CA"/>
        </w:rPr>
        <w:t xml:space="preserve">  </w:t>
      </w:r>
      <w:r w:rsidRPr="002F230D">
        <w:rPr>
          <w:rFonts w:asciiTheme="majorBidi" w:hAnsiTheme="majorBidi" w:cstheme="majorBidi"/>
          <w:i/>
          <w:color w:val="000000" w:themeColor="text1"/>
          <w:lang w:val="en-CA"/>
        </w:rPr>
        <w:t>Journal of Pediatric Orthopaedics</w:t>
      </w:r>
      <w:r w:rsidRPr="002F230D">
        <w:rPr>
          <w:rFonts w:asciiTheme="majorBidi" w:hAnsiTheme="majorBidi" w:cstheme="majorBidi"/>
          <w:color w:val="000000" w:themeColor="text1"/>
          <w:lang w:val="en-CA"/>
        </w:rPr>
        <w:t xml:space="preserve"> 8: 513-515</w:t>
      </w:r>
      <w:r w:rsidR="00534CC9" w:rsidRPr="002F230D">
        <w:rPr>
          <w:rFonts w:asciiTheme="majorBidi" w:hAnsiTheme="majorBidi" w:cstheme="majorBidi"/>
          <w:color w:val="000000" w:themeColor="text1"/>
          <w:lang w:val="en-CA"/>
        </w:rPr>
        <w:t>.</w:t>
      </w:r>
    </w:p>
    <w:p w:rsidR="00A35CA0" w:rsidRPr="002F230D" w:rsidRDefault="00CC3C93" w:rsidP="00CA5FBB">
      <w:pPr>
        <w:spacing w:before="120" w:line="240" w:lineRule="auto"/>
        <w:jc w:val="left"/>
        <w:rPr>
          <w:rFonts w:asciiTheme="majorBidi" w:eastAsia="Times New Roman" w:hAnsiTheme="majorBidi" w:cstheme="majorBidi"/>
          <w:color w:val="000000"/>
        </w:rPr>
      </w:pPr>
      <w:proofErr w:type="gramStart"/>
      <w:r w:rsidRPr="002F230D">
        <w:rPr>
          <w:rFonts w:asciiTheme="majorBidi" w:eastAsia="Times New Roman" w:hAnsiTheme="majorBidi" w:cstheme="majorBidi"/>
          <w:color w:val="000000"/>
        </w:rPr>
        <w:t>Dainton, M. &amp; Macho, G.</w:t>
      </w:r>
      <w:proofErr w:type="gramEnd"/>
      <w:r w:rsidRPr="002F230D">
        <w:rPr>
          <w:rFonts w:asciiTheme="majorBidi" w:eastAsia="Times New Roman" w:hAnsiTheme="majorBidi" w:cstheme="majorBidi"/>
          <w:color w:val="000000"/>
        </w:rPr>
        <w:t xml:space="preserve">  (1999). Heterochrony: somatic, skeletal, and dental development in Gorilla, Homo and Pan.  In R.D. Hoppa &amp; C.M. Fitzgerald (Eds.) </w:t>
      </w:r>
      <w:r w:rsidRPr="002F230D">
        <w:rPr>
          <w:rFonts w:asciiTheme="majorBidi" w:eastAsia="Times New Roman" w:hAnsiTheme="majorBidi" w:cstheme="majorBidi"/>
          <w:i/>
          <w:color w:val="000000"/>
        </w:rPr>
        <w:t>Human growth in the past: Studies from bones and teeth</w:t>
      </w:r>
      <w:r w:rsidRPr="002F230D">
        <w:rPr>
          <w:rFonts w:asciiTheme="majorBidi" w:eastAsia="Times New Roman" w:hAnsiTheme="majorBidi" w:cstheme="majorBidi"/>
          <w:color w:val="000000"/>
        </w:rPr>
        <w:t xml:space="preserve"> (pp.32-64). Cambridge: Cambridge University Press, Cambridge.</w:t>
      </w:r>
    </w:p>
    <w:p w:rsidR="00A35CA0" w:rsidRPr="002F230D" w:rsidRDefault="00CC3C93" w:rsidP="00CA5FBB">
      <w:pPr>
        <w:spacing w:before="120" w:line="240" w:lineRule="auto"/>
        <w:jc w:val="left"/>
        <w:rPr>
          <w:rFonts w:asciiTheme="majorBidi" w:hAnsiTheme="majorBidi" w:cstheme="majorBidi"/>
        </w:rPr>
      </w:pPr>
      <w:r w:rsidRPr="002F230D">
        <w:rPr>
          <w:rFonts w:asciiTheme="majorBidi" w:hAnsiTheme="majorBidi" w:cstheme="majorBidi"/>
        </w:rPr>
        <w:t xml:space="preserve">Dean, C.  Leakey, M.G.  </w:t>
      </w:r>
      <w:r w:rsidRPr="002F230D">
        <w:rPr>
          <w:rFonts w:asciiTheme="majorBidi" w:hAnsiTheme="majorBidi" w:cstheme="majorBidi"/>
          <w:lang w:val="de-DE"/>
        </w:rPr>
        <w:t xml:space="preserve">Reid, D.  Friedemann, S.  Schwartz, G.T.  </w:t>
      </w:r>
      <w:r w:rsidRPr="002F230D">
        <w:rPr>
          <w:rFonts w:asciiTheme="majorBidi" w:hAnsiTheme="majorBidi" w:cstheme="majorBidi"/>
        </w:rPr>
        <w:t xml:space="preserve">Stringer, C.  </w:t>
      </w:r>
      <w:proofErr w:type="gramStart"/>
      <w:r w:rsidRPr="002F230D">
        <w:rPr>
          <w:rFonts w:asciiTheme="majorBidi" w:hAnsiTheme="majorBidi" w:cstheme="majorBidi"/>
        </w:rPr>
        <w:t>Walker, A.</w:t>
      </w:r>
      <w:proofErr w:type="gramEnd"/>
      <w:r w:rsidRPr="002F230D">
        <w:rPr>
          <w:rFonts w:asciiTheme="majorBidi" w:hAnsiTheme="majorBidi" w:cstheme="majorBidi"/>
        </w:rPr>
        <w:t xml:space="preserve">  2001.  Growth processes in teeth distinguish modern humans from </w:t>
      </w:r>
      <w:r w:rsidRPr="002F230D">
        <w:rPr>
          <w:rFonts w:asciiTheme="majorBidi" w:hAnsiTheme="majorBidi" w:cstheme="majorBidi"/>
          <w:i/>
        </w:rPr>
        <w:t>Homo erectus</w:t>
      </w:r>
      <w:r w:rsidRPr="002F230D">
        <w:rPr>
          <w:rFonts w:asciiTheme="majorBidi" w:hAnsiTheme="majorBidi" w:cstheme="majorBidi"/>
        </w:rPr>
        <w:t xml:space="preserve"> and earlier hominins.  </w:t>
      </w:r>
      <w:r w:rsidRPr="002F230D">
        <w:rPr>
          <w:rFonts w:asciiTheme="majorBidi" w:hAnsiTheme="majorBidi" w:cstheme="majorBidi"/>
          <w:i/>
        </w:rPr>
        <w:t>Nature</w:t>
      </w:r>
      <w:r w:rsidRPr="002F230D">
        <w:rPr>
          <w:rFonts w:asciiTheme="majorBidi" w:hAnsiTheme="majorBidi" w:cstheme="majorBidi"/>
        </w:rPr>
        <w:t xml:space="preserve"> 414:</w:t>
      </w:r>
      <w:r w:rsidR="00103756" w:rsidRPr="002F230D">
        <w:rPr>
          <w:rFonts w:asciiTheme="majorBidi" w:hAnsiTheme="majorBidi" w:cstheme="majorBidi"/>
        </w:rPr>
        <w:t xml:space="preserve"> </w:t>
      </w:r>
      <w:r w:rsidRPr="002F230D">
        <w:rPr>
          <w:rFonts w:asciiTheme="majorBidi" w:hAnsiTheme="majorBidi" w:cstheme="majorBidi"/>
        </w:rPr>
        <w:t>628-631</w:t>
      </w:r>
      <w:r w:rsidR="00D425AC" w:rsidRPr="002F230D">
        <w:rPr>
          <w:rFonts w:asciiTheme="majorBidi" w:hAnsiTheme="majorBidi" w:cstheme="majorBidi"/>
        </w:rPr>
        <w:t>.</w:t>
      </w:r>
    </w:p>
    <w:p w:rsidR="00A35CA0" w:rsidRPr="002F230D" w:rsidRDefault="00CC3C93" w:rsidP="00CA5FBB">
      <w:pPr>
        <w:spacing w:before="120" w:line="240" w:lineRule="auto"/>
        <w:jc w:val="left"/>
        <w:rPr>
          <w:rFonts w:eastAsia="Times New Roman"/>
          <w:lang w:val="en-GB" w:eastAsia="en-GB"/>
        </w:rPr>
      </w:pPr>
      <w:r w:rsidRPr="002F230D">
        <w:rPr>
          <w:rFonts w:eastAsia="Times New Roman"/>
          <w:lang w:val="en-GB" w:eastAsia="en-GB"/>
        </w:rPr>
        <w:t xml:space="preserve">Dean, M.C.  Lucas, V.S.  2009.  Dental and skeletal growth in early fossil hominins.  </w:t>
      </w:r>
      <w:r w:rsidRPr="002F230D">
        <w:rPr>
          <w:rFonts w:eastAsia="Times New Roman"/>
          <w:i/>
          <w:lang w:val="en-GB" w:eastAsia="en-GB"/>
        </w:rPr>
        <w:t>Annals of Human Biology</w:t>
      </w:r>
      <w:r w:rsidRPr="002F230D">
        <w:rPr>
          <w:rFonts w:eastAsia="Times New Roman"/>
          <w:lang w:val="en-GB" w:eastAsia="en-GB"/>
        </w:rPr>
        <w:t xml:space="preserve"> 36(5): 545-561</w:t>
      </w:r>
      <w:r w:rsidR="00D425AC" w:rsidRPr="002F230D">
        <w:rPr>
          <w:rFonts w:eastAsia="Times New Roman"/>
          <w:lang w:val="en-GB" w:eastAsia="en-GB"/>
        </w:rPr>
        <w:t>.</w:t>
      </w:r>
    </w:p>
    <w:p w:rsidR="00A35CA0" w:rsidRPr="002F230D" w:rsidRDefault="00CC3C93" w:rsidP="00CA5FBB">
      <w:pPr>
        <w:spacing w:before="120" w:line="240" w:lineRule="auto"/>
        <w:jc w:val="left"/>
        <w:rPr>
          <w:i/>
          <w:noProof/>
        </w:rPr>
      </w:pPr>
      <w:r w:rsidRPr="002F230D">
        <w:rPr>
          <w:noProof/>
        </w:rPr>
        <w:t xml:space="preserve">Dean, M.C.  Smith, B.H.  2009.  </w:t>
      </w:r>
      <w:r w:rsidRPr="002F230D">
        <w:rPr>
          <w:i/>
          <w:noProof/>
        </w:rPr>
        <w:t>The First Humans – Origin and Early Evolution of the Genus Homo</w:t>
      </w:r>
      <w:r w:rsidR="00D425AC" w:rsidRPr="002F230D">
        <w:rPr>
          <w:i/>
          <w:noProof/>
        </w:rPr>
        <w:t xml:space="preserve">.  </w:t>
      </w:r>
      <w:r w:rsidRPr="002F230D">
        <w:rPr>
          <w:i/>
          <w:noProof/>
        </w:rPr>
        <w:t xml:space="preserve">Vertebrate Paleobiology and Paleoanthropology.  In </w:t>
      </w:r>
      <w:r w:rsidRPr="002F230D">
        <w:rPr>
          <w:noProof/>
        </w:rPr>
        <w:t>Growth and Development of the Nariokotome Youth, KNM-WT 15000. Springer, The Netherlands.  pp 101-120.</w:t>
      </w:r>
    </w:p>
    <w:p w:rsidR="00A35CA0" w:rsidRPr="002F230D" w:rsidRDefault="00CC3C93" w:rsidP="00CA5FBB">
      <w:pPr>
        <w:spacing w:before="120" w:line="240" w:lineRule="auto"/>
        <w:jc w:val="left"/>
        <w:rPr>
          <w:noProof/>
        </w:rPr>
      </w:pPr>
      <w:r w:rsidRPr="002F230D">
        <w:rPr>
          <w:noProof/>
        </w:rPr>
        <w:t xml:space="preserve">Dean, M.C.  Stringer, C.B.  Bromage, T.G.  1986.  Age at death of the Neanderthal child from Devil's Tower, Gibraltar and the implications for studies of general growth and development in Neanderthals.  </w:t>
      </w:r>
      <w:r w:rsidRPr="002F230D">
        <w:rPr>
          <w:i/>
          <w:noProof/>
        </w:rPr>
        <w:t>American Journal of Physical Anthropology</w:t>
      </w:r>
      <w:r w:rsidRPr="002F230D">
        <w:rPr>
          <w:noProof/>
        </w:rPr>
        <w:t xml:space="preserve"> 70(3): 301–309</w:t>
      </w:r>
      <w:r w:rsidR="00FB2879" w:rsidRPr="002F230D">
        <w:rPr>
          <w:noProof/>
        </w:rPr>
        <w:t>.</w:t>
      </w:r>
    </w:p>
    <w:p w:rsidR="00A35CA0" w:rsidRPr="002F230D" w:rsidRDefault="00CC3C93" w:rsidP="00CA5FBB">
      <w:pPr>
        <w:spacing w:before="120" w:line="240" w:lineRule="auto"/>
        <w:jc w:val="left"/>
      </w:pPr>
      <w:proofErr w:type="gramStart"/>
      <w:r w:rsidRPr="002F230D">
        <w:t>Demirjian, A.</w:t>
      </w:r>
      <w:proofErr w:type="gramEnd"/>
      <w:r w:rsidRPr="002F230D">
        <w:t xml:space="preserve">  Buschang, P.H.  Tanguay, R.  </w:t>
      </w:r>
      <w:proofErr w:type="gramStart"/>
      <w:r w:rsidRPr="002F230D">
        <w:t>Kingnorth Patterson, D.</w:t>
      </w:r>
      <w:proofErr w:type="gramEnd"/>
      <w:r w:rsidRPr="002F230D">
        <w:t xml:space="preserve">  1985.  Interrelationships among measures of somatic, skeletal, dental, and sexual maturity. </w:t>
      </w:r>
      <w:r w:rsidRPr="002F230D">
        <w:rPr>
          <w:i/>
        </w:rPr>
        <w:t>American Journal of Orthodontics</w:t>
      </w:r>
      <w:r w:rsidRPr="002F230D">
        <w:t xml:space="preserve"> 88(5): 433-488</w:t>
      </w:r>
      <w:r w:rsidR="00FB2879" w:rsidRPr="002F230D">
        <w:t>.</w:t>
      </w:r>
    </w:p>
    <w:p w:rsidR="00A35CA0" w:rsidRPr="002F230D" w:rsidRDefault="00CC3C93" w:rsidP="00CA5FBB">
      <w:pPr>
        <w:spacing w:before="120" w:line="240" w:lineRule="auto"/>
        <w:jc w:val="left"/>
        <w:rPr>
          <w:rStyle w:val="apple-style-span"/>
          <w:rFonts w:ascii="Arial" w:hAnsi="Arial" w:cs="Arial"/>
          <w:color w:val="000000" w:themeColor="text1"/>
          <w:shd w:val="clear" w:color="auto" w:fill="FFFFFF"/>
        </w:rPr>
      </w:pPr>
      <w:proofErr w:type="gramStart"/>
      <w:r w:rsidRPr="002F230D">
        <w:rPr>
          <w:color w:val="000000" w:themeColor="text1"/>
        </w:rPr>
        <w:t>Demirjian, A.</w:t>
      </w:r>
      <w:proofErr w:type="gramEnd"/>
      <w:r w:rsidRPr="002F230D">
        <w:rPr>
          <w:color w:val="000000" w:themeColor="text1"/>
        </w:rPr>
        <w:t xml:space="preserve">  1986.  </w:t>
      </w:r>
      <w:r w:rsidRPr="002F230D">
        <w:rPr>
          <w:i/>
          <w:color w:val="000000" w:themeColor="text1"/>
        </w:rPr>
        <w:t>Dentition</w:t>
      </w:r>
      <w:r w:rsidRPr="002F230D">
        <w:rPr>
          <w:color w:val="000000" w:themeColor="text1"/>
        </w:rPr>
        <w:t>.  Human Growth: A Multidisciplinary Review.  Taylor and Francis Ltd, London.  pp. 269-295</w:t>
      </w:r>
      <w:r w:rsidR="00FB2879" w:rsidRPr="002F230D">
        <w:rPr>
          <w:color w:val="000000" w:themeColor="text1"/>
        </w:rPr>
        <w:t>.</w:t>
      </w:r>
    </w:p>
    <w:p w:rsidR="00A35CA0" w:rsidRPr="002F230D" w:rsidRDefault="00CC3C93" w:rsidP="00CA5FBB">
      <w:pPr>
        <w:spacing w:before="120" w:line="240" w:lineRule="auto"/>
        <w:jc w:val="left"/>
        <w:rPr>
          <w:rFonts w:asciiTheme="majorBidi" w:hAnsiTheme="majorBidi" w:cstheme="majorBidi"/>
        </w:rPr>
      </w:pPr>
      <w:proofErr w:type="gramStart"/>
      <w:r w:rsidRPr="002F230D">
        <w:rPr>
          <w:rFonts w:asciiTheme="majorBidi" w:hAnsiTheme="majorBidi" w:cstheme="majorBidi"/>
        </w:rPr>
        <w:t>Demrijian, A.</w:t>
      </w:r>
      <w:proofErr w:type="gramEnd"/>
      <w:r w:rsidRPr="002F230D">
        <w:rPr>
          <w:rFonts w:asciiTheme="majorBidi" w:hAnsiTheme="majorBidi" w:cstheme="majorBidi"/>
        </w:rPr>
        <w:t xml:space="preserve">  </w:t>
      </w:r>
      <w:proofErr w:type="gramStart"/>
      <w:r w:rsidRPr="002F230D">
        <w:rPr>
          <w:rFonts w:asciiTheme="majorBidi" w:hAnsiTheme="majorBidi" w:cstheme="majorBidi"/>
        </w:rPr>
        <w:t>Goldstein, H.</w:t>
      </w:r>
      <w:proofErr w:type="gramEnd"/>
      <w:r w:rsidRPr="002F230D">
        <w:rPr>
          <w:rFonts w:asciiTheme="majorBidi" w:hAnsiTheme="majorBidi" w:cstheme="majorBidi"/>
        </w:rPr>
        <w:t xml:space="preserve">  Tanner, J.M.  1973.  A new system of dental age assessment.</w:t>
      </w:r>
      <w:r w:rsidRPr="002F230D">
        <w:rPr>
          <w:rFonts w:asciiTheme="majorBidi" w:hAnsiTheme="majorBidi" w:cstheme="majorBidi"/>
          <w:i/>
        </w:rPr>
        <w:t xml:space="preserve"> Human Biology</w:t>
      </w:r>
      <w:r w:rsidRPr="002F230D">
        <w:rPr>
          <w:rFonts w:asciiTheme="majorBidi" w:hAnsiTheme="majorBidi" w:cstheme="majorBidi"/>
        </w:rPr>
        <w:t xml:space="preserve"> 45</w:t>
      </w:r>
      <w:r w:rsidR="00FB2879" w:rsidRPr="002F230D">
        <w:rPr>
          <w:rFonts w:asciiTheme="majorBidi" w:hAnsiTheme="majorBidi" w:cstheme="majorBidi"/>
        </w:rPr>
        <w:t>(2)</w:t>
      </w:r>
      <w:r w:rsidRPr="002F230D">
        <w:rPr>
          <w:rFonts w:asciiTheme="majorBidi" w:hAnsiTheme="majorBidi" w:cstheme="majorBidi"/>
        </w:rPr>
        <w:t>:</w:t>
      </w:r>
      <w:r w:rsidR="00780523" w:rsidRPr="002F230D">
        <w:rPr>
          <w:rFonts w:asciiTheme="majorBidi" w:hAnsiTheme="majorBidi" w:cstheme="majorBidi"/>
        </w:rPr>
        <w:t xml:space="preserve"> </w:t>
      </w:r>
      <w:r w:rsidRPr="002F230D">
        <w:rPr>
          <w:rFonts w:asciiTheme="majorBidi" w:hAnsiTheme="majorBidi" w:cstheme="majorBidi"/>
        </w:rPr>
        <w:t>211-227</w:t>
      </w:r>
      <w:r w:rsidR="00FB2879" w:rsidRPr="002F230D">
        <w:rPr>
          <w:rFonts w:asciiTheme="majorBidi" w:hAnsiTheme="majorBidi" w:cstheme="majorBidi"/>
        </w:rPr>
        <w:t>.</w:t>
      </w:r>
    </w:p>
    <w:p w:rsidR="002F230D" w:rsidRDefault="00CC3C93" w:rsidP="00CA5FBB">
      <w:pPr>
        <w:spacing w:before="120" w:line="240" w:lineRule="auto"/>
        <w:jc w:val="left"/>
        <w:rPr>
          <w:color w:val="000000"/>
        </w:rPr>
      </w:pPr>
      <w:proofErr w:type="gramStart"/>
      <w:r w:rsidRPr="002F230D">
        <w:rPr>
          <w:color w:val="000000"/>
        </w:rPr>
        <w:t>Demirjian, A.</w:t>
      </w:r>
      <w:proofErr w:type="gramEnd"/>
      <w:r w:rsidRPr="002F230D">
        <w:rPr>
          <w:color w:val="000000"/>
        </w:rPr>
        <w:t xml:space="preserve">  Levesque, G.Y. 1980.  </w:t>
      </w:r>
      <w:proofErr w:type="gramStart"/>
      <w:r w:rsidRPr="002F230D">
        <w:rPr>
          <w:color w:val="000000"/>
        </w:rPr>
        <w:t>Sexual Differences in Dental Development and Prediction of Emergence.</w:t>
      </w:r>
      <w:proofErr w:type="gramEnd"/>
      <w:r w:rsidRPr="002F230D">
        <w:rPr>
          <w:color w:val="000000"/>
        </w:rPr>
        <w:t xml:space="preserve">  </w:t>
      </w:r>
      <w:r w:rsidRPr="002F230D">
        <w:rPr>
          <w:i/>
          <w:color w:val="000000"/>
        </w:rPr>
        <w:t>Journal of Dental Research</w:t>
      </w:r>
      <w:r w:rsidRPr="002F230D">
        <w:rPr>
          <w:color w:val="000000"/>
        </w:rPr>
        <w:t xml:space="preserve"> 59(7):</w:t>
      </w:r>
      <w:r w:rsidR="00780523" w:rsidRPr="002F230D">
        <w:rPr>
          <w:color w:val="000000"/>
        </w:rPr>
        <w:t xml:space="preserve"> </w:t>
      </w:r>
      <w:r w:rsidRPr="002F230D">
        <w:rPr>
          <w:color w:val="000000"/>
        </w:rPr>
        <w:t>1110-1122</w:t>
      </w:r>
      <w:r w:rsidR="002F230D">
        <w:rPr>
          <w:color w:val="000000"/>
        </w:rPr>
        <w:t>.</w:t>
      </w:r>
    </w:p>
    <w:p w:rsidR="002F230D" w:rsidRPr="002F230D" w:rsidRDefault="002F230D" w:rsidP="002F230D">
      <w:pPr>
        <w:spacing w:before="120" w:line="240" w:lineRule="auto"/>
        <w:jc w:val="left"/>
        <w:rPr>
          <w:color w:val="000000"/>
        </w:rPr>
      </w:pPr>
      <w:r w:rsidRPr="002F230D">
        <w:rPr>
          <w:color w:val="000000"/>
        </w:rPr>
        <w:lastRenderedPageBreak/>
        <w:t>Diamanti, J.  Townsend, G.C.  2003.  New standards for permanent tooth emergence in</w:t>
      </w:r>
    </w:p>
    <w:p w:rsidR="00A35CA0" w:rsidRPr="002F230D" w:rsidRDefault="002F230D" w:rsidP="002F230D">
      <w:pPr>
        <w:spacing w:before="0" w:line="240" w:lineRule="auto"/>
        <w:jc w:val="left"/>
        <w:rPr>
          <w:color w:val="000000"/>
        </w:rPr>
      </w:pPr>
      <w:proofErr w:type="gramStart"/>
      <w:r w:rsidRPr="002F230D">
        <w:rPr>
          <w:color w:val="000000"/>
        </w:rPr>
        <w:t>Australian children.</w:t>
      </w:r>
      <w:proofErr w:type="gramEnd"/>
      <w:r w:rsidRPr="002F230D">
        <w:rPr>
          <w:color w:val="000000"/>
        </w:rPr>
        <w:t xml:space="preserve">  Australian Dental Journal 48(1): 39-42.</w:t>
      </w:r>
    </w:p>
    <w:p w:rsidR="00A35CA0" w:rsidRDefault="00CC3C93" w:rsidP="00CA5FBB">
      <w:pPr>
        <w:tabs>
          <w:tab w:val="left" w:pos="360"/>
        </w:tabs>
        <w:spacing w:before="120" w:line="240" w:lineRule="auto"/>
        <w:jc w:val="left"/>
        <w:rPr>
          <w:rFonts w:asciiTheme="majorBidi" w:hAnsiTheme="majorBidi" w:cstheme="majorBidi"/>
          <w:noProof/>
          <w:color w:val="000000"/>
        </w:rPr>
      </w:pPr>
      <w:r w:rsidRPr="002F230D">
        <w:rPr>
          <w:rFonts w:asciiTheme="majorBidi" w:hAnsiTheme="majorBidi" w:cstheme="majorBidi"/>
          <w:noProof/>
          <w:color w:val="000000"/>
        </w:rPr>
        <w:t>Digby, K.H.  191</w:t>
      </w:r>
      <w:r w:rsidR="008049F0" w:rsidRPr="002F230D">
        <w:rPr>
          <w:rFonts w:asciiTheme="majorBidi" w:hAnsiTheme="majorBidi" w:cstheme="majorBidi"/>
          <w:noProof/>
          <w:color w:val="000000"/>
        </w:rPr>
        <w:t>6</w:t>
      </w:r>
      <w:r w:rsidRPr="002F230D">
        <w:rPr>
          <w:rFonts w:asciiTheme="majorBidi" w:hAnsiTheme="majorBidi" w:cstheme="majorBidi"/>
          <w:noProof/>
          <w:color w:val="000000"/>
        </w:rPr>
        <w:t xml:space="preserve">.  The </w:t>
      </w:r>
      <w:r w:rsidRPr="00667B89">
        <w:rPr>
          <w:rFonts w:asciiTheme="majorBidi" w:hAnsiTheme="majorBidi" w:cstheme="majorBidi"/>
          <w:noProof/>
          <w:color w:val="000000"/>
        </w:rPr>
        <w:t xml:space="preserve">mesurement of diaphysial growth in proximal and distal directions.  </w:t>
      </w:r>
      <w:r w:rsidRPr="00667B89">
        <w:rPr>
          <w:rFonts w:asciiTheme="majorBidi" w:hAnsiTheme="majorBidi" w:cstheme="majorBidi"/>
          <w:i/>
          <w:noProof/>
          <w:color w:val="000000"/>
        </w:rPr>
        <w:t>Journal of Anatomy</w:t>
      </w:r>
      <w:r w:rsidRPr="00667B89">
        <w:rPr>
          <w:rFonts w:asciiTheme="majorBidi" w:hAnsiTheme="majorBidi" w:cstheme="majorBidi"/>
          <w:noProof/>
          <w:color w:val="000000"/>
        </w:rPr>
        <w:t xml:space="preserve"> 50</w:t>
      </w:r>
      <w:r w:rsidR="002F230D">
        <w:rPr>
          <w:rFonts w:asciiTheme="majorBidi" w:hAnsiTheme="majorBidi" w:cstheme="majorBidi"/>
          <w:noProof/>
          <w:color w:val="000000"/>
        </w:rPr>
        <w:t xml:space="preserve"> </w:t>
      </w:r>
      <w:r w:rsidR="008049F0">
        <w:rPr>
          <w:rFonts w:asciiTheme="majorBidi" w:hAnsiTheme="majorBidi" w:cstheme="majorBidi"/>
          <w:noProof/>
          <w:color w:val="000000"/>
        </w:rPr>
        <w:t>(Pt. 2)</w:t>
      </w:r>
      <w:r w:rsidRPr="00667B89">
        <w:rPr>
          <w:rFonts w:asciiTheme="majorBidi" w:hAnsiTheme="majorBidi" w:cstheme="majorBidi"/>
          <w:noProof/>
          <w:color w:val="000000"/>
        </w:rPr>
        <w:t>:</w:t>
      </w:r>
      <w:r w:rsidR="00780523">
        <w:rPr>
          <w:rFonts w:asciiTheme="majorBidi" w:hAnsiTheme="majorBidi" w:cstheme="majorBidi"/>
          <w:noProof/>
          <w:color w:val="000000"/>
        </w:rPr>
        <w:t xml:space="preserve"> </w:t>
      </w:r>
      <w:r w:rsidRPr="00667B89">
        <w:rPr>
          <w:rFonts w:asciiTheme="majorBidi" w:hAnsiTheme="majorBidi" w:cstheme="majorBidi"/>
          <w:noProof/>
          <w:color w:val="000000"/>
        </w:rPr>
        <w:t>187-188</w:t>
      </w:r>
      <w:r w:rsidR="008049F0">
        <w:rPr>
          <w:rFonts w:asciiTheme="majorBidi" w:hAnsiTheme="majorBidi" w:cstheme="majorBidi"/>
          <w:noProof/>
          <w:color w:val="000000"/>
        </w:rPr>
        <w:t>.</w:t>
      </w:r>
    </w:p>
    <w:p w:rsidR="00A35CA0" w:rsidRDefault="00CC3C93" w:rsidP="00CA5FBB">
      <w:pPr>
        <w:spacing w:before="120" w:line="240" w:lineRule="auto"/>
        <w:jc w:val="left"/>
        <w:rPr>
          <w:noProof/>
          <w:color w:val="000000"/>
        </w:rPr>
      </w:pPr>
      <w:r w:rsidRPr="001C3C00">
        <w:rPr>
          <w:noProof/>
          <w:color w:val="000000"/>
        </w:rPr>
        <w:t>Dirks</w:t>
      </w:r>
      <w:r>
        <w:rPr>
          <w:noProof/>
          <w:color w:val="000000"/>
        </w:rPr>
        <w:t xml:space="preserve">, W.  </w:t>
      </w:r>
      <w:r w:rsidRPr="001C3C00">
        <w:rPr>
          <w:noProof/>
          <w:color w:val="000000"/>
        </w:rPr>
        <w:t>Reid,</w:t>
      </w:r>
      <w:r>
        <w:rPr>
          <w:noProof/>
          <w:color w:val="000000"/>
        </w:rPr>
        <w:t xml:space="preserve"> D.J.  </w:t>
      </w:r>
      <w:r w:rsidRPr="001C3C00">
        <w:rPr>
          <w:noProof/>
          <w:color w:val="000000"/>
        </w:rPr>
        <w:t>Jolly</w:t>
      </w:r>
      <w:r>
        <w:rPr>
          <w:noProof/>
          <w:color w:val="000000"/>
        </w:rPr>
        <w:t xml:space="preserve">, C.J.  Phillips-Conroy, J.E.  </w:t>
      </w:r>
      <w:r w:rsidRPr="001C3C00">
        <w:rPr>
          <w:noProof/>
          <w:color w:val="000000"/>
        </w:rPr>
        <w:t>Brett</w:t>
      </w:r>
      <w:r>
        <w:rPr>
          <w:noProof/>
          <w:color w:val="000000"/>
        </w:rPr>
        <w:t xml:space="preserve">, F.L.  2002.  Out of the Mouths of Baboons: </w:t>
      </w:r>
      <w:r w:rsidRPr="001C3C00">
        <w:rPr>
          <w:noProof/>
          <w:color w:val="000000"/>
        </w:rPr>
        <w:t>Stress, Life History, and Dental Development in the</w:t>
      </w:r>
      <w:r>
        <w:rPr>
          <w:noProof/>
          <w:color w:val="000000"/>
        </w:rPr>
        <w:t xml:space="preserve"> </w:t>
      </w:r>
      <w:r w:rsidRPr="001C3C00">
        <w:rPr>
          <w:noProof/>
          <w:color w:val="000000"/>
        </w:rPr>
        <w:t>Awash National Park Hybrid Zone, Ethiopia</w:t>
      </w:r>
      <w:r>
        <w:rPr>
          <w:noProof/>
          <w:color w:val="000000"/>
        </w:rPr>
        <w:t xml:space="preserve">.  </w:t>
      </w:r>
      <w:r w:rsidRPr="001C3C00">
        <w:rPr>
          <w:i/>
          <w:noProof/>
          <w:color w:val="000000"/>
        </w:rPr>
        <w:t>American Journal of Physical Anthropology</w:t>
      </w:r>
      <w:r>
        <w:rPr>
          <w:noProof/>
          <w:color w:val="000000"/>
        </w:rPr>
        <w:t xml:space="preserve"> 118(3):</w:t>
      </w:r>
      <w:r w:rsidR="00780523">
        <w:rPr>
          <w:noProof/>
          <w:color w:val="000000"/>
        </w:rPr>
        <w:t xml:space="preserve"> </w:t>
      </w:r>
      <w:r>
        <w:rPr>
          <w:noProof/>
          <w:color w:val="000000"/>
        </w:rPr>
        <w:t>239-252</w:t>
      </w:r>
      <w:r w:rsidR="008049F0">
        <w:rPr>
          <w:noProof/>
          <w:color w:val="000000"/>
        </w:rPr>
        <w:t>.</w:t>
      </w:r>
    </w:p>
    <w:p w:rsidR="00A35CA0" w:rsidRDefault="00CC3C93" w:rsidP="00CA5FBB">
      <w:pPr>
        <w:spacing w:before="120" w:line="240" w:lineRule="auto"/>
        <w:jc w:val="left"/>
        <w:rPr>
          <w:noProof/>
          <w:color w:val="000000"/>
        </w:rPr>
      </w:pPr>
      <w:r w:rsidRPr="0050576F">
        <w:rPr>
          <w:noProof/>
          <w:color w:val="000000"/>
        </w:rPr>
        <w:t>Dean</w:t>
      </w:r>
      <w:r>
        <w:rPr>
          <w:noProof/>
          <w:color w:val="000000"/>
        </w:rPr>
        <w:t>,</w:t>
      </w:r>
      <w:r w:rsidRPr="0050576F">
        <w:rPr>
          <w:noProof/>
          <w:color w:val="000000"/>
        </w:rPr>
        <w:t xml:space="preserve"> M</w:t>
      </w:r>
      <w:r>
        <w:rPr>
          <w:noProof/>
          <w:color w:val="000000"/>
        </w:rPr>
        <w:t>.</w:t>
      </w:r>
      <w:r w:rsidRPr="0050576F">
        <w:rPr>
          <w:noProof/>
          <w:color w:val="000000"/>
        </w:rPr>
        <w:t>C</w:t>
      </w:r>
      <w:r>
        <w:rPr>
          <w:noProof/>
          <w:color w:val="000000"/>
        </w:rPr>
        <w:t>.</w:t>
      </w:r>
      <w:r w:rsidRPr="0050576F">
        <w:rPr>
          <w:noProof/>
          <w:color w:val="000000"/>
        </w:rPr>
        <w:t xml:space="preserve"> </w:t>
      </w:r>
      <w:r>
        <w:rPr>
          <w:noProof/>
          <w:color w:val="000000"/>
        </w:rPr>
        <w:t xml:space="preserve"> </w:t>
      </w:r>
      <w:r w:rsidRPr="0050576F">
        <w:rPr>
          <w:noProof/>
          <w:color w:val="000000"/>
        </w:rPr>
        <w:t>Wood</w:t>
      </w:r>
      <w:r>
        <w:rPr>
          <w:noProof/>
          <w:color w:val="000000"/>
        </w:rPr>
        <w:t>,</w:t>
      </w:r>
      <w:r w:rsidRPr="0050576F">
        <w:rPr>
          <w:noProof/>
          <w:color w:val="000000"/>
        </w:rPr>
        <w:t xml:space="preserve"> B</w:t>
      </w:r>
      <w:r>
        <w:rPr>
          <w:noProof/>
          <w:color w:val="000000"/>
        </w:rPr>
        <w:t>.</w:t>
      </w:r>
      <w:r w:rsidRPr="0050576F">
        <w:rPr>
          <w:noProof/>
          <w:color w:val="000000"/>
        </w:rPr>
        <w:t>A</w:t>
      </w:r>
      <w:r>
        <w:rPr>
          <w:noProof/>
          <w:color w:val="000000"/>
        </w:rPr>
        <w:t>.</w:t>
      </w:r>
      <w:r w:rsidRPr="0050576F">
        <w:rPr>
          <w:noProof/>
          <w:color w:val="000000"/>
        </w:rPr>
        <w:t xml:space="preserve"> </w:t>
      </w:r>
      <w:r>
        <w:rPr>
          <w:noProof/>
          <w:color w:val="000000"/>
        </w:rPr>
        <w:t xml:space="preserve"> 1981.  Developing pongid dentition and it</w:t>
      </w:r>
      <w:r w:rsidRPr="0050576F">
        <w:rPr>
          <w:noProof/>
          <w:color w:val="000000"/>
        </w:rPr>
        <w:t>s use for aging</w:t>
      </w:r>
      <w:r>
        <w:rPr>
          <w:noProof/>
          <w:color w:val="000000"/>
        </w:rPr>
        <w:t xml:space="preserve"> individual crania in comparative</w:t>
      </w:r>
      <w:r w:rsidRPr="0050576F">
        <w:rPr>
          <w:noProof/>
          <w:color w:val="000000"/>
        </w:rPr>
        <w:t xml:space="preserve"> cross-sectional growth studies.  </w:t>
      </w:r>
      <w:r>
        <w:rPr>
          <w:i/>
          <w:noProof/>
          <w:color w:val="000000"/>
        </w:rPr>
        <w:t xml:space="preserve">Folia Primatologica </w:t>
      </w:r>
      <w:r>
        <w:rPr>
          <w:noProof/>
          <w:color w:val="000000"/>
        </w:rPr>
        <w:t>36(1-2):</w:t>
      </w:r>
      <w:r w:rsidR="00780523">
        <w:rPr>
          <w:noProof/>
          <w:color w:val="000000"/>
        </w:rPr>
        <w:t xml:space="preserve"> </w:t>
      </w:r>
      <w:r>
        <w:rPr>
          <w:noProof/>
          <w:color w:val="000000"/>
        </w:rPr>
        <w:t>111-127</w:t>
      </w:r>
      <w:r w:rsidR="00702518">
        <w:rPr>
          <w:noProof/>
          <w:color w:val="000000"/>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FC4A91">
        <w:rPr>
          <w:rFonts w:asciiTheme="majorBidi" w:hAnsiTheme="majorBidi" w:cstheme="majorBidi"/>
          <w:color w:val="000000" w:themeColor="text1"/>
          <w:lang w:val="en-CA"/>
        </w:rPr>
        <w:t>Doran</w:t>
      </w:r>
      <w:r>
        <w:rPr>
          <w:rFonts w:asciiTheme="majorBidi" w:hAnsiTheme="majorBidi" w:cstheme="majorBidi"/>
          <w:color w:val="000000" w:themeColor="text1"/>
          <w:lang w:val="en-CA"/>
        </w:rPr>
        <w:t>, D.M.</w:t>
      </w:r>
      <w:proofErr w:type="gramEnd"/>
      <w:r>
        <w:rPr>
          <w:rFonts w:asciiTheme="majorBidi" w:hAnsiTheme="majorBidi" w:cstheme="majorBidi"/>
          <w:color w:val="000000" w:themeColor="text1"/>
          <w:lang w:val="en-CA"/>
        </w:rPr>
        <w:t xml:space="preserve">  1993.  </w:t>
      </w:r>
      <w:r w:rsidRPr="00FC4A91">
        <w:rPr>
          <w:rFonts w:asciiTheme="majorBidi" w:hAnsiTheme="majorBidi" w:cstheme="majorBidi"/>
          <w:color w:val="000000" w:themeColor="text1"/>
          <w:lang w:val="en-CA"/>
        </w:rPr>
        <w:t>Comparative locomotor behavior of chimpanzees and bonobos: The influe</w:t>
      </w:r>
      <w:r>
        <w:rPr>
          <w:rFonts w:asciiTheme="majorBidi" w:hAnsiTheme="majorBidi" w:cstheme="majorBidi"/>
          <w:color w:val="000000" w:themeColor="text1"/>
          <w:lang w:val="en-CA"/>
        </w:rPr>
        <w:t xml:space="preserve">nce of morphology on locomotion.  </w:t>
      </w:r>
      <w:r w:rsidRPr="00FC4A91">
        <w:rPr>
          <w:rFonts w:asciiTheme="majorBidi" w:hAnsiTheme="majorBidi" w:cstheme="majorBidi"/>
          <w:i/>
          <w:color w:val="000000" w:themeColor="text1"/>
          <w:lang w:val="en-CA"/>
        </w:rPr>
        <w:t>American Journal of Physical Anthropology</w:t>
      </w:r>
      <w:r>
        <w:rPr>
          <w:rFonts w:asciiTheme="majorBidi" w:hAnsiTheme="majorBidi" w:cstheme="majorBidi"/>
          <w:color w:val="000000" w:themeColor="text1"/>
          <w:lang w:val="en-CA"/>
        </w:rPr>
        <w:t xml:space="preserve"> </w:t>
      </w:r>
      <w:r w:rsidRPr="00FC4A91">
        <w:rPr>
          <w:rFonts w:asciiTheme="majorBidi" w:hAnsiTheme="majorBidi" w:cstheme="majorBidi"/>
          <w:color w:val="000000" w:themeColor="text1"/>
          <w:lang w:val="en-CA"/>
        </w:rPr>
        <w:t>91</w:t>
      </w:r>
      <w:r>
        <w:rPr>
          <w:rFonts w:asciiTheme="majorBidi" w:hAnsiTheme="majorBidi" w:cstheme="majorBidi"/>
          <w:color w:val="000000" w:themeColor="text1"/>
          <w:lang w:val="en-CA"/>
        </w:rPr>
        <w:t>(</w:t>
      </w:r>
      <w:r w:rsidRPr="00FC4A91">
        <w:rPr>
          <w:rFonts w:asciiTheme="majorBidi" w:hAnsiTheme="majorBidi" w:cstheme="majorBidi"/>
          <w:color w:val="000000" w:themeColor="text1"/>
          <w:lang w:val="en-CA"/>
        </w:rPr>
        <w:t>1</w:t>
      </w:r>
      <w:r>
        <w:rPr>
          <w:rFonts w:asciiTheme="majorBidi" w:hAnsiTheme="majorBidi" w:cstheme="majorBidi"/>
          <w:color w:val="000000" w:themeColor="text1"/>
          <w:lang w:val="en-CA"/>
        </w:rPr>
        <w:t xml:space="preserve">): </w:t>
      </w:r>
      <w:r w:rsidRPr="00FC4A91">
        <w:rPr>
          <w:rFonts w:asciiTheme="majorBidi" w:hAnsiTheme="majorBidi" w:cstheme="majorBidi"/>
          <w:color w:val="000000" w:themeColor="text1"/>
          <w:lang w:val="en-CA"/>
        </w:rPr>
        <w:t>83–98</w:t>
      </w:r>
      <w:r w:rsidR="00702518">
        <w:rPr>
          <w:rFonts w:asciiTheme="majorBidi" w:hAnsiTheme="majorBidi" w:cstheme="majorBidi"/>
          <w:color w:val="000000" w:themeColor="text1"/>
          <w:lang w:val="en-CA"/>
        </w:rPr>
        <w:t>.</w:t>
      </w:r>
    </w:p>
    <w:p w:rsidR="00A35CA0" w:rsidRDefault="00CC3C93" w:rsidP="00CA5FBB">
      <w:pPr>
        <w:pStyle w:val="ListParagraph"/>
        <w:spacing w:before="120" w:line="240" w:lineRule="auto"/>
        <w:ind w:left="0"/>
        <w:jc w:val="left"/>
        <w:rPr>
          <w:noProof/>
        </w:rPr>
      </w:pPr>
      <w:r>
        <w:rPr>
          <w:noProof/>
        </w:rPr>
        <w:t>Ely</w:t>
      </w:r>
      <w:r w:rsidRPr="00182B7F">
        <w:rPr>
          <w:noProof/>
        </w:rPr>
        <w:t>,</w:t>
      </w:r>
      <w:r>
        <w:rPr>
          <w:noProof/>
        </w:rPr>
        <w:t xml:space="preserve"> J.J.</w:t>
      </w:r>
      <w:r w:rsidRPr="00182B7F">
        <w:rPr>
          <w:noProof/>
        </w:rPr>
        <w:t xml:space="preserve"> </w:t>
      </w:r>
      <w:r>
        <w:rPr>
          <w:noProof/>
        </w:rPr>
        <w:t>Dye</w:t>
      </w:r>
      <w:r w:rsidRPr="00182B7F">
        <w:rPr>
          <w:noProof/>
        </w:rPr>
        <w:t>,</w:t>
      </w:r>
      <w:r>
        <w:rPr>
          <w:noProof/>
        </w:rPr>
        <w:t xml:space="preserve"> B.</w:t>
      </w:r>
      <w:r w:rsidRPr="00182B7F">
        <w:rPr>
          <w:noProof/>
        </w:rPr>
        <w:t xml:space="preserve"> </w:t>
      </w:r>
      <w:r>
        <w:rPr>
          <w:noProof/>
        </w:rPr>
        <w:t>Frels</w:t>
      </w:r>
      <w:r w:rsidRPr="00182B7F">
        <w:rPr>
          <w:noProof/>
        </w:rPr>
        <w:t>,</w:t>
      </w:r>
      <w:r>
        <w:rPr>
          <w:noProof/>
        </w:rPr>
        <w:t xml:space="preserve"> W.I.  Fritz</w:t>
      </w:r>
      <w:r w:rsidRPr="00182B7F">
        <w:rPr>
          <w:noProof/>
        </w:rPr>
        <w:t>,</w:t>
      </w:r>
      <w:r>
        <w:rPr>
          <w:noProof/>
        </w:rPr>
        <w:t xml:space="preserve"> J. </w:t>
      </w:r>
      <w:r w:rsidRPr="00182B7F">
        <w:rPr>
          <w:noProof/>
        </w:rPr>
        <w:t xml:space="preserve"> </w:t>
      </w:r>
      <w:r>
        <w:rPr>
          <w:noProof/>
        </w:rPr>
        <w:t>Gagneux</w:t>
      </w:r>
      <w:r w:rsidRPr="00182B7F">
        <w:rPr>
          <w:noProof/>
        </w:rPr>
        <w:t>,</w:t>
      </w:r>
      <w:r>
        <w:rPr>
          <w:noProof/>
        </w:rPr>
        <w:t xml:space="preserve"> P. </w:t>
      </w:r>
      <w:r w:rsidRPr="00182B7F">
        <w:rPr>
          <w:noProof/>
        </w:rPr>
        <w:t xml:space="preserve"> </w:t>
      </w:r>
      <w:r>
        <w:rPr>
          <w:noProof/>
        </w:rPr>
        <w:t>Khun</w:t>
      </w:r>
      <w:r w:rsidRPr="00182B7F">
        <w:rPr>
          <w:noProof/>
        </w:rPr>
        <w:t>,</w:t>
      </w:r>
      <w:r>
        <w:rPr>
          <w:noProof/>
        </w:rPr>
        <w:t xml:space="preserve"> H.H.</w:t>
      </w:r>
      <w:r w:rsidRPr="00182B7F">
        <w:rPr>
          <w:noProof/>
        </w:rPr>
        <w:t xml:space="preserve"> </w:t>
      </w:r>
      <w:r>
        <w:rPr>
          <w:noProof/>
        </w:rPr>
        <w:t>Switzer</w:t>
      </w:r>
      <w:r w:rsidRPr="00182B7F">
        <w:rPr>
          <w:noProof/>
        </w:rPr>
        <w:t>,</w:t>
      </w:r>
      <w:r>
        <w:rPr>
          <w:noProof/>
        </w:rPr>
        <w:t xml:space="preserve"> W.M.  </w:t>
      </w:r>
      <w:r w:rsidRPr="00182B7F">
        <w:rPr>
          <w:noProof/>
        </w:rPr>
        <w:t>Lee</w:t>
      </w:r>
      <w:r>
        <w:rPr>
          <w:noProof/>
        </w:rPr>
        <w:t>, D.R.</w:t>
      </w:r>
      <w:r w:rsidRPr="00182B7F">
        <w:rPr>
          <w:noProof/>
        </w:rPr>
        <w:t xml:space="preserve"> </w:t>
      </w:r>
      <w:r>
        <w:rPr>
          <w:noProof/>
        </w:rPr>
        <w:t xml:space="preserve"> 2005.  </w:t>
      </w:r>
      <w:r w:rsidRPr="00182B7F">
        <w:rPr>
          <w:noProof/>
        </w:rPr>
        <w:t>Subspecies composition and founder contribution of the captive U.</w:t>
      </w:r>
      <w:r>
        <w:rPr>
          <w:noProof/>
        </w:rPr>
        <w:t>S. chimpanzee (</w:t>
      </w:r>
      <w:r w:rsidRPr="00182B7F">
        <w:rPr>
          <w:i/>
          <w:noProof/>
        </w:rPr>
        <w:t>Pan troglodytes</w:t>
      </w:r>
      <w:r>
        <w:rPr>
          <w:noProof/>
        </w:rPr>
        <w:t xml:space="preserve">) </w:t>
      </w:r>
      <w:r w:rsidRPr="00182B7F">
        <w:rPr>
          <w:noProof/>
        </w:rPr>
        <w:t>population</w:t>
      </w:r>
      <w:r>
        <w:rPr>
          <w:noProof/>
        </w:rPr>
        <w:t xml:space="preserve">.  </w:t>
      </w:r>
      <w:r w:rsidRPr="00182B7F">
        <w:rPr>
          <w:i/>
          <w:noProof/>
        </w:rPr>
        <w:t>American Journal of Primatology</w:t>
      </w:r>
      <w:r>
        <w:rPr>
          <w:noProof/>
        </w:rPr>
        <w:t xml:space="preserve"> </w:t>
      </w:r>
      <w:r w:rsidRPr="00182B7F">
        <w:rPr>
          <w:noProof/>
        </w:rPr>
        <w:t>67</w:t>
      </w:r>
      <w:r>
        <w:rPr>
          <w:noProof/>
        </w:rPr>
        <w:t>(</w:t>
      </w:r>
      <w:r w:rsidRPr="00182B7F">
        <w:rPr>
          <w:noProof/>
        </w:rPr>
        <w:t>2</w:t>
      </w:r>
      <w:r>
        <w:rPr>
          <w:noProof/>
        </w:rPr>
        <w:t>):</w:t>
      </w:r>
      <w:r w:rsidRPr="00182B7F">
        <w:rPr>
          <w:noProof/>
        </w:rPr>
        <w:t xml:space="preserve"> 223–241</w:t>
      </w:r>
      <w:r w:rsidR="00702518">
        <w:rPr>
          <w:noProof/>
        </w:rPr>
        <w:t>.</w:t>
      </w:r>
    </w:p>
    <w:p w:rsidR="00A35CA0" w:rsidRDefault="00CC3C93" w:rsidP="00CA5FBB">
      <w:pPr>
        <w:spacing w:before="120" w:line="240" w:lineRule="auto"/>
        <w:jc w:val="left"/>
        <w:rPr>
          <w:rFonts w:asciiTheme="majorBidi" w:hAnsiTheme="majorBidi" w:cstheme="majorBidi"/>
          <w:noProof/>
          <w:color w:val="000000" w:themeColor="text1"/>
        </w:rPr>
      </w:pPr>
      <w:r w:rsidRPr="00667B89">
        <w:rPr>
          <w:rFonts w:asciiTheme="majorBidi" w:hAnsiTheme="majorBidi" w:cstheme="majorBidi"/>
          <w:noProof/>
          <w:color w:val="000000" w:themeColor="text1"/>
        </w:rPr>
        <w:t xml:space="preserve">Fairbairn, D.J.  1997.  Allometry for Sexual Size Dimorphism: Pattern and Process in the Coevolution of Body Size in Males and Females.  </w:t>
      </w:r>
      <w:r w:rsidRPr="00667B89">
        <w:rPr>
          <w:rFonts w:asciiTheme="majorBidi" w:hAnsiTheme="majorBidi" w:cstheme="majorBidi"/>
          <w:i/>
          <w:noProof/>
          <w:color w:val="000000" w:themeColor="text1"/>
        </w:rPr>
        <w:t xml:space="preserve">Annual Review of Ecology and Systematics </w:t>
      </w:r>
      <w:r w:rsidRPr="00667B89">
        <w:rPr>
          <w:rFonts w:asciiTheme="majorBidi" w:hAnsiTheme="majorBidi" w:cstheme="majorBidi"/>
          <w:noProof/>
          <w:color w:val="000000" w:themeColor="text1"/>
        </w:rPr>
        <w:t>28: 659-687</w:t>
      </w:r>
      <w:r w:rsidR="00702518">
        <w:rPr>
          <w:rFonts w:asciiTheme="majorBidi" w:hAnsiTheme="majorBidi" w:cstheme="majorBidi"/>
          <w:noProof/>
          <w:color w:val="000000" w:themeColor="text1"/>
        </w:rPr>
        <w:t>.</w:t>
      </w:r>
    </w:p>
    <w:p w:rsidR="00A35CA0" w:rsidRDefault="00CC3C93" w:rsidP="00CA5FBB">
      <w:pPr>
        <w:pStyle w:val="ListParagraph"/>
        <w:spacing w:before="120" w:line="240" w:lineRule="auto"/>
        <w:ind w:left="0"/>
        <w:jc w:val="left"/>
        <w:rPr>
          <w:noProof/>
        </w:rPr>
      </w:pPr>
      <w:r w:rsidRPr="00EC34BF">
        <w:rPr>
          <w:noProof/>
        </w:rPr>
        <w:t>Fazekas, I.Gy.  K</w:t>
      </w:r>
      <w:r w:rsidRPr="00EC34BF">
        <w:rPr>
          <w:lang w:val="en-GB" w:eastAsia="en-GB"/>
        </w:rPr>
        <w:t>ó</w:t>
      </w:r>
      <w:r w:rsidRPr="00EC34BF">
        <w:rPr>
          <w:noProof/>
        </w:rPr>
        <w:t xml:space="preserve">sa, F.  1978.  </w:t>
      </w:r>
      <w:r w:rsidRPr="00EC34BF">
        <w:rPr>
          <w:i/>
          <w:noProof/>
        </w:rPr>
        <w:t>Forensic Fetal Osteology</w:t>
      </w:r>
      <w:r w:rsidRPr="00EC34BF">
        <w:rPr>
          <w:noProof/>
        </w:rPr>
        <w:t xml:space="preserve"> Akad</w:t>
      </w:r>
      <w:r w:rsidRPr="00EC34BF">
        <w:rPr>
          <w:lang w:val="en-GB" w:eastAsia="en-GB"/>
        </w:rPr>
        <w:t>é</w:t>
      </w:r>
      <w:r w:rsidRPr="00EC34BF">
        <w:rPr>
          <w:noProof/>
        </w:rPr>
        <w:t>miai Kiado, Budapest.</w:t>
      </w:r>
    </w:p>
    <w:p w:rsidR="00A35CA0" w:rsidRDefault="00CC3C93" w:rsidP="00CA5FBB">
      <w:pPr>
        <w:spacing w:before="120" w:line="240" w:lineRule="auto"/>
        <w:jc w:val="left"/>
        <w:rPr>
          <w:rFonts w:asciiTheme="majorBidi" w:hAnsiTheme="majorBidi" w:cstheme="majorBidi"/>
        </w:rPr>
      </w:pPr>
      <w:r w:rsidRPr="00997258">
        <w:rPr>
          <w:rStyle w:val="Emphasis"/>
          <w:rFonts w:asciiTheme="majorBidi" w:hAnsiTheme="majorBidi" w:cstheme="majorBidi"/>
        </w:rPr>
        <w:t xml:space="preserve">Feuillan, P.  </w:t>
      </w:r>
      <w:proofErr w:type="gramStart"/>
      <w:r w:rsidRPr="00997258">
        <w:rPr>
          <w:rStyle w:val="Emphasis"/>
          <w:rFonts w:asciiTheme="majorBidi" w:hAnsiTheme="majorBidi" w:cstheme="majorBidi"/>
        </w:rPr>
        <w:t>Merke, D.</w:t>
      </w:r>
      <w:proofErr w:type="gramEnd"/>
      <w:r w:rsidRPr="00997258">
        <w:rPr>
          <w:rStyle w:val="Emphasis"/>
          <w:rFonts w:asciiTheme="majorBidi" w:hAnsiTheme="majorBidi" w:cstheme="majorBidi"/>
        </w:rPr>
        <w:t xml:space="preserve">  Leschek, E.W.  Cutler, G.B Jr.  1999.</w:t>
      </w:r>
      <w:r w:rsidRPr="00667B89">
        <w:rPr>
          <w:rStyle w:val="Emphasis"/>
          <w:rFonts w:asciiTheme="majorBidi" w:hAnsiTheme="majorBidi" w:cstheme="majorBidi"/>
        </w:rPr>
        <w:t xml:space="preserve">  </w:t>
      </w:r>
      <w:r w:rsidRPr="00667B89">
        <w:rPr>
          <w:rFonts w:asciiTheme="majorBidi" w:hAnsiTheme="majorBidi" w:cstheme="majorBidi"/>
        </w:rPr>
        <w:t xml:space="preserve">Use of aromatase inhibitors in precocious puberty.  </w:t>
      </w:r>
      <w:r w:rsidRPr="00667B89">
        <w:rPr>
          <w:rFonts w:asciiTheme="majorBidi" w:hAnsiTheme="majorBidi" w:cstheme="majorBidi"/>
          <w:i/>
          <w:iCs/>
        </w:rPr>
        <w:t>Endocrine-Related Cancer</w:t>
      </w:r>
      <w:r w:rsidRPr="00667B89">
        <w:rPr>
          <w:rFonts w:asciiTheme="majorBidi" w:hAnsiTheme="majorBidi" w:cstheme="majorBidi"/>
        </w:rPr>
        <w:t xml:space="preserve"> 6(2): 303 -306</w:t>
      </w:r>
      <w:r>
        <w:rPr>
          <w:rFonts w:asciiTheme="majorBidi" w:hAnsiTheme="majorBidi" w:cstheme="majorBidi"/>
        </w:rPr>
        <w:t>.</w:t>
      </w:r>
    </w:p>
    <w:p w:rsidR="00A35CA0" w:rsidRDefault="00CC3C93" w:rsidP="00CA5FBB">
      <w:pPr>
        <w:spacing w:before="120" w:line="240" w:lineRule="auto"/>
        <w:jc w:val="left"/>
        <w:rPr>
          <w:noProof/>
          <w:color w:val="000000"/>
        </w:rPr>
      </w:pPr>
      <w:r w:rsidRPr="00867B21">
        <w:rPr>
          <w:noProof/>
          <w:color w:val="000000"/>
        </w:rPr>
        <w:t>FitzGerald</w:t>
      </w:r>
      <w:r>
        <w:rPr>
          <w:noProof/>
          <w:color w:val="000000"/>
        </w:rPr>
        <w:t xml:space="preserve">, C.M.  1998.  </w:t>
      </w:r>
      <w:r w:rsidRPr="00867B21">
        <w:rPr>
          <w:noProof/>
          <w:color w:val="000000"/>
        </w:rPr>
        <w:t>Do enamel microstructures have regular time dependency? Conclusions from the literature and a large-scale study</w:t>
      </w:r>
      <w:r>
        <w:rPr>
          <w:noProof/>
          <w:color w:val="000000"/>
        </w:rPr>
        <w:t>.</w:t>
      </w:r>
      <w:r w:rsidRPr="00867B21">
        <w:rPr>
          <w:noProof/>
          <w:color w:val="000000"/>
        </w:rPr>
        <w:t xml:space="preserve"> </w:t>
      </w:r>
      <w:r>
        <w:rPr>
          <w:noProof/>
          <w:color w:val="000000"/>
        </w:rPr>
        <w:t xml:space="preserve"> </w:t>
      </w:r>
      <w:r w:rsidRPr="00867B21">
        <w:rPr>
          <w:i/>
          <w:noProof/>
          <w:color w:val="000000"/>
        </w:rPr>
        <w:t>Journal of Human Evolution</w:t>
      </w:r>
      <w:r>
        <w:rPr>
          <w:noProof/>
          <w:color w:val="000000"/>
        </w:rPr>
        <w:t xml:space="preserve"> </w:t>
      </w:r>
      <w:r w:rsidRPr="00867B21">
        <w:rPr>
          <w:noProof/>
          <w:color w:val="000000"/>
        </w:rPr>
        <w:t>35</w:t>
      </w:r>
      <w:r>
        <w:rPr>
          <w:noProof/>
          <w:color w:val="000000"/>
        </w:rPr>
        <w:t>(</w:t>
      </w:r>
      <w:r w:rsidRPr="00867B21">
        <w:rPr>
          <w:noProof/>
          <w:color w:val="000000"/>
        </w:rPr>
        <w:t>4–5</w:t>
      </w:r>
      <w:r>
        <w:rPr>
          <w:noProof/>
          <w:color w:val="000000"/>
        </w:rPr>
        <w:t>):</w:t>
      </w:r>
      <w:r w:rsidRPr="00867B21">
        <w:rPr>
          <w:noProof/>
          <w:color w:val="000000"/>
        </w:rPr>
        <w:t xml:space="preserve"> 371–386</w:t>
      </w:r>
      <w:r w:rsidR="00F14AAE">
        <w:rPr>
          <w:noProof/>
          <w:color w:val="000000"/>
        </w:rPr>
        <w:t>.</w:t>
      </w:r>
    </w:p>
    <w:p w:rsidR="00A35CA0" w:rsidRDefault="00CC3C93" w:rsidP="00CA5FBB">
      <w:pPr>
        <w:pStyle w:val="ListParagraph"/>
        <w:spacing w:before="120" w:line="240" w:lineRule="auto"/>
        <w:ind w:left="0"/>
        <w:jc w:val="left"/>
        <w:rPr>
          <w:noProof/>
        </w:rPr>
      </w:pPr>
      <w:r>
        <w:rPr>
          <w:noProof/>
        </w:rPr>
        <w:t xml:space="preserve">Fleagle, J.G. 1998.  </w:t>
      </w:r>
      <w:r>
        <w:rPr>
          <w:i/>
          <w:noProof/>
        </w:rPr>
        <w:t xml:space="preserve">Primate Adaptation and Evolution.  </w:t>
      </w:r>
      <w:r>
        <w:rPr>
          <w:noProof/>
        </w:rPr>
        <w:t>2</w:t>
      </w:r>
      <w:r>
        <w:rPr>
          <w:noProof/>
          <w:vertAlign w:val="superscript"/>
        </w:rPr>
        <w:t>nd</w:t>
      </w:r>
      <w:r>
        <w:rPr>
          <w:i/>
          <w:noProof/>
        </w:rPr>
        <w:t xml:space="preserve"> </w:t>
      </w:r>
      <w:r>
        <w:rPr>
          <w:noProof/>
        </w:rPr>
        <w:t>Edition.  Elsevier Academic Press.  San Diego.</w:t>
      </w:r>
    </w:p>
    <w:p w:rsidR="00A35CA0" w:rsidRDefault="00CC3C93" w:rsidP="00CA5FBB">
      <w:pPr>
        <w:spacing w:before="120" w:line="240" w:lineRule="auto"/>
        <w:jc w:val="left"/>
        <w:rPr>
          <w:noProof/>
        </w:rPr>
      </w:pPr>
      <w:r w:rsidRPr="0096089D">
        <w:rPr>
          <w:noProof/>
        </w:rPr>
        <w:t>Fleagle</w:t>
      </w:r>
      <w:r>
        <w:rPr>
          <w:noProof/>
        </w:rPr>
        <w:t xml:space="preserve">, J.G.  </w:t>
      </w:r>
      <w:r w:rsidRPr="0096089D">
        <w:rPr>
          <w:noProof/>
        </w:rPr>
        <w:t>McGraw</w:t>
      </w:r>
      <w:r>
        <w:rPr>
          <w:noProof/>
        </w:rPr>
        <w:t xml:space="preserve">, W.S.  1999.  </w:t>
      </w:r>
      <w:r w:rsidRPr="0096089D">
        <w:rPr>
          <w:noProof/>
        </w:rPr>
        <w:t>Skeletal and dental morphology supports diphyletic origin of baboons and mandrills</w:t>
      </w:r>
      <w:r>
        <w:rPr>
          <w:noProof/>
        </w:rPr>
        <w:t xml:space="preserve">.  </w:t>
      </w:r>
      <w:r w:rsidRPr="00F14AAE">
        <w:rPr>
          <w:i/>
          <w:noProof/>
        </w:rPr>
        <w:t>Proceedings of the National Academy of Science of the United States of America</w:t>
      </w:r>
      <w:r>
        <w:rPr>
          <w:noProof/>
        </w:rPr>
        <w:t xml:space="preserve"> 96(3): 1157-1161</w:t>
      </w:r>
      <w:r w:rsidR="00F14AAE">
        <w:rPr>
          <w:noProof/>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667B89">
        <w:rPr>
          <w:rFonts w:asciiTheme="majorBidi" w:hAnsiTheme="majorBidi" w:cstheme="majorBidi"/>
          <w:color w:val="000000" w:themeColor="text1"/>
          <w:lang w:val="en-CA"/>
        </w:rPr>
        <w:t>Flecker, H.</w:t>
      </w:r>
      <w:proofErr w:type="gramEnd"/>
      <w:r w:rsidRPr="00667B89">
        <w:rPr>
          <w:rFonts w:asciiTheme="majorBidi" w:hAnsiTheme="majorBidi" w:cstheme="majorBidi"/>
          <w:color w:val="000000" w:themeColor="text1"/>
          <w:lang w:val="en-CA"/>
        </w:rPr>
        <w:t xml:space="preserve">  1932.  Roentgenographic observations of the times of appearance of epiphyses and their fusion with the diaphyses.  </w:t>
      </w:r>
      <w:r w:rsidRPr="00667B89">
        <w:rPr>
          <w:rFonts w:asciiTheme="majorBidi" w:hAnsiTheme="majorBidi" w:cstheme="majorBidi"/>
          <w:i/>
          <w:color w:val="000000" w:themeColor="text1"/>
          <w:lang w:val="en-CA"/>
        </w:rPr>
        <w:t>Journal of Anatomy</w:t>
      </w:r>
      <w:r w:rsidRPr="00667B89">
        <w:rPr>
          <w:rFonts w:asciiTheme="majorBidi" w:hAnsiTheme="majorBidi" w:cstheme="majorBidi"/>
          <w:color w:val="000000" w:themeColor="text1"/>
          <w:lang w:val="en-CA"/>
        </w:rPr>
        <w:t xml:space="preserve"> 67</w:t>
      </w:r>
      <w:r w:rsidR="002265E0">
        <w:rPr>
          <w:rFonts w:asciiTheme="majorBidi" w:hAnsiTheme="majorBidi" w:cstheme="majorBidi"/>
          <w:color w:val="000000" w:themeColor="text1"/>
          <w:lang w:val="en-CA"/>
        </w:rPr>
        <w:t>(Pt. 1)</w:t>
      </w:r>
      <w:r w:rsidRPr="00667B89">
        <w:rPr>
          <w:rFonts w:asciiTheme="majorBidi" w:hAnsiTheme="majorBidi" w:cstheme="majorBidi"/>
          <w:color w:val="000000" w:themeColor="text1"/>
          <w:lang w:val="en-CA"/>
        </w:rPr>
        <w:t>: 118-164</w:t>
      </w:r>
      <w:r w:rsidR="00CA7ABA">
        <w:rPr>
          <w:rFonts w:asciiTheme="majorBidi" w:hAnsiTheme="majorBidi" w:cstheme="majorBidi"/>
          <w:color w:val="000000" w:themeColor="text1"/>
          <w:lang w:val="en-CA"/>
        </w:rPr>
        <w:t>.</w:t>
      </w:r>
    </w:p>
    <w:p w:rsidR="00A35CA0" w:rsidRDefault="00CC3C93" w:rsidP="00CA5FBB">
      <w:pPr>
        <w:shd w:val="clear" w:color="auto" w:fill="FFFFFF"/>
        <w:spacing w:before="120" w:line="240" w:lineRule="auto"/>
        <w:jc w:val="left"/>
        <w:rPr>
          <w:rFonts w:asciiTheme="majorBidi" w:hAnsiTheme="majorBidi" w:cstheme="majorBidi"/>
          <w:color w:val="000000" w:themeColor="text1"/>
          <w:lang w:val="fr-CA"/>
        </w:rPr>
      </w:pPr>
      <w:r w:rsidRPr="00011C31">
        <w:rPr>
          <w:rFonts w:asciiTheme="majorBidi" w:hAnsiTheme="majorBidi" w:cstheme="majorBidi"/>
          <w:color w:val="000000" w:themeColor="text1"/>
          <w:lang w:val="de-DE"/>
        </w:rPr>
        <w:t xml:space="preserve">Flores-Mir, C.  Nebbe, B.  </w:t>
      </w:r>
      <w:proofErr w:type="gramStart"/>
      <w:r w:rsidRPr="00667B89">
        <w:rPr>
          <w:rFonts w:asciiTheme="majorBidi" w:hAnsiTheme="majorBidi" w:cstheme="majorBidi"/>
          <w:color w:val="000000" w:themeColor="text1"/>
          <w:lang w:val="en-CA"/>
        </w:rPr>
        <w:t>Major, P.W.</w:t>
      </w:r>
      <w:proofErr w:type="gramEnd"/>
      <w:r w:rsidRPr="00667B89">
        <w:rPr>
          <w:rFonts w:asciiTheme="majorBidi" w:hAnsiTheme="majorBidi" w:cstheme="majorBidi"/>
          <w:color w:val="000000" w:themeColor="text1"/>
          <w:lang w:val="en-CA"/>
        </w:rPr>
        <w:t xml:space="preserve">  2004.  Use of Skeletal Maturation Based on Hand-Wrist Radiographic Analysis as a Predictor of Facial Growth: A Systematic Review.  </w:t>
      </w:r>
      <w:r w:rsidRPr="00011C31">
        <w:rPr>
          <w:rFonts w:asciiTheme="majorBidi" w:hAnsiTheme="majorBidi" w:cstheme="majorBidi"/>
          <w:i/>
          <w:color w:val="000000" w:themeColor="text1"/>
          <w:lang w:val="fr-CA"/>
        </w:rPr>
        <w:t>Angle Orthodontist</w:t>
      </w:r>
      <w:r w:rsidRPr="00011C31">
        <w:rPr>
          <w:rFonts w:asciiTheme="majorBidi" w:hAnsiTheme="majorBidi" w:cstheme="majorBidi"/>
          <w:color w:val="000000" w:themeColor="text1"/>
          <w:lang w:val="fr-CA"/>
        </w:rPr>
        <w:t xml:space="preserve"> 74(1):118-124</w:t>
      </w:r>
      <w:r w:rsidR="00CA7ABA">
        <w:rPr>
          <w:rFonts w:asciiTheme="majorBidi" w:hAnsiTheme="majorBidi" w:cstheme="majorBidi"/>
          <w:color w:val="000000" w:themeColor="text1"/>
          <w:lang w:val="fr-CA"/>
        </w:rPr>
        <w:t>.</w:t>
      </w:r>
    </w:p>
    <w:p w:rsidR="00A35CA0" w:rsidRDefault="00CC3C93" w:rsidP="00CA5FBB">
      <w:pPr>
        <w:spacing w:before="120" w:line="240" w:lineRule="auto"/>
        <w:jc w:val="left"/>
        <w:rPr>
          <w:rFonts w:asciiTheme="majorBidi" w:hAnsiTheme="majorBidi" w:cstheme="majorBidi"/>
          <w:color w:val="000000" w:themeColor="text1"/>
          <w:lang w:val="fr-CA"/>
        </w:rPr>
      </w:pPr>
      <w:r w:rsidRPr="00011C31">
        <w:rPr>
          <w:rFonts w:asciiTheme="majorBidi" w:hAnsiTheme="majorBidi" w:cstheme="majorBidi"/>
          <w:color w:val="000000"/>
          <w:lang w:val="fr-CA"/>
        </w:rPr>
        <w:t xml:space="preserve">Frechkop, S.  (1935).  Notes sure les mammiferes.  </w:t>
      </w:r>
      <w:r w:rsidRPr="00667B89">
        <w:rPr>
          <w:rFonts w:asciiTheme="majorBidi" w:hAnsiTheme="majorBidi" w:cstheme="majorBidi"/>
          <w:color w:val="000000"/>
          <w:lang w:val="fr-CA"/>
        </w:rPr>
        <w:t xml:space="preserve">XVII; A propus du chimpanze de la rive gauche du </w:t>
      </w:r>
      <w:r w:rsidRPr="00667B89">
        <w:rPr>
          <w:rFonts w:asciiTheme="majorBidi" w:hAnsiTheme="majorBidi" w:cstheme="majorBidi"/>
          <w:color w:val="000000" w:themeColor="text1"/>
          <w:lang w:val="fr-CA"/>
        </w:rPr>
        <w:t xml:space="preserve">Congo.  </w:t>
      </w:r>
      <w:r w:rsidRPr="00667B89">
        <w:rPr>
          <w:rFonts w:asciiTheme="majorBidi" w:hAnsiTheme="majorBidi" w:cstheme="majorBidi"/>
          <w:i/>
          <w:color w:val="000000" w:themeColor="text1"/>
          <w:lang w:val="fr-CA"/>
        </w:rPr>
        <w:t>Musee Royale Histoire Naionale Belgique Bull.</w:t>
      </w:r>
      <w:r w:rsidRPr="00667B89">
        <w:rPr>
          <w:rFonts w:asciiTheme="majorBidi" w:hAnsiTheme="majorBidi" w:cstheme="majorBidi"/>
          <w:color w:val="000000" w:themeColor="text1"/>
          <w:lang w:val="fr-CA"/>
        </w:rPr>
        <w:t xml:space="preserve"> 11</w:t>
      </w:r>
      <w:r w:rsidR="00CA7ABA">
        <w:rPr>
          <w:rFonts w:asciiTheme="majorBidi" w:hAnsiTheme="majorBidi" w:cstheme="majorBidi"/>
          <w:color w:val="000000" w:themeColor="text1"/>
          <w:lang w:val="fr-CA"/>
        </w:rPr>
        <w:t xml:space="preserve">: </w:t>
      </w:r>
      <w:r w:rsidRPr="00667B89">
        <w:rPr>
          <w:rFonts w:asciiTheme="majorBidi" w:hAnsiTheme="majorBidi" w:cstheme="majorBidi"/>
          <w:color w:val="000000" w:themeColor="text1"/>
          <w:lang w:val="fr-CA"/>
        </w:rPr>
        <w:t>1-41</w:t>
      </w:r>
      <w:r w:rsidR="00CA7ABA">
        <w:rPr>
          <w:rFonts w:asciiTheme="majorBidi" w:hAnsiTheme="majorBidi" w:cstheme="majorBidi"/>
          <w:color w:val="000000" w:themeColor="text1"/>
          <w:lang w:val="fr-CA"/>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16126E">
        <w:rPr>
          <w:rFonts w:asciiTheme="majorBidi" w:hAnsiTheme="majorBidi" w:cstheme="majorBidi"/>
          <w:lang w:val="fr-CA"/>
        </w:rPr>
        <w:t xml:space="preserve">Galliari, C.A. </w:t>
      </w:r>
      <w:r w:rsidRPr="0016126E">
        <w:rPr>
          <w:rFonts w:asciiTheme="majorBidi" w:hAnsiTheme="majorBidi" w:cstheme="majorBidi"/>
          <w:bCs/>
          <w:lang w:val="fr-CA"/>
        </w:rPr>
        <w:t xml:space="preserve"> 1988.  </w:t>
      </w:r>
      <w:r w:rsidRPr="0016126E">
        <w:rPr>
          <w:rFonts w:asciiTheme="majorBidi" w:hAnsiTheme="majorBidi" w:cstheme="majorBidi"/>
          <w:lang w:val="fr-CA"/>
        </w:rPr>
        <w:t xml:space="preserve">A study of postnatal appendicular skeletal maturation in captive-born squirrel monkeys </w:t>
      </w:r>
      <w:r w:rsidRPr="0016126E">
        <w:rPr>
          <w:rFonts w:asciiTheme="majorBidi" w:hAnsiTheme="majorBidi" w:cstheme="majorBidi"/>
          <w:i/>
          <w:iCs/>
          <w:lang w:val="fr-CA"/>
        </w:rPr>
        <w:t xml:space="preserve">(Saimiri </w:t>
      </w:r>
      <w:r w:rsidRPr="0016126E">
        <w:rPr>
          <w:rFonts w:asciiTheme="majorBidi" w:hAnsiTheme="majorBidi" w:cstheme="majorBidi"/>
          <w:bCs/>
          <w:i/>
          <w:iCs/>
          <w:lang w:val="fr-CA"/>
        </w:rPr>
        <w:t xml:space="preserve">boliuiensis). </w:t>
      </w:r>
      <w:r w:rsidRPr="00667B89">
        <w:rPr>
          <w:rFonts w:asciiTheme="majorBidi" w:hAnsiTheme="majorBidi" w:cstheme="majorBidi"/>
          <w:i/>
        </w:rPr>
        <w:t>American Journal of Primatology</w:t>
      </w:r>
      <w:r w:rsidRPr="00667B89">
        <w:rPr>
          <w:rFonts w:asciiTheme="majorBidi" w:hAnsiTheme="majorBidi" w:cstheme="majorBidi"/>
        </w:rPr>
        <w:t xml:space="preserve"> </w:t>
      </w:r>
      <w:r w:rsidRPr="00667B89">
        <w:rPr>
          <w:rFonts w:asciiTheme="majorBidi" w:hAnsiTheme="majorBidi" w:cstheme="majorBidi"/>
          <w:bCs/>
        </w:rPr>
        <w:t>16</w:t>
      </w:r>
      <w:r w:rsidR="00FD6E9B">
        <w:rPr>
          <w:rFonts w:asciiTheme="majorBidi" w:hAnsiTheme="majorBidi" w:cstheme="majorBidi"/>
          <w:bCs/>
        </w:rPr>
        <w:t>(1)</w:t>
      </w:r>
      <w:r w:rsidRPr="00667B89">
        <w:rPr>
          <w:rFonts w:asciiTheme="majorBidi" w:hAnsiTheme="majorBidi" w:cstheme="majorBidi"/>
          <w:bCs/>
        </w:rPr>
        <w:t>: 5-61</w:t>
      </w:r>
    </w:p>
    <w:p w:rsidR="00A35CA0" w:rsidRDefault="00CC3C93" w:rsidP="00CA5FBB">
      <w:pPr>
        <w:spacing w:before="120" w:line="240" w:lineRule="auto"/>
        <w:jc w:val="left"/>
        <w:rPr>
          <w:rFonts w:asciiTheme="majorBidi" w:hAnsiTheme="majorBidi" w:cstheme="majorBidi"/>
          <w:color w:val="000000" w:themeColor="text1"/>
          <w:lang w:val="en-CA"/>
        </w:rPr>
      </w:pPr>
      <w:r w:rsidRPr="00652522">
        <w:rPr>
          <w:rFonts w:asciiTheme="majorBidi" w:hAnsiTheme="majorBidi" w:cstheme="majorBidi"/>
          <w:color w:val="000000" w:themeColor="text1"/>
          <w:lang w:val="sv-SE"/>
        </w:rPr>
        <w:t xml:space="preserve">Garn, S.M.  Blumethall, T.  </w:t>
      </w:r>
      <w:r w:rsidRPr="00667B89">
        <w:rPr>
          <w:rFonts w:asciiTheme="majorBidi" w:hAnsiTheme="majorBidi" w:cstheme="majorBidi"/>
          <w:color w:val="000000" w:themeColor="text1"/>
          <w:lang w:val="en-CA"/>
        </w:rPr>
        <w:t xml:space="preserve">And Rohmann, C.G.  1965.  </w:t>
      </w:r>
      <w:proofErr w:type="gramStart"/>
      <w:r w:rsidRPr="00667B89">
        <w:rPr>
          <w:rFonts w:asciiTheme="majorBidi" w:hAnsiTheme="majorBidi" w:cstheme="majorBidi"/>
          <w:color w:val="000000" w:themeColor="text1"/>
          <w:lang w:val="en-CA"/>
        </w:rPr>
        <w:t>On</w:t>
      </w:r>
      <w:proofErr w:type="gramEnd"/>
      <w:r w:rsidRPr="00667B89">
        <w:rPr>
          <w:rFonts w:asciiTheme="majorBidi" w:hAnsiTheme="majorBidi" w:cstheme="majorBidi"/>
          <w:color w:val="000000" w:themeColor="text1"/>
          <w:lang w:val="en-CA"/>
        </w:rPr>
        <w:t xml:space="preserve"> skewness in the ossification centers of the elbow.  </w:t>
      </w:r>
      <w:r w:rsidRPr="00667B89">
        <w:rPr>
          <w:rFonts w:asciiTheme="majorBidi" w:hAnsiTheme="majorBidi" w:cstheme="majorBidi"/>
          <w:i/>
          <w:color w:val="000000" w:themeColor="text1"/>
          <w:lang w:val="en-CA"/>
        </w:rPr>
        <w:t xml:space="preserve">American Journal of Physical Anthropology </w:t>
      </w:r>
      <w:r w:rsidRPr="00667B89">
        <w:rPr>
          <w:rFonts w:asciiTheme="majorBidi" w:hAnsiTheme="majorBidi" w:cstheme="majorBidi"/>
          <w:color w:val="000000" w:themeColor="text1"/>
          <w:lang w:val="en-CA"/>
        </w:rPr>
        <w:t>23</w:t>
      </w:r>
      <w:r w:rsidR="00DA5824">
        <w:rPr>
          <w:rFonts w:asciiTheme="majorBidi" w:hAnsiTheme="majorBidi" w:cstheme="majorBidi"/>
          <w:color w:val="000000" w:themeColor="text1"/>
          <w:lang w:val="en-CA"/>
        </w:rPr>
        <w:t>(3)</w:t>
      </w:r>
      <w:r w:rsidRPr="00667B89">
        <w:rPr>
          <w:rFonts w:asciiTheme="majorBidi" w:hAnsiTheme="majorBidi" w:cstheme="majorBidi"/>
          <w:color w:val="000000" w:themeColor="text1"/>
          <w:lang w:val="en-CA"/>
        </w:rPr>
        <w:t>: 303-304</w:t>
      </w:r>
      <w:r w:rsidR="00DA5824">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Garn, S.M.  Rohmann, C.G.  1963.  </w:t>
      </w:r>
      <w:proofErr w:type="gramStart"/>
      <w:r w:rsidRPr="00667B89">
        <w:rPr>
          <w:rFonts w:asciiTheme="majorBidi" w:hAnsiTheme="majorBidi" w:cstheme="majorBidi"/>
          <w:color w:val="000000" w:themeColor="text1"/>
          <w:lang w:val="en-CA"/>
        </w:rPr>
        <w:t>On</w:t>
      </w:r>
      <w:proofErr w:type="gramEnd"/>
      <w:r w:rsidRPr="00667B89">
        <w:rPr>
          <w:rFonts w:asciiTheme="majorBidi" w:hAnsiTheme="majorBidi" w:cstheme="majorBidi"/>
          <w:color w:val="000000" w:themeColor="text1"/>
          <w:lang w:val="en-CA"/>
        </w:rPr>
        <w:t xml:space="preserve"> the prevalence of skewness in incremental data.  </w:t>
      </w:r>
      <w:r w:rsidRPr="00667B89">
        <w:rPr>
          <w:rFonts w:asciiTheme="majorBidi" w:hAnsiTheme="majorBidi" w:cstheme="majorBidi"/>
          <w:i/>
          <w:color w:val="000000" w:themeColor="text1"/>
          <w:lang w:val="en-CA"/>
        </w:rPr>
        <w:t>American Journal of Physical Anthropology</w:t>
      </w:r>
      <w:r w:rsidRPr="00667B89">
        <w:rPr>
          <w:rFonts w:asciiTheme="majorBidi" w:hAnsiTheme="majorBidi" w:cstheme="majorBidi"/>
          <w:color w:val="000000" w:themeColor="text1"/>
          <w:lang w:val="en-CA"/>
        </w:rPr>
        <w:t xml:space="preserve"> 21</w:t>
      </w:r>
      <w:r w:rsidR="000441E6">
        <w:rPr>
          <w:rFonts w:asciiTheme="majorBidi" w:hAnsiTheme="majorBidi" w:cstheme="majorBidi"/>
          <w:color w:val="000000" w:themeColor="text1"/>
          <w:lang w:val="en-CA"/>
        </w:rPr>
        <w:t>(2)</w:t>
      </w:r>
      <w:r w:rsidRPr="00667B89">
        <w:rPr>
          <w:rFonts w:asciiTheme="majorBidi" w:hAnsiTheme="majorBidi" w:cstheme="majorBidi"/>
          <w:color w:val="000000" w:themeColor="text1"/>
          <w:lang w:val="en-CA"/>
        </w:rPr>
        <w:t>: 235-236</w:t>
      </w:r>
      <w:r w:rsidR="000441E6">
        <w:rPr>
          <w:rFonts w:asciiTheme="majorBidi" w:hAnsiTheme="majorBidi" w:cstheme="majorBidi"/>
          <w:color w:val="000000" w:themeColor="text1"/>
          <w:lang w:val="en-CA"/>
        </w:rPr>
        <w:t>.</w:t>
      </w:r>
    </w:p>
    <w:p w:rsidR="00A35CA0" w:rsidRDefault="00CC3C93" w:rsidP="00CA5FBB">
      <w:pPr>
        <w:autoSpaceDE w:val="0"/>
        <w:autoSpaceDN w:val="0"/>
        <w:adjustRightInd w:val="0"/>
        <w:spacing w:before="120" w:line="240" w:lineRule="auto"/>
        <w:jc w:val="left"/>
        <w:rPr>
          <w:rFonts w:asciiTheme="majorBidi" w:hAnsiTheme="majorBidi" w:cstheme="majorBidi"/>
          <w:iCs/>
          <w:color w:val="000000" w:themeColor="text1"/>
        </w:rPr>
      </w:pPr>
      <w:r w:rsidRPr="00667B89">
        <w:rPr>
          <w:rFonts w:asciiTheme="majorBidi" w:hAnsiTheme="majorBidi" w:cstheme="majorBidi"/>
          <w:color w:val="000000" w:themeColor="text1"/>
        </w:rPr>
        <w:t xml:space="preserve">Garn, S.M.  Rohmann, C.G.  1966. </w:t>
      </w:r>
      <w:r w:rsidRPr="00667B89">
        <w:rPr>
          <w:rFonts w:asciiTheme="majorBidi" w:hAnsiTheme="majorBidi" w:cstheme="majorBidi"/>
          <w:iCs/>
          <w:color w:val="000000" w:themeColor="text1"/>
        </w:rPr>
        <w:t>Interaction of nutrition and genetics in the timing of growth and</w:t>
      </w:r>
    </w:p>
    <w:p w:rsidR="00A35CA0" w:rsidRDefault="00CC3C93" w:rsidP="00CA5FBB">
      <w:pPr>
        <w:spacing w:before="120" w:line="240" w:lineRule="auto"/>
        <w:jc w:val="left"/>
        <w:rPr>
          <w:rFonts w:asciiTheme="majorBidi" w:hAnsiTheme="majorBidi" w:cstheme="majorBidi"/>
          <w:color w:val="000000" w:themeColor="text1"/>
        </w:rPr>
      </w:pPr>
      <w:proofErr w:type="gramStart"/>
      <w:r w:rsidRPr="00667B89">
        <w:rPr>
          <w:rFonts w:asciiTheme="majorBidi" w:hAnsiTheme="majorBidi" w:cstheme="majorBidi"/>
          <w:iCs/>
          <w:color w:val="000000" w:themeColor="text1"/>
        </w:rPr>
        <w:t>development</w:t>
      </w:r>
      <w:proofErr w:type="gramEnd"/>
      <w:r w:rsidRPr="00667B89">
        <w:rPr>
          <w:rFonts w:asciiTheme="majorBidi" w:hAnsiTheme="majorBidi" w:cstheme="majorBidi"/>
          <w:i/>
          <w:iCs/>
          <w:color w:val="000000" w:themeColor="text1"/>
        </w:rPr>
        <w:t xml:space="preserve">.  </w:t>
      </w:r>
      <w:r w:rsidRPr="00667B89">
        <w:rPr>
          <w:rFonts w:asciiTheme="majorBidi" w:hAnsiTheme="majorBidi" w:cstheme="majorBidi"/>
          <w:i/>
          <w:color w:val="000000" w:themeColor="text1"/>
        </w:rPr>
        <w:t>Pediatric Clinics of North America</w:t>
      </w:r>
      <w:r w:rsidRPr="00667B89">
        <w:rPr>
          <w:rFonts w:asciiTheme="majorBidi" w:hAnsiTheme="majorBidi" w:cstheme="majorBidi"/>
          <w:color w:val="000000" w:themeColor="text1"/>
        </w:rPr>
        <w:t xml:space="preserve"> 13: 353-379</w:t>
      </w:r>
      <w:r w:rsidR="001139E0">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noProof/>
          <w:color w:val="000000"/>
        </w:rPr>
        <w:lastRenderedPageBreak/>
        <w:t xml:space="preserve">Garn, S.M.  Rohmann, C.G.  Silverman, F.N.  1967.  Radiographic standards for postnatal ossification and tooth calcification.  </w:t>
      </w:r>
      <w:r w:rsidRPr="00667B89">
        <w:rPr>
          <w:rFonts w:asciiTheme="majorBidi" w:hAnsiTheme="majorBidi" w:cstheme="majorBidi"/>
          <w:i/>
          <w:noProof/>
          <w:color w:val="000000"/>
        </w:rPr>
        <w:t>Medical Radiography and Photography</w:t>
      </w:r>
      <w:r w:rsidRPr="00667B89">
        <w:rPr>
          <w:rFonts w:asciiTheme="majorBidi" w:hAnsiTheme="majorBidi" w:cstheme="majorBidi"/>
          <w:noProof/>
          <w:color w:val="000000"/>
        </w:rPr>
        <w:t xml:space="preserve"> 43:</w:t>
      </w:r>
      <w:r w:rsidR="001139E0">
        <w:rPr>
          <w:rFonts w:asciiTheme="majorBidi" w:hAnsiTheme="majorBidi" w:cstheme="majorBidi"/>
          <w:noProof/>
          <w:color w:val="000000"/>
        </w:rPr>
        <w:t xml:space="preserve"> </w:t>
      </w:r>
      <w:r w:rsidRPr="00667B89">
        <w:rPr>
          <w:rFonts w:asciiTheme="majorBidi" w:hAnsiTheme="majorBidi" w:cstheme="majorBidi"/>
          <w:noProof/>
          <w:color w:val="000000"/>
        </w:rPr>
        <w:t>45-66</w:t>
      </w:r>
      <w:r w:rsidR="001139E0">
        <w:rPr>
          <w:rFonts w:asciiTheme="majorBidi" w:hAnsiTheme="majorBidi" w:cstheme="majorBidi"/>
          <w:noProof/>
          <w:color w:val="000000"/>
        </w:rPr>
        <w:t>.</w:t>
      </w:r>
    </w:p>
    <w:p w:rsidR="00A35CA0" w:rsidRDefault="00CC3C93" w:rsidP="00CA5FBB">
      <w:pPr>
        <w:spacing w:before="120" w:line="240" w:lineRule="auto"/>
        <w:jc w:val="left"/>
        <w:rPr>
          <w:noProof/>
          <w:color w:val="000000"/>
        </w:rPr>
      </w:pPr>
      <w:r w:rsidRPr="00051A63">
        <w:rPr>
          <w:noProof/>
          <w:color w:val="000000"/>
        </w:rPr>
        <w:t xml:space="preserve">Garn, S.M.  Sandusky, S.T.  Nagy, J.M.  Trowbridge, F.L.  1973.  Negro-Caucasoid differences in permanent tooth emergence at a constant income level.  </w:t>
      </w:r>
      <w:r w:rsidRPr="00472A9A">
        <w:rPr>
          <w:i/>
          <w:noProof/>
          <w:color w:val="000000"/>
        </w:rPr>
        <w:t>Archives of Oral Biology</w:t>
      </w:r>
      <w:r w:rsidRPr="00051A63">
        <w:rPr>
          <w:noProof/>
          <w:color w:val="000000"/>
        </w:rPr>
        <w:t xml:space="preserve"> 18</w:t>
      </w:r>
      <w:r w:rsidR="00472A9A">
        <w:rPr>
          <w:noProof/>
          <w:color w:val="000000"/>
        </w:rPr>
        <w:t>(5)</w:t>
      </w:r>
      <w:r w:rsidRPr="00051A63">
        <w:rPr>
          <w:noProof/>
          <w:color w:val="000000"/>
        </w:rPr>
        <w:t>: 609-615</w:t>
      </w:r>
      <w:r w:rsidR="00A576C9">
        <w:rPr>
          <w:noProof/>
          <w:color w:val="000000"/>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Gavan, J.A.  1953.  </w:t>
      </w:r>
      <w:r w:rsidRPr="00667B89">
        <w:rPr>
          <w:rFonts w:asciiTheme="majorBidi" w:hAnsiTheme="majorBidi" w:cstheme="majorBidi"/>
          <w:bCs/>
          <w:iCs/>
        </w:rPr>
        <w:t xml:space="preserve">Growth and Development of the Chimpanzee; A Longitudinal and Comparative Study.  </w:t>
      </w:r>
      <w:r w:rsidRPr="00667B89">
        <w:rPr>
          <w:rFonts w:asciiTheme="majorBidi" w:hAnsiTheme="majorBidi" w:cstheme="majorBidi"/>
          <w:i/>
        </w:rPr>
        <w:t>Human Biology</w:t>
      </w:r>
      <w:r w:rsidRPr="00667B89">
        <w:rPr>
          <w:rFonts w:asciiTheme="majorBidi" w:hAnsiTheme="majorBidi" w:cstheme="majorBidi"/>
        </w:rPr>
        <w:t xml:space="preserve"> 25(2): 93-143</w:t>
      </w:r>
      <w:r w:rsidR="00A576C9">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color w:val="000000"/>
          <w:lang w:val="en-CA"/>
        </w:rPr>
      </w:pPr>
      <w:r>
        <w:rPr>
          <w:rFonts w:asciiTheme="majorBidi" w:hAnsiTheme="majorBidi" w:cstheme="majorBidi"/>
          <w:color w:val="000000"/>
          <w:lang w:val="en-CA"/>
        </w:rPr>
        <w:t>Gavan, J.A.  1971</w:t>
      </w:r>
      <w:r w:rsidRPr="00667B89">
        <w:rPr>
          <w:rFonts w:asciiTheme="majorBidi" w:hAnsiTheme="majorBidi" w:cstheme="majorBidi"/>
          <w:color w:val="000000"/>
          <w:lang w:val="en-CA"/>
        </w:rPr>
        <w:t>.  Longitudinal, postnatal growth in chimpanzee.</w:t>
      </w:r>
      <w:r w:rsidRPr="00667B89">
        <w:rPr>
          <w:rFonts w:asciiTheme="majorBidi" w:hAnsiTheme="majorBidi" w:cstheme="majorBidi"/>
          <w:i/>
          <w:color w:val="000000"/>
          <w:lang w:val="en-CA"/>
        </w:rPr>
        <w:t xml:space="preserve">  </w:t>
      </w:r>
      <w:r w:rsidRPr="00667B89">
        <w:rPr>
          <w:rFonts w:asciiTheme="majorBidi" w:hAnsiTheme="majorBidi" w:cstheme="majorBidi"/>
          <w:color w:val="000000"/>
          <w:lang w:val="en-CA"/>
        </w:rPr>
        <w:t xml:space="preserve">In G.H. Bourne (Ed.) </w:t>
      </w:r>
      <w:proofErr w:type="gramStart"/>
      <w:r w:rsidRPr="00667B89">
        <w:rPr>
          <w:rFonts w:asciiTheme="majorBidi" w:hAnsiTheme="majorBidi" w:cstheme="majorBidi"/>
          <w:i/>
          <w:color w:val="000000"/>
          <w:lang w:val="en-CA"/>
        </w:rPr>
        <w:t>The</w:t>
      </w:r>
      <w:proofErr w:type="gramEnd"/>
      <w:r w:rsidRPr="00667B89">
        <w:rPr>
          <w:rFonts w:asciiTheme="majorBidi" w:hAnsiTheme="majorBidi" w:cstheme="majorBidi"/>
          <w:i/>
          <w:color w:val="000000"/>
          <w:lang w:val="en-CA"/>
        </w:rPr>
        <w:t xml:space="preserve"> Chimpanzee.  </w:t>
      </w:r>
      <w:proofErr w:type="gramStart"/>
      <w:r w:rsidRPr="00667B89">
        <w:rPr>
          <w:rFonts w:asciiTheme="majorBidi" w:hAnsiTheme="majorBidi" w:cstheme="majorBidi"/>
          <w:i/>
          <w:color w:val="000000"/>
          <w:lang w:val="en-CA"/>
        </w:rPr>
        <w:t>Volume 4, behaviour, growth, and pathology of chimpanzees</w:t>
      </w:r>
      <w:r w:rsidRPr="00667B89">
        <w:rPr>
          <w:rFonts w:asciiTheme="majorBidi" w:hAnsiTheme="majorBidi" w:cstheme="majorBidi"/>
          <w:color w:val="000000"/>
          <w:lang w:val="en-CA"/>
        </w:rPr>
        <w:t xml:space="preserve"> (pp.46-102).</w:t>
      </w:r>
      <w:proofErr w:type="gramEnd"/>
      <w:r w:rsidR="00565469">
        <w:rPr>
          <w:rFonts w:asciiTheme="majorBidi" w:hAnsiTheme="majorBidi" w:cstheme="majorBidi"/>
          <w:color w:val="000000"/>
          <w:lang w:val="en-CA"/>
        </w:rPr>
        <w:t xml:space="preserve"> </w:t>
      </w:r>
      <w:r w:rsidRPr="00667B89">
        <w:rPr>
          <w:rFonts w:asciiTheme="majorBidi" w:hAnsiTheme="majorBidi" w:cstheme="majorBidi"/>
          <w:color w:val="000000"/>
          <w:lang w:val="en-CA"/>
        </w:rPr>
        <w:t xml:space="preserve"> S. Karger</w:t>
      </w:r>
      <w:r w:rsidR="00565469">
        <w:rPr>
          <w:rFonts w:asciiTheme="majorBidi" w:hAnsiTheme="majorBidi" w:cstheme="majorBidi"/>
          <w:color w:val="000000"/>
          <w:lang w:val="en-CA"/>
        </w:rPr>
        <w:t>: Basel</w:t>
      </w:r>
      <w:r w:rsidRPr="00667B89">
        <w:rPr>
          <w:rFonts w:asciiTheme="majorBidi" w:hAnsiTheme="majorBidi" w:cstheme="majorBidi"/>
          <w:color w:val="000000"/>
          <w:lang w:val="en-CA"/>
        </w:rPr>
        <w:t>.</w:t>
      </w:r>
    </w:p>
    <w:p w:rsidR="00A35CA0" w:rsidRDefault="00CC3C93" w:rsidP="00CA5FBB">
      <w:pPr>
        <w:pStyle w:val="ListParagraph"/>
        <w:spacing w:before="120" w:line="240" w:lineRule="auto"/>
        <w:ind w:left="0"/>
        <w:jc w:val="left"/>
        <w:rPr>
          <w:noProof/>
        </w:rPr>
      </w:pPr>
      <w:r>
        <w:rPr>
          <w:noProof/>
        </w:rPr>
        <w:t xml:space="preserve">Ghantus, M.  1951.  Growth of the shaft of the human radius and ulna during the first two years of life.  </w:t>
      </w:r>
      <w:r>
        <w:rPr>
          <w:i/>
          <w:noProof/>
        </w:rPr>
        <w:t>American Journal of Roentgenology</w:t>
      </w:r>
      <w:r>
        <w:rPr>
          <w:noProof/>
        </w:rPr>
        <w:t xml:space="preserve"> 65: 784-786</w:t>
      </w:r>
      <w:r w:rsidR="008440E2">
        <w:rPr>
          <w:noProof/>
        </w:rPr>
        <w:t>.</w:t>
      </w:r>
    </w:p>
    <w:p w:rsidR="00A35CA0" w:rsidRDefault="00CC3C93" w:rsidP="00CA5FBB">
      <w:pPr>
        <w:pStyle w:val="ListParagraph"/>
        <w:spacing w:before="120" w:line="240" w:lineRule="auto"/>
        <w:ind w:left="0"/>
        <w:jc w:val="left"/>
        <w:rPr>
          <w:noProof/>
        </w:rPr>
      </w:pPr>
      <w:r>
        <w:rPr>
          <w:noProof/>
        </w:rPr>
        <w:t xml:space="preserve">Gindhart, P.  1973.  Growth standards for the tibia and the radius in children aged one month through eighteen years.  </w:t>
      </w:r>
      <w:r>
        <w:rPr>
          <w:i/>
          <w:noProof/>
        </w:rPr>
        <w:t>American Journal of Physical Anthropology</w:t>
      </w:r>
      <w:r>
        <w:rPr>
          <w:noProof/>
        </w:rPr>
        <w:t xml:space="preserve"> 39</w:t>
      </w:r>
      <w:r w:rsidR="008440E2">
        <w:rPr>
          <w:noProof/>
        </w:rPr>
        <w:t>(1)</w:t>
      </w:r>
      <w:r>
        <w:rPr>
          <w:noProof/>
        </w:rPr>
        <w:t>: 41-48</w:t>
      </w:r>
      <w:r w:rsidR="008440E2">
        <w:rPr>
          <w:noProof/>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Glassman, D.M. </w:t>
      </w:r>
      <w:r w:rsidRPr="00667B89">
        <w:rPr>
          <w:rFonts w:asciiTheme="majorBidi" w:hAnsiTheme="majorBidi" w:cstheme="majorBidi"/>
          <w:bCs/>
        </w:rPr>
        <w:t xml:space="preserve"> 1983.  </w:t>
      </w:r>
      <w:r w:rsidRPr="00667B89">
        <w:rPr>
          <w:rFonts w:asciiTheme="majorBidi" w:hAnsiTheme="majorBidi" w:cstheme="majorBidi"/>
        </w:rPr>
        <w:t xml:space="preserve">Growth and development in the saddle-back tamarin: the sequence and timing of dental eruption and epiphyseal union.  </w:t>
      </w:r>
      <w:r w:rsidRPr="00667B89">
        <w:rPr>
          <w:rFonts w:asciiTheme="majorBidi" w:hAnsiTheme="majorBidi" w:cstheme="majorBidi"/>
          <w:i/>
        </w:rPr>
        <w:t>American Journal of Primatology</w:t>
      </w:r>
      <w:r w:rsidRPr="00667B89">
        <w:rPr>
          <w:rFonts w:asciiTheme="majorBidi" w:hAnsiTheme="majorBidi" w:cstheme="majorBidi"/>
        </w:rPr>
        <w:t xml:space="preserve"> 5</w:t>
      </w:r>
      <w:r w:rsidR="004B7162">
        <w:rPr>
          <w:rFonts w:asciiTheme="majorBidi" w:hAnsiTheme="majorBidi" w:cstheme="majorBidi"/>
        </w:rPr>
        <w:t>(1)</w:t>
      </w:r>
      <w:r w:rsidRPr="00667B89">
        <w:rPr>
          <w:rFonts w:asciiTheme="majorBidi" w:hAnsiTheme="majorBidi" w:cstheme="majorBidi"/>
        </w:rPr>
        <w:t>: 51-59</w:t>
      </w:r>
      <w:r w:rsidR="004B7162">
        <w:rPr>
          <w:rFonts w:asciiTheme="majorBidi" w:hAnsiTheme="majorBidi" w:cstheme="majorBidi"/>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sidRPr="00667B89">
        <w:rPr>
          <w:rFonts w:asciiTheme="majorBidi" w:hAnsiTheme="majorBidi" w:cstheme="majorBidi"/>
          <w:noProof/>
          <w:color w:val="000000"/>
        </w:rPr>
        <w:t xml:space="preserve">Godfrey, L.R. Sutherland, M.R.  1995.  Flawed inference: why size-based tests of heterochronic processes do not work.  </w:t>
      </w:r>
      <w:r w:rsidRPr="00667B89">
        <w:rPr>
          <w:rFonts w:asciiTheme="majorBidi" w:hAnsiTheme="majorBidi" w:cstheme="majorBidi"/>
          <w:i/>
          <w:noProof/>
          <w:color w:val="000000"/>
        </w:rPr>
        <w:t>Journal of Theoretical Biology</w:t>
      </w:r>
      <w:r w:rsidRPr="00667B89">
        <w:rPr>
          <w:rFonts w:asciiTheme="majorBidi" w:hAnsiTheme="majorBidi" w:cstheme="majorBidi"/>
          <w:noProof/>
          <w:color w:val="000000"/>
        </w:rPr>
        <w:t xml:space="preserve"> 172</w:t>
      </w:r>
      <w:r w:rsidR="00B07857">
        <w:rPr>
          <w:rFonts w:asciiTheme="majorBidi" w:hAnsiTheme="majorBidi" w:cstheme="majorBidi"/>
          <w:noProof/>
          <w:color w:val="000000"/>
        </w:rPr>
        <w:t>(</w:t>
      </w:r>
      <w:r w:rsidRPr="00667B89">
        <w:rPr>
          <w:rFonts w:asciiTheme="majorBidi" w:hAnsiTheme="majorBidi" w:cstheme="majorBidi"/>
          <w:noProof/>
          <w:color w:val="000000"/>
        </w:rPr>
        <w:t>1</w:t>
      </w:r>
      <w:r w:rsidR="00B07857">
        <w:rPr>
          <w:rFonts w:asciiTheme="majorBidi" w:hAnsiTheme="majorBidi" w:cstheme="majorBidi"/>
          <w:noProof/>
          <w:color w:val="000000"/>
        </w:rPr>
        <w:t>)</w:t>
      </w:r>
      <w:r w:rsidRPr="00667B89">
        <w:rPr>
          <w:rFonts w:asciiTheme="majorBidi" w:hAnsiTheme="majorBidi" w:cstheme="majorBidi"/>
          <w:noProof/>
          <w:color w:val="000000"/>
        </w:rPr>
        <w:t>: 43-61</w:t>
      </w:r>
      <w:r w:rsidR="00B07857">
        <w:rPr>
          <w:rFonts w:asciiTheme="majorBidi" w:hAnsiTheme="majorBidi" w:cstheme="majorBidi"/>
          <w:noProof/>
          <w:color w:val="000000"/>
        </w:rPr>
        <w:t>.</w:t>
      </w:r>
    </w:p>
    <w:p w:rsidR="00A35CA0" w:rsidRDefault="00CC3C93" w:rsidP="00CA5FBB">
      <w:pPr>
        <w:tabs>
          <w:tab w:val="left" w:pos="360"/>
        </w:tabs>
        <w:spacing w:before="120" w:line="240" w:lineRule="auto"/>
        <w:jc w:val="left"/>
        <w:rPr>
          <w:noProof/>
          <w:color w:val="000000"/>
        </w:rPr>
      </w:pPr>
      <w:r w:rsidRPr="00045E08">
        <w:rPr>
          <w:noProof/>
          <w:color w:val="000000"/>
        </w:rPr>
        <w:t xml:space="preserve">Godfrey, L. Sutherland, M.R.  1996.  Paradox of peramorphic paedomorphosis: Heterochrony and human evolution.  </w:t>
      </w:r>
      <w:r w:rsidRPr="00045E08">
        <w:rPr>
          <w:i/>
          <w:noProof/>
          <w:color w:val="000000"/>
        </w:rPr>
        <w:t>American Journal of Physical Anthropology</w:t>
      </w:r>
      <w:r w:rsidRPr="00045E08">
        <w:rPr>
          <w:noProof/>
          <w:color w:val="000000"/>
        </w:rPr>
        <w:t xml:space="preserve"> 99(1): 17</w:t>
      </w:r>
      <w:r w:rsidR="00A43997">
        <w:rPr>
          <w:noProof/>
          <w:color w:val="000000"/>
        </w:rPr>
        <w:t>-</w:t>
      </w:r>
      <w:r w:rsidRPr="00045E08">
        <w:rPr>
          <w:noProof/>
          <w:color w:val="000000"/>
        </w:rPr>
        <w:t>42</w:t>
      </w:r>
      <w:r w:rsidR="00A43997">
        <w:rPr>
          <w:noProof/>
          <w:color w:val="000000"/>
        </w:rPr>
        <w:t>.</w:t>
      </w:r>
    </w:p>
    <w:p w:rsidR="00A35CA0" w:rsidRDefault="00CC3C93" w:rsidP="00CA5FBB">
      <w:pPr>
        <w:tabs>
          <w:tab w:val="left" w:pos="360"/>
        </w:tabs>
        <w:spacing w:before="120" w:line="240" w:lineRule="auto"/>
        <w:jc w:val="left"/>
        <w:rPr>
          <w:noProof/>
          <w:color w:val="000000"/>
        </w:rPr>
      </w:pPr>
      <w:r>
        <w:rPr>
          <w:noProof/>
          <w:color w:val="000000"/>
        </w:rPr>
        <w:t xml:space="preserve">Goswami, A.  2007.  Cranial modularity and sequence heterochrony in mammals.  </w:t>
      </w:r>
      <w:r>
        <w:rPr>
          <w:i/>
          <w:noProof/>
          <w:color w:val="000000"/>
        </w:rPr>
        <w:t>Evolution &amp; Development</w:t>
      </w:r>
      <w:r>
        <w:rPr>
          <w:noProof/>
          <w:color w:val="000000"/>
        </w:rPr>
        <w:t xml:space="preserve"> 9(3): 290–298</w:t>
      </w:r>
      <w:r w:rsidR="0027412E">
        <w:rPr>
          <w:noProof/>
          <w:color w:val="000000"/>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Gould, S.J.  1977.  </w:t>
      </w:r>
      <w:r w:rsidRPr="00667B89">
        <w:rPr>
          <w:rFonts w:asciiTheme="majorBidi" w:hAnsiTheme="majorBidi" w:cstheme="majorBidi"/>
          <w:i/>
          <w:iCs/>
        </w:rPr>
        <w:t>Ontogeny and Phylogeny</w:t>
      </w:r>
      <w:r w:rsidRPr="00667B89">
        <w:rPr>
          <w:rFonts w:asciiTheme="majorBidi" w:hAnsiTheme="majorBidi" w:cstheme="majorBidi"/>
        </w:rPr>
        <w:t>.  Harvard University Press: Cambridge p.235</w:t>
      </w:r>
      <w:r w:rsidR="007D1F7B">
        <w:rPr>
          <w:rFonts w:asciiTheme="majorBidi" w:hAnsiTheme="majorBidi" w:cstheme="majorBidi"/>
        </w:rPr>
        <w:t>.</w:t>
      </w:r>
    </w:p>
    <w:p w:rsidR="00A35CA0" w:rsidRDefault="00CC3C93" w:rsidP="00CA5FBB">
      <w:pPr>
        <w:tabs>
          <w:tab w:val="left" w:pos="360"/>
        </w:tabs>
        <w:spacing w:before="120" w:line="240" w:lineRule="auto"/>
        <w:ind w:left="60"/>
        <w:jc w:val="left"/>
        <w:rPr>
          <w:noProof/>
          <w:color w:val="000000"/>
        </w:rPr>
      </w:pPr>
      <w:r w:rsidRPr="008930CE">
        <w:rPr>
          <w:noProof/>
          <w:color w:val="000000"/>
        </w:rPr>
        <w:t xml:space="preserve">Gould, S.J.  1981.  </w:t>
      </w:r>
      <w:r w:rsidRPr="004A0051">
        <w:rPr>
          <w:i/>
          <w:noProof/>
          <w:color w:val="000000"/>
        </w:rPr>
        <w:t>The Mismeasure of Man</w:t>
      </w:r>
      <w:r w:rsidRPr="008930CE">
        <w:rPr>
          <w:noProof/>
          <w:color w:val="000000"/>
        </w:rPr>
        <w:t>. Norton: New York</w:t>
      </w:r>
      <w:r w:rsidR="007D1F7B">
        <w:rPr>
          <w:noProof/>
          <w:color w:val="000000"/>
        </w:rPr>
        <w:t>.</w:t>
      </w:r>
    </w:p>
    <w:p w:rsidR="00A35CA0" w:rsidRDefault="00CC3C93" w:rsidP="00CA5FBB">
      <w:pPr>
        <w:autoSpaceDE w:val="0"/>
        <w:autoSpaceDN w:val="0"/>
        <w:adjustRightInd w:val="0"/>
        <w:spacing w:before="120" w:line="240" w:lineRule="auto"/>
        <w:jc w:val="left"/>
        <w:rPr>
          <w:rFonts w:asciiTheme="majorBidi" w:eastAsiaTheme="minorHAnsi" w:hAnsiTheme="majorBidi" w:cstheme="majorBidi"/>
          <w:lang w:val="en-GB"/>
        </w:rPr>
      </w:pPr>
      <w:proofErr w:type="gramStart"/>
      <w:r w:rsidRPr="009A0084">
        <w:rPr>
          <w:rFonts w:asciiTheme="majorBidi" w:eastAsiaTheme="minorHAnsi" w:hAnsiTheme="majorBidi" w:cstheme="majorBidi"/>
          <w:lang w:val="en-GB"/>
        </w:rPr>
        <w:t>Graur, D.</w:t>
      </w:r>
      <w:proofErr w:type="gramEnd"/>
      <w:r w:rsidRPr="009A0084">
        <w:rPr>
          <w:rFonts w:asciiTheme="majorBidi" w:eastAsiaTheme="minorHAnsi" w:hAnsiTheme="majorBidi" w:cstheme="majorBidi"/>
          <w:lang w:val="en-GB"/>
        </w:rPr>
        <w:t xml:space="preserve">  Higgins, D. G.  1994.  Molecular Evidence for the Inclusion of Cetaceans</w:t>
      </w:r>
    </w:p>
    <w:p w:rsidR="00A35CA0" w:rsidRDefault="00CC3C93" w:rsidP="00CA5FBB">
      <w:pPr>
        <w:autoSpaceDE w:val="0"/>
        <w:autoSpaceDN w:val="0"/>
        <w:adjustRightInd w:val="0"/>
        <w:spacing w:before="120" w:line="240" w:lineRule="auto"/>
        <w:jc w:val="left"/>
        <w:rPr>
          <w:rFonts w:asciiTheme="majorBidi" w:eastAsia="Times New Roman" w:hAnsiTheme="majorBidi" w:cstheme="majorBidi"/>
          <w:color w:val="333300"/>
          <w:lang w:eastAsia="zh-CN"/>
        </w:rPr>
      </w:pPr>
      <w:proofErr w:type="gramStart"/>
      <w:r w:rsidRPr="009A0084">
        <w:rPr>
          <w:rFonts w:asciiTheme="majorBidi" w:eastAsiaTheme="minorHAnsi" w:hAnsiTheme="majorBidi" w:cstheme="majorBidi"/>
          <w:lang w:val="en-GB"/>
        </w:rPr>
        <w:t>within</w:t>
      </w:r>
      <w:proofErr w:type="gramEnd"/>
      <w:r w:rsidRPr="009A0084">
        <w:rPr>
          <w:rFonts w:asciiTheme="majorBidi" w:eastAsiaTheme="minorHAnsi" w:hAnsiTheme="majorBidi" w:cstheme="majorBidi"/>
          <w:lang w:val="en-GB"/>
        </w:rPr>
        <w:t xml:space="preserve"> the Order Artiodactyla</w:t>
      </w:r>
      <w:r>
        <w:rPr>
          <w:rFonts w:asciiTheme="majorBidi" w:eastAsiaTheme="minorHAnsi" w:hAnsiTheme="majorBidi" w:cstheme="majorBidi"/>
          <w:lang w:val="en-GB"/>
        </w:rPr>
        <w:t xml:space="preserve">.  </w:t>
      </w:r>
      <w:r>
        <w:rPr>
          <w:rFonts w:asciiTheme="majorBidi" w:eastAsiaTheme="minorHAnsi" w:hAnsiTheme="majorBidi" w:cstheme="majorBidi"/>
          <w:i/>
          <w:iCs/>
          <w:lang w:val="en-GB"/>
        </w:rPr>
        <w:t>Molecular Biology and Evolution</w:t>
      </w:r>
      <w:r>
        <w:rPr>
          <w:rFonts w:asciiTheme="majorBidi" w:eastAsiaTheme="minorHAnsi" w:hAnsiTheme="majorBidi" w:cstheme="majorBidi"/>
          <w:lang w:val="en-GB"/>
        </w:rPr>
        <w:t xml:space="preserve"> 11(3): 357-364</w:t>
      </w:r>
      <w:r w:rsidR="007D1F7B">
        <w:rPr>
          <w:rFonts w:asciiTheme="majorBidi" w:eastAsiaTheme="minorHAnsi" w:hAnsiTheme="majorBidi" w:cstheme="majorBidi"/>
          <w:lang w:val="en-GB"/>
        </w:rPr>
        <w:t>.</w:t>
      </w:r>
    </w:p>
    <w:p w:rsidR="00A35CA0" w:rsidRDefault="00CC3C93" w:rsidP="00CA5FBB">
      <w:pPr>
        <w:spacing w:before="120" w:line="240" w:lineRule="auto"/>
        <w:jc w:val="left"/>
        <w:rPr>
          <w:rFonts w:asciiTheme="majorBidi" w:hAnsiTheme="majorBidi" w:cstheme="majorBidi"/>
          <w:noProof/>
          <w:color w:val="000000"/>
        </w:rPr>
      </w:pPr>
      <w:r w:rsidRPr="00667B89">
        <w:rPr>
          <w:rFonts w:asciiTheme="majorBidi" w:hAnsiTheme="majorBidi" w:cstheme="majorBidi"/>
          <w:color w:val="000000"/>
        </w:rPr>
        <w:t xml:space="preserve">Greulich, W.W.  1957.  A comparison of the physical growth and development of American-born and native Japanese children. </w:t>
      </w:r>
      <w:r w:rsidRPr="00667B89">
        <w:rPr>
          <w:rFonts w:asciiTheme="majorBidi" w:hAnsiTheme="majorBidi" w:cstheme="majorBidi"/>
          <w:i/>
          <w:noProof/>
          <w:color w:val="000000"/>
        </w:rPr>
        <w:t xml:space="preserve">American Joural of Physical Anthropology </w:t>
      </w:r>
      <w:r w:rsidRPr="00667B89">
        <w:rPr>
          <w:rFonts w:asciiTheme="majorBidi" w:hAnsiTheme="majorBidi" w:cstheme="majorBidi"/>
          <w:noProof/>
          <w:color w:val="000000"/>
        </w:rPr>
        <w:t>15(4):489-515</w:t>
      </w:r>
      <w:r w:rsidR="007D1F7B">
        <w:rPr>
          <w:rFonts w:asciiTheme="majorBidi" w:hAnsiTheme="majorBidi" w:cstheme="majorBidi"/>
          <w:noProof/>
          <w:color w:val="000000"/>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 xml:space="preserve">Greulich, W.W. and Pyle, S.I.  1959.  </w:t>
      </w:r>
      <w:r w:rsidRPr="00667B89">
        <w:rPr>
          <w:rFonts w:asciiTheme="majorBidi" w:hAnsiTheme="majorBidi" w:cstheme="majorBidi"/>
          <w:i/>
          <w:color w:val="000000"/>
          <w:lang w:val="en-CA"/>
        </w:rPr>
        <w:t>Radiographic atlas of skeletal development of the hand and wrist</w:t>
      </w:r>
      <w:r w:rsidRPr="00667B89">
        <w:rPr>
          <w:rFonts w:asciiTheme="majorBidi" w:hAnsiTheme="majorBidi" w:cstheme="majorBidi"/>
          <w:color w:val="000000"/>
          <w:lang w:val="en-CA"/>
        </w:rPr>
        <w:t xml:space="preserve">.  </w:t>
      </w:r>
      <w:proofErr w:type="gramStart"/>
      <w:r w:rsidRPr="00667B89">
        <w:rPr>
          <w:rFonts w:asciiTheme="majorBidi" w:hAnsiTheme="majorBidi" w:cstheme="majorBidi"/>
          <w:color w:val="000000"/>
          <w:lang w:val="en-CA"/>
        </w:rPr>
        <w:t>2</w:t>
      </w:r>
      <w:r w:rsidRPr="00667B89">
        <w:rPr>
          <w:rFonts w:asciiTheme="majorBidi" w:hAnsiTheme="majorBidi" w:cstheme="majorBidi"/>
          <w:color w:val="000000"/>
          <w:vertAlign w:val="superscript"/>
          <w:lang w:val="en-CA"/>
        </w:rPr>
        <w:t>nd</w:t>
      </w:r>
      <w:r w:rsidRPr="00667B89">
        <w:rPr>
          <w:rFonts w:asciiTheme="majorBidi" w:hAnsiTheme="majorBidi" w:cstheme="majorBidi"/>
          <w:color w:val="000000"/>
          <w:lang w:val="en-CA"/>
        </w:rPr>
        <w:t xml:space="preserve"> edn.</w:t>
      </w:r>
      <w:proofErr w:type="gramEnd"/>
      <w:r w:rsidRPr="00667B89">
        <w:rPr>
          <w:rFonts w:asciiTheme="majorBidi" w:hAnsiTheme="majorBidi" w:cstheme="majorBidi"/>
          <w:color w:val="000000"/>
          <w:lang w:val="en-CA"/>
        </w:rPr>
        <w:t xml:space="preserve">  Stanford University Press, New York</w:t>
      </w:r>
      <w:r>
        <w:rPr>
          <w:rFonts w:asciiTheme="majorBidi" w:hAnsiTheme="majorBidi" w:cstheme="majorBidi"/>
          <w:color w:val="000000"/>
          <w:lang w:val="en-CA"/>
        </w:rPr>
        <w:t>.</w:t>
      </w:r>
    </w:p>
    <w:p w:rsidR="00B155A9" w:rsidRDefault="00B155A9" w:rsidP="00E53F3C">
      <w:pPr>
        <w:pStyle w:val="ListParagraph"/>
        <w:spacing w:before="120" w:line="240" w:lineRule="auto"/>
        <w:ind w:left="0"/>
        <w:jc w:val="left"/>
        <w:rPr>
          <w:noProof/>
        </w:rPr>
      </w:pPr>
      <w:r w:rsidRPr="00B155A9">
        <w:rPr>
          <w:noProof/>
        </w:rPr>
        <w:t xml:space="preserve">Graves, R.R.  Lupo, A.C. McCarthy, R.C. Wescott, D.J. Cunningham, D.L.  2010.  Just how strapping was KNM-WT 15000?  </w:t>
      </w:r>
      <w:r w:rsidRPr="00B155A9">
        <w:rPr>
          <w:i/>
          <w:noProof/>
        </w:rPr>
        <w:t>Journal of Human Evolution</w:t>
      </w:r>
      <w:r w:rsidRPr="00B155A9">
        <w:rPr>
          <w:noProof/>
        </w:rPr>
        <w:t xml:space="preserve"> 59(5): 542-554.</w:t>
      </w:r>
    </w:p>
    <w:p w:rsidR="00A35CA0" w:rsidRDefault="00CC3C93" w:rsidP="00CA5FBB">
      <w:pPr>
        <w:pStyle w:val="ListParagraph"/>
        <w:spacing w:before="120" w:line="240" w:lineRule="auto"/>
        <w:ind w:left="0"/>
        <w:jc w:val="left"/>
        <w:rPr>
          <w:b/>
          <w:noProof/>
        </w:rPr>
      </w:pPr>
      <w:r w:rsidRPr="00FF275C">
        <w:rPr>
          <w:noProof/>
        </w:rPr>
        <w:t>Groves</w:t>
      </w:r>
      <w:r>
        <w:rPr>
          <w:noProof/>
        </w:rPr>
        <w:t>,</w:t>
      </w:r>
      <w:r w:rsidRPr="00FF275C">
        <w:rPr>
          <w:noProof/>
        </w:rPr>
        <w:t xml:space="preserve"> C. </w:t>
      </w:r>
      <w:r>
        <w:rPr>
          <w:noProof/>
        </w:rPr>
        <w:t xml:space="preserve"> 2001.  </w:t>
      </w:r>
      <w:r>
        <w:rPr>
          <w:i/>
          <w:noProof/>
        </w:rPr>
        <w:t>Primate T</w:t>
      </w:r>
      <w:r w:rsidRPr="006978E9">
        <w:rPr>
          <w:i/>
          <w:noProof/>
        </w:rPr>
        <w:t>axonomy</w:t>
      </w:r>
      <w:r w:rsidRPr="00FF275C">
        <w:rPr>
          <w:noProof/>
        </w:rPr>
        <w:t>.</w:t>
      </w:r>
      <w:r>
        <w:rPr>
          <w:noProof/>
        </w:rPr>
        <w:t xml:space="preserve"> Smithsonian Institution Press</w:t>
      </w:r>
      <w:r w:rsidR="007D1F7B">
        <w:rPr>
          <w:noProof/>
        </w:rPr>
        <w:t>:</w:t>
      </w:r>
      <w:r>
        <w:rPr>
          <w:noProof/>
        </w:rPr>
        <w:t xml:space="preserve"> </w:t>
      </w:r>
      <w:r w:rsidRPr="00FF275C">
        <w:rPr>
          <w:noProof/>
        </w:rPr>
        <w:t>Washington</w:t>
      </w:r>
      <w:r w:rsidR="007D1F7B">
        <w:rPr>
          <w:noProof/>
        </w:rPr>
        <w:t>.</w:t>
      </w:r>
    </w:p>
    <w:p w:rsidR="00A35CA0" w:rsidRDefault="00CC3C93" w:rsidP="00CA5FBB">
      <w:pPr>
        <w:tabs>
          <w:tab w:val="left" w:pos="360"/>
        </w:tabs>
        <w:spacing w:before="120" w:line="240" w:lineRule="auto"/>
        <w:jc w:val="left"/>
        <w:rPr>
          <w:noProof/>
          <w:color w:val="000000" w:themeColor="text1"/>
        </w:rPr>
      </w:pPr>
      <w:r>
        <w:rPr>
          <w:noProof/>
          <w:color w:val="000000" w:themeColor="text1"/>
        </w:rPr>
        <w:t xml:space="preserve">Gunst, K. </w:t>
      </w:r>
      <w:r w:rsidRPr="00172E4C">
        <w:rPr>
          <w:noProof/>
          <w:color w:val="000000" w:themeColor="text1"/>
        </w:rPr>
        <w:t>Mesotten</w:t>
      </w:r>
      <w:r>
        <w:rPr>
          <w:noProof/>
          <w:color w:val="000000" w:themeColor="text1"/>
        </w:rPr>
        <w:t xml:space="preserve">, K. </w:t>
      </w:r>
      <w:r w:rsidRPr="00172E4C">
        <w:rPr>
          <w:noProof/>
          <w:color w:val="000000" w:themeColor="text1"/>
        </w:rPr>
        <w:t>Carbonez</w:t>
      </w:r>
      <w:r>
        <w:rPr>
          <w:noProof/>
          <w:color w:val="000000" w:themeColor="text1"/>
        </w:rPr>
        <w:t xml:space="preserve">, A.  Willems, G.  2003.  </w:t>
      </w:r>
      <w:r w:rsidRPr="00172E4C">
        <w:rPr>
          <w:noProof/>
          <w:color w:val="000000" w:themeColor="text1"/>
        </w:rPr>
        <w:t>Third molar root development in</w:t>
      </w:r>
      <w:r>
        <w:rPr>
          <w:noProof/>
          <w:color w:val="000000" w:themeColor="text1"/>
        </w:rPr>
        <w:t xml:space="preserve"> relation to chronological age: </w:t>
      </w:r>
      <w:r w:rsidRPr="00172E4C">
        <w:rPr>
          <w:noProof/>
          <w:color w:val="000000" w:themeColor="text1"/>
        </w:rPr>
        <w:t>a large sample si</w:t>
      </w:r>
      <w:r>
        <w:rPr>
          <w:noProof/>
          <w:color w:val="000000" w:themeColor="text1"/>
        </w:rPr>
        <w:t xml:space="preserve">zed retrospective study.  </w:t>
      </w:r>
      <w:r w:rsidRPr="00172E4C">
        <w:rPr>
          <w:i/>
          <w:noProof/>
          <w:color w:val="000000" w:themeColor="text1"/>
        </w:rPr>
        <w:t>Forensic Science International</w:t>
      </w:r>
      <w:r>
        <w:rPr>
          <w:noProof/>
          <w:color w:val="000000" w:themeColor="text1"/>
        </w:rPr>
        <w:t xml:space="preserve"> 136</w:t>
      </w:r>
      <w:r w:rsidRPr="00172E4C">
        <w:rPr>
          <w:noProof/>
          <w:color w:val="000000" w:themeColor="text1"/>
        </w:rPr>
        <w:t>(</w:t>
      </w:r>
      <w:r>
        <w:rPr>
          <w:noProof/>
          <w:color w:val="000000" w:themeColor="text1"/>
        </w:rPr>
        <w:t>1-3</w:t>
      </w:r>
      <w:r w:rsidRPr="00172E4C">
        <w:rPr>
          <w:noProof/>
          <w:color w:val="000000" w:themeColor="text1"/>
        </w:rPr>
        <w:t>)</w:t>
      </w:r>
      <w:r>
        <w:rPr>
          <w:noProof/>
          <w:color w:val="000000" w:themeColor="text1"/>
        </w:rPr>
        <w:t>:</w:t>
      </w:r>
      <w:r w:rsidRPr="00172E4C">
        <w:rPr>
          <w:noProof/>
          <w:color w:val="000000" w:themeColor="text1"/>
        </w:rPr>
        <w:t xml:space="preserve"> 52–57</w:t>
      </w:r>
      <w:r w:rsidR="007D1F7B">
        <w:rPr>
          <w:color w:val="000000" w:themeColor="text1"/>
        </w:rPr>
        <w:t>.</w:t>
      </w:r>
    </w:p>
    <w:p w:rsidR="00A35CA0" w:rsidRDefault="00CC3C93" w:rsidP="00CA5FBB">
      <w:pPr>
        <w:spacing w:before="120" w:line="240" w:lineRule="auto"/>
        <w:jc w:val="left"/>
        <w:rPr>
          <w:noProof/>
          <w:color w:val="000000"/>
        </w:rPr>
      </w:pPr>
      <w:r>
        <w:rPr>
          <w:noProof/>
          <w:color w:val="000000"/>
        </w:rPr>
        <w:t xml:space="preserve">Haavikko, K.  1970.  The formation and the alveolar and clinical eruption of the permanent teeth.  An orthopantographic study.  </w:t>
      </w:r>
      <w:r>
        <w:rPr>
          <w:i/>
          <w:noProof/>
          <w:color w:val="000000"/>
        </w:rPr>
        <w:t>Proceedings of the Finnish Dental Society</w:t>
      </w:r>
      <w:r>
        <w:rPr>
          <w:noProof/>
          <w:color w:val="000000"/>
        </w:rPr>
        <w:t xml:space="preserve"> 66</w:t>
      </w:r>
      <w:r w:rsidR="00172070">
        <w:rPr>
          <w:noProof/>
          <w:color w:val="000000"/>
        </w:rPr>
        <w:t>(3)</w:t>
      </w:r>
      <w:r>
        <w:rPr>
          <w:noProof/>
          <w:color w:val="000000"/>
        </w:rPr>
        <w:t>: 101-170</w:t>
      </w:r>
      <w:r w:rsidR="00172070">
        <w:rPr>
          <w:noProof/>
          <w:color w:val="000000"/>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sidRPr="00667B89">
        <w:rPr>
          <w:rFonts w:asciiTheme="majorBidi" w:hAnsiTheme="majorBidi" w:cstheme="majorBidi"/>
          <w:noProof/>
          <w:color w:val="000000"/>
        </w:rPr>
        <w:t xml:space="preserve">Hales, S.  1727  </w:t>
      </w:r>
      <w:r w:rsidRPr="00667B89">
        <w:rPr>
          <w:rFonts w:asciiTheme="majorBidi" w:hAnsiTheme="majorBidi" w:cstheme="majorBidi"/>
          <w:i/>
          <w:noProof/>
          <w:color w:val="000000"/>
        </w:rPr>
        <w:t xml:space="preserve">Statistical essays.  Volume 1.  Vegetable statiks. </w:t>
      </w:r>
      <w:r w:rsidRPr="00667B89">
        <w:rPr>
          <w:rFonts w:asciiTheme="majorBidi" w:hAnsiTheme="majorBidi" w:cstheme="majorBidi"/>
          <w:noProof/>
          <w:color w:val="000000"/>
        </w:rPr>
        <w:t>W. Innys.: London</w:t>
      </w:r>
      <w:r w:rsidR="00172070">
        <w:rPr>
          <w:rFonts w:asciiTheme="majorBidi" w:hAnsiTheme="majorBidi" w:cstheme="majorBidi"/>
          <w:noProof/>
          <w:color w:val="000000"/>
        </w:rPr>
        <w:t>.</w:t>
      </w:r>
    </w:p>
    <w:p w:rsidR="00A35CA0" w:rsidRDefault="00CC3C93" w:rsidP="00CA5FBB">
      <w:pPr>
        <w:spacing w:before="120" w:line="240" w:lineRule="auto"/>
        <w:jc w:val="left"/>
        <w:rPr>
          <w:rFonts w:asciiTheme="majorBidi" w:hAnsiTheme="majorBidi" w:cstheme="majorBidi"/>
          <w:color w:val="000000"/>
          <w:lang w:val="en-CA"/>
        </w:rPr>
      </w:pPr>
      <w:r w:rsidRPr="00011C31">
        <w:rPr>
          <w:rFonts w:asciiTheme="majorBidi" w:hAnsiTheme="majorBidi" w:cstheme="majorBidi"/>
          <w:color w:val="000000"/>
          <w:lang w:val="pt-PT"/>
        </w:rPr>
        <w:t xml:space="preserve">Hamada, Y.  Udono, T.  Teramoto, M.  </w:t>
      </w:r>
      <w:r w:rsidRPr="00667B89">
        <w:rPr>
          <w:rFonts w:asciiTheme="majorBidi" w:hAnsiTheme="majorBidi" w:cstheme="majorBidi"/>
          <w:color w:val="000000"/>
          <w:lang w:val="en-CA"/>
        </w:rPr>
        <w:t xml:space="preserve">Sugawara, T.  1996.  The Growth Pattern of Chimpanzees: Somatic Growth and Reproductive Maturation in </w:t>
      </w:r>
      <w:r w:rsidRPr="00667B89">
        <w:rPr>
          <w:rFonts w:asciiTheme="majorBidi" w:hAnsiTheme="majorBidi" w:cstheme="majorBidi"/>
          <w:i/>
          <w:color w:val="000000"/>
          <w:lang w:val="en-CA"/>
        </w:rPr>
        <w:t xml:space="preserve">Pan </w:t>
      </w:r>
      <w:proofErr w:type="gramStart"/>
      <w:r w:rsidRPr="00667B89">
        <w:rPr>
          <w:rFonts w:asciiTheme="majorBidi" w:hAnsiTheme="majorBidi" w:cstheme="majorBidi"/>
          <w:i/>
          <w:color w:val="000000"/>
          <w:lang w:val="en-CA"/>
        </w:rPr>
        <w:t>troglodytes</w:t>
      </w:r>
      <w:proofErr w:type="gramEnd"/>
      <w:r w:rsidRPr="00667B89">
        <w:rPr>
          <w:rFonts w:asciiTheme="majorBidi" w:hAnsiTheme="majorBidi" w:cstheme="majorBidi"/>
          <w:color w:val="000000"/>
          <w:lang w:val="en-CA"/>
        </w:rPr>
        <w:t xml:space="preserve">.  </w:t>
      </w:r>
      <w:r w:rsidRPr="00667B89">
        <w:rPr>
          <w:rFonts w:asciiTheme="majorBidi" w:hAnsiTheme="majorBidi" w:cstheme="majorBidi"/>
          <w:i/>
          <w:color w:val="000000"/>
          <w:lang w:val="en-CA"/>
        </w:rPr>
        <w:t>Primates</w:t>
      </w:r>
      <w:r w:rsidRPr="00667B89">
        <w:rPr>
          <w:rFonts w:asciiTheme="majorBidi" w:hAnsiTheme="majorBidi" w:cstheme="majorBidi"/>
          <w:color w:val="000000"/>
          <w:lang w:val="en-CA"/>
        </w:rPr>
        <w:t xml:space="preserve"> 37(3):</w:t>
      </w:r>
      <w:r w:rsidR="00172070">
        <w:rPr>
          <w:rFonts w:asciiTheme="majorBidi" w:hAnsiTheme="majorBidi" w:cstheme="majorBidi"/>
          <w:color w:val="000000"/>
          <w:lang w:val="en-CA"/>
        </w:rPr>
        <w:t xml:space="preserve"> </w:t>
      </w:r>
      <w:r w:rsidRPr="00667B89">
        <w:rPr>
          <w:rFonts w:asciiTheme="majorBidi" w:hAnsiTheme="majorBidi" w:cstheme="majorBidi"/>
          <w:color w:val="000000"/>
          <w:lang w:val="en-CA"/>
        </w:rPr>
        <w:t>279-295</w:t>
      </w:r>
      <w:r w:rsidR="00172070">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sidRPr="00011C31">
        <w:rPr>
          <w:rFonts w:asciiTheme="majorBidi" w:hAnsiTheme="majorBidi" w:cstheme="majorBidi"/>
          <w:color w:val="000000"/>
          <w:lang w:val="pt-PT"/>
        </w:rPr>
        <w:lastRenderedPageBreak/>
        <w:t xml:space="preserve">Hamada, Y.   Udono, T.  Teramoto, M.  </w:t>
      </w:r>
      <w:r w:rsidRPr="00667B89">
        <w:rPr>
          <w:rFonts w:asciiTheme="majorBidi" w:hAnsiTheme="majorBidi" w:cstheme="majorBidi"/>
          <w:color w:val="000000"/>
          <w:lang w:val="en-CA"/>
        </w:rPr>
        <w:t xml:space="preserve">Hayasaka, I. 1998.  </w:t>
      </w:r>
      <w:proofErr w:type="gramStart"/>
      <w:r w:rsidRPr="00667B89">
        <w:rPr>
          <w:rFonts w:asciiTheme="majorBidi" w:hAnsiTheme="majorBidi" w:cstheme="majorBidi"/>
          <w:color w:val="000000"/>
          <w:lang w:val="en-CA"/>
        </w:rPr>
        <w:t>Development of the Hand and Wrist Bones in Chimpanzees.</w:t>
      </w:r>
      <w:proofErr w:type="gramEnd"/>
      <w:r w:rsidRPr="00667B89">
        <w:rPr>
          <w:rFonts w:asciiTheme="majorBidi" w:hAnsiTheme="majorBidi" w:cstheme="majorBidi"/>
          <w:color w:val="000000"/>
          <w:lang w:val="en-CA"/>
        </w:rPr>
        <w:t xml:space="preserve">  </w:t>
      </w:r>
      <w:r w:rsidRPr="00667B89">
        <w:rPr>
          <w:rFonts w:asciiTheme="majorBidi" w:hAnsiTheme="majorBidi" w:cstheme="majorBidi"/>
          <w:i/>
          <w:color w:val="000000"/>
          <w:lang w:val="en-CA"/>
        </w:rPr>
        <w:t>Primates</w:t>
      </w:r>
      <w:r w:rsidRPr="00667B89">
        <w:rPr>
          <w:rFonts w:asciiTheme="majorBidi" w:hAnsiTheme="majorBidi" w:cstheme="majorBidi"/>
          <w:color w:val="000000"/>
          <w:lang w:val="en-CA"/>
        </w:rPr>
        <w:t xml:space="preserve"> 39(2):</w:t>
      </w:r>
      <w:r w:rsidR="00B73CCD">
        <w:rPr>
          <w:rFonts w:asciiTheme="majorBidi" w:hAnsiTheme="majorBidi" w:cstheme="majorBidi"/>
          <w:color w:val="000000"/>
          <w:lang w:val="en-CA"/>
        </w:rPr>
        <w:t xml:space="preserve"> </w:t>
      </w:r>
      <w:r w:rsidRPr="00667B89">
        <w:rPr>
          <w:rFonts w:asciiTheme="majorBidi" w:hAnsiTheme="majorBidi" w:cstheme="majorBidi"/>
          <w:color w:val="000000"/>
          <w:lang w:val="en-CA"/>
        </w:rPr>
        <w:t>157-169</w:t>
      </w:r>
      <w:r w:rsidR="00B73CCD">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Pr>
          <w:rFonts w:asciiTheme="majorBidi" w:hAnsiTheme="majorBidi" w:cstheme="majorBidi"/>
          <w:color w:val="000000"/>
          <w:lang w:val="en-CA"/>
        </w:rPr>
        <w:t>Hamada</w:t>
      </w:r>
      <w:proofErr w:type="gramStart"/>
      <w:r w:rsidRPr="00CF180D">
        <w:rPr>
          <w:rFonts w:asciiTheme="majorBidi" w:hAnsiTheme="majorBidi" w:cstheme="majorBidi"/>
          <w:color w:val="000000"/>
          <w:lang w:val="en-CA"/>
        </w:rPr>
        <w:t>,</w:t>
      </w:r>
      <w:r>
        <w:rPr>
          <w:rFonts w:asciiTheme="majorBidi" w:hAnsiTheme="majorBidi" w:cstheme="majorBidi"/>
          <w:color w:val="000000"/>
          <w:lang w:val="en-CA"/>
        </w:rPr>
        <w:t>Y</w:t>
      </w:r>
      <w:proofErr w:type="gramEnd"/>
      <w:r>
        <w:rPr>
          <w:rFonts w:asciiTheme="majorBidi" w:hAnsiTheme="majorBidi" w:cstheme="majorBidi"/>
          <w:color w:val="000000"/>
          <w:lang w:val="en-CA"/>
        </w:rPr>
        <w:t xml:space="preserve">.  </w:t>
      </w:r>
      <w:r w:rsidRPr="00CF180D">
        <w:rPr>
          <w:rFonts w:asciiTheme="majorBidi" w:hAnsiTheme="majorBidi" w:cstheme="majorBidi"/>
          <w:color w:val="000000"/>
          <w:lang w:val="en-CA"/>
        </w:rPr>
        <w:t>Udono</w:t>
      </w:r>
      <w:r>
        <w:rPr>
          <w:rFonts w:asciiTheme="majorBidi" w:hAnsiTheme="majorBidi" w:cstheme="majorBidi"/>
          <w:color w:val="000000"/>
          <w:lang w:val="en-CA"/>
        </w:rPr>
        <w:t xml:space="preserve">, T.  2002.  </w:t>
      </w:r>
      <w:r w:rsidRPr="00CF180D">
        <w:rPr>
          <w:rFonts w:asciiTheme="majorBidi" w:hAnsiTheme="majorBidi" w:cstheme="majorBidi"/>
          <w:color w:val="000000"/>
          <w:lang w:val="en-CA"/>
        </w:rPr>
        <w:t>Longitudinal analysis of length growth in the chimpanzee (</w:t>
      </w:r>
      <w:r w:rsidRPr="00CF180D">
        <w:rPr>
          <w:rFonts w:asciiTheme="majorBidi" w:hAnsiTheme="majorBidi" w:cstheme="majorBidi"/>
          <w:i/>
          <w:color w:val="000000"/>
          <w:lang w:val="en-CA"/>
        </w:rPr>
        <w:t xml:space="preserve">Pan </w:t>
      </w:r>
      <w:proofErr w:type="gramStart"/>
      <w:r w:rsidRPr="00CF180D">
        <w:rPr>
          <w:rFonts w:asciiTheme="majorBidi" w:hAnsiTheme="majorBidi" w:cstheme="majorBidi"/>
          <w:i/>
          <w:color w:val="000000"/>
          <w:lang w:val="en-CA"/>
        </w:rPr>
        <w:t>troglodytes</w:t>
      </w:r>
      <w:proofErr w:type="gramEnd"/>
      <w:r w:rsidRPr="00CF180D">
        <w:rPr>
          <w:rFonts w:asciiTheme="majorBidi" w:hAnsiTheme="majorBidi" w:cstheme="majorBidi"/>
          <w:color w:val="000000"/>
          <w:lang w:val="en-CA"/>
        </w:rPr>
        <w:t>)</w:t>
      </w:r>
      <w:r>
        <w:rPr>
          <w:rFonts w:asciiTheme="majorBidi" w:hAnsiTheme="majorBidi" w:cstheme="majorBidi"/>
          <w:color w:val="000000"/>
          <w:lang w:val="en-CA"/>
        </w:rPr>
        <w:t xml:space="preserve">.  </w:t>
      </w:r>
      <w:r w:rsidRPr="00CF180D">
        <w:rPr>
          <w:rFonts w:asciiTheme="majorBidi" w:hAnsiTheme="majorBidi" w:cstheme="majorBidi"/>
          <w:color w:val="000000"/>
          <w:lang w:val="en-CA"/>
        </w:rPr>
        <w:t>American J</w:t>
      </w:r>
      <w:r>
        <w:rPr>
          <w:rFonts w:asciiTheme="majorBidi" w:hAnsiTheme="majorBidi" w:cstheme="majorBidi"/>
          <w:color w:val="000000"/>
          <w:lang w:val="en-CA"/>
        </w:rPr>
        <w:t xml:space="preserve">ournal of Physical Anthropology </w:t>
      </w:r>
      <w:r w:rsidRPr="00CF180D">
        <w:rPr>
          <w:rFonts w:asciiTheme="majorBidi" w:hAnsiTheme="majorBidi" w:cstheme="majorBidi"/>
          <w:color w:val="000000"/>
          <w:lang w:val="en-CA"/>
        </w:rPr>
        <w:t>118</w:t>
      </w:r>
      <w:r>
        <w:rPr>
          <w:rFonts w:asciiTheme="majorBidi" w:hAnsiTheme="majorBidi" w:cstheme="majorBidi"/>
          <w:color w:val="000000"/>
          <w:lang w:val="en-CA"/>
        </w:rPr>
        <w:t xml:space="preserve"> (</w:t>
      </w:r>
      <w:r w:rsidRPr="00CF180D">
        <w:rPr>
          <w:rFonts w:asciiTheme="majorBidi" w:hAnsiTheme="majorBidi" w:cstheme="majorBidi"/>
          <w:color w:val="000000"/>
          <w:lang w:val="en-CA"/>
        </w:rPr>
        <w:t>3</w:t>
      </w:r>
      <w:r>
        <w:rPr>
          <w:rFonts w:asciiTheme="majorBidi" w:hAnsiTheme="majorBidi" w:cstheme="majorBidi"/>
          <w:color w:val="000000"/>
          <w:lang w:val="en-CA"/>
        </w:rPr>
        <w:t>):</w:t>
      </w:r>
      <w:r w:rsidRPr="00CF180D">
        <w:rPr>
          <w:rFonts w:asciiTheme="majorBidi" w:hAnsiTheme="majorBidi" w:cstheme="majorBidi"/>
          <w:color w:val="000000"/>
          <w:lang w:val="en-CA"/>
        </w:rPr>
        <w:t xml:space="preserve"> 268–284</w:t>
      </w:r>
      <w:r w:rsidR="00B73CCD">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Hamada, Y. and Chatani, K.  2003.  A longitudinal study on hand and wrist skeletal maturation in chimpanzees (</w:t>
      </w:r>
      <w:r w:rsidRPr="001E0D51">
        <w:rPr>
          <w:rFonts w:asciiTheme="majorBidi" w:hAnsiTheme="majorBidi" w:cstheme="majorBidi"/>
          <w:i/>
          <w:color w:val="000000"/>
          <w:lang w:val="en-CA"/>
        </w:rPr>
        <w:t xml:space="preserve">Pan </w:t>
      </w:r>
      <w:proofErr w:type="gramStart"/>
      <w:r w:rsidRPr="001E0D51">
        <w:rPr>
          <w:rFonts w:asciiTheme="majorBidi" w:hAnsiTheme="majorBidi" w:cstheme="majorBidi"/>
          <w:i/>
          <w:color w:val="000000"/>
          <w:lang w:val="en-CA"/>
        </w:rPr>
        <w:t>troglodytes</w:t>
      </w:r>
      <w:proofErr w:type="gramEnd"/>
      <w:r w:rsidRPr="00667B89">
        <w:rPr>
          <w:rFonts w:asciiTheme="majorBidi" w:hAnsiTheme="majorBidi" w:cstheme="majorBidi"/>
          <w:color w:val="000000"/>
          <w:lang w:val="en-CA"/>
        </w:rPr>
        <w:t xml:space="preserve">), with emphasis on growth in linear dimensions.  </w:t>
      </w:r>
      <w:r w:rsidRPr="00667B89">
        <w:rPr>
          <w:rFonts w:asciiTheme="majorBidi" w:hAnsiTheme="majorBidi" w:cstheme="majorBidi"/>
          <w:i/>
          <w:color w:val="000000"/>
          <w:lang w:val="en-CA"/>
        </w:rPr>
        <w:t>Primates</w:t>
      </w:r>
      <w:r w:rsidRPr="00667B89">
        <w:rPr>
          <w:rFonts w:asciiTheme="majorBidi" w:hAnsiTheme="majorBidi" w:cstheme="majorBidi"/>
          <w:color w:val="000000"/>
          <w:lang w:val="en-CA"/>
        </w:rPr>
        <w:t xml:space="preserve"> 44</w:t>
      </w:r>
      <w:r w:rsidR="0051339F">
        <w:rPr>
          <w:rFonts w:asciiTheme="majorBidi" w:hAnsiTheme="majorBidi" w:cstheme="majorBidi"/>
          <w:color w:val="000000"/>
          <w:lang w:val="en-CA"/>
        </w:rPr>
        <w:t>(3)</w:t>
      </w:r>
      <w:r w:rsidRPr="00667B89">
        <w:rPr>
          <w:rFonts w:asciiTheme="majorBidi" w:hAnsiTheme="majorBidi" w:cstheme="majorBidi"/>
          <w:color w:val="000000"/>
          <w:lang w:val="en-CA"/>
        </w:rPr>
        <w:t>:</w:t>
      </w:r>
      <w:r w:rsidR="0051339F">
        <w:rPr>
          <w:rFonts w:asciiTheme="majorBidi" w:hAnsiTheme="majorBidi" w:cstheme="majorBidi"/>
          <w:color w:val="000000"/>
          <w:lang w:val="en-CA"/>
        </w:rPr>
        <w:t xml:space="preserve"> </w:t>
      </w:r>
      <w:r w:rsidRPr="00667B89">
        <w:rPr>
          <w:rFonts w:asciiTheme="majorBidi" w:hAnsiTheme="majorBidi" w:cstheme="majorBidi"/>
          <w:color w:val="000000"/>
          <w:lang w:val="en-CA"/>
        </w:rPr>
        <w:t>259-271</w:t>
      </w:r>
      <w:r w:rsidR="0051339F">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noProof/>
          <w:color w:val="000000" w:themeColor="text1"/>
        </w:rPr>
      </w:pPr>
      <w:r w:rsidRPr="00667B89">
        <w:rPr>
          <w:rFonts w:asciiTheme="majorBidi" w:hAnsiTheme="majorBidi" w:cstheme="majorBidi"/>
          <w:noProof/>
          <w:color w:val="000000" w:themeColor="text1"/>
        </w:rPr>
        <w:t xml:space="preserve">Hansman, C.F.  Maresh, M.M.  1961.  A Longitudinal Study of Skeletal Maturation.  </w:t>
      </w:r>
      <w:r w:rsidRPr="00667B89">
        <w:rPr>
          <w:rFonts w:asciiTheme="majorBidi" w:hAnsiTheme="majorBidi" w:cstheme="majorBidi"/>
          <w:i/>
          <w:noProof/>
          <w:color w:val="000000" w:themeColor="text1"/>
        </w:rPr>
        <w:t>American Journal of Diseases of Children</w:t>
      </w:r>
      <w:r w:rsidRPr="00667B89">
        <w:rPr>
          <w:rFonts w:asciiTheme="majorBidi" w:hAnsiTheme="majorBidi" w:cstheme="majorBidi"/>
          <w:noProof/>
          <w:color w:val="000000" w:themeColor="text1"/>
        </w:rPr>
        <w:t xml:space="preserve"> 101(3):305-321</w:t>
      </w:r>
      <w:r w:rsidR="00005C17">
        <w:rPr>
          <w:rFonts w:asciiTheme="majorBidi" w:hAnsiTheme="majorBidi" w:cstheme="majorBidi"/>
          <w:noProof/>
          <w:color w:val="000000" w:themeColor="text1"/>
        </w:rPr>
        <w:t>.</w:t>
      </w:r>
    </w:p>
    <w:p w:rsidR="00A35CA0" w:rsidRDefault="00CC3C93" w:rsidP="00CA5FBB">
      <w:pPr>
        <w:spacing w:before="120" w:line="240" w:lineRule="auto"/>
        <w:jc w:val="left"/>
        <w:rPr>
          <w:rFonts w:asciiTheme="majorBidi" w:hAnsiTheme="majorBidi" w:cstheme="majorBidi"/>
          <w:noProof/>
          <w:color w:val="000000" w:themeColor="text1"/>
        </w:rPr>
      </w:pPr>
      <w:r>
        <w:rPr>
          <w:noProof/>
        </w:rPr>
        <w:t xml:space="preserve">Harvey, P.H.  Clutton-Brock, T.H.  1985.  Life-history variation in primates.  </w:t>
      </w:r>
      <w:r w:rsidRPr="00301F7D">
        <w:rPr>
          <w:i/>
          <w:noProof/>
        </w:rPr>
        <w:t>Evolution</w:t>
      </w:r>
      <w:r>
        <w:rPr>
          <w:noProof/>
        </w:rPr>
        <w:t xml:space="preserve"> 39</w:t>
      </w:r>
      <w:r w:rsidR="00005C17">
        <w:rPr>
          <w:noProof/>
        </w:rPr>
        <w:t>(3)</w:t>
      </w:r>
      <w:r>
        <w:rPr>
          <w:noProof/>
        </w:rPr>
        <w:t>: 559-581</w:t>
      </w:r>
      <w:r w:rsidR="00005C17">
        <w:rPr>
          <w:noProof/>
        </w:rPr>
        <w:t>.</w:t>
      </w:r>
    </w:p>
    <w:p w:rsidR="00A35CA0" w:rsidRDefault="00CC3C93" w:rsidP="00CA5FBB">
      <w:pPr>
        <w:autoSpaceDE w:val="0"/>
        <w:autoSpaceDN w:val="0"/>
        <w:adjustRightInd w:val="0"/>
        <w:spacing w:before="120" w:line="240" w:lineRule="auto"/>
        <w:jc w:val="left"/>
        <w:rPr>
          <w:rFonts w:asciiTheme="majorBidi" w:hAnsiTheme="majorBidi" w:cstheme="majorBidi"/>
          <w:i/>
          <w:iCs/>
        </w:rPr>
      </w:pPr>
      <w:proofErr w:type="gramStart"/>
      <w:r w:rsidRPr="00667B89">
        <w:rPr>
          <w:rFonts w:asciiTheme="majorBidi" w:hAnsiTheme="majorBidi" w:cstheme="majorBidi"/>
        </w:rPr>
        <w:t xml:space="preserve">Hayama, </w:t>
      </w:r>
      <w:r w:rsidRPr="00667B89">
        <w:rPr>
          <w:rFonts w:asciiTheme="majorBidi" w:hAnsiTheme="majorBidi" w:cstheme="majorBidi"/>
          <w:iCs/>
        </w:rPr>
        <w:t>S.</w:t>
      </w:r>
      <w:proofErr w:type="gramEnd"/>
      <w:r w:rsidRPr="00667B89">
        <w:rPr>
          <w:rFonts w:asciiTheme="majorBidi" w:hAnsiTheme="majorBidi" w:cstheme="majorBidi"/>
          <w:i/>
          <w:iCs/>
        </w:rPr>
        <w:t xml:space="preserve"> </w:t>
      </w:r>
      <w:r w:rsidRPr="00667B89">
        <w:rPr>
          <w:rFonts w:asciiTheme="majorBidi" w:hAnsiTheme="majorBidi" w:cstheme="majorBidi"/>
          <w:bCs/>
        </w:rPr>
        <w:t xml:space="preserve"> 1965.  </w:t>
      </w:r>
      <w:r w:rsidRPr="00667B89">
        <w:rPr>
          <w:rFonts w:asciiTheme="majorBidi" w:hAnsiTheme="majorBidi" w:cstheme="majorBidi"/>
        </w:rPr>
        <w:t xml:space="preserve">Morphological studies of </w:t>
      </w:r>
      <w:r w:rsidRPr="00667B89">
        <w:rPr>
          <w:rFonts w:asciiTheme="majorBidi" w:hAnsiTheme="majorBidi" w:cstheme="majorBidi"/>
          <w:i/>
        </w:rPr>
        <w:t>Macaca</w:t>
      </w:r>
      <w:r w:rsidRPr="00667B89">
        <w:rPr>
          <w:rFonts w:asciiTheme="majorBidi" w:hAnsiTheme="majorBidi" w:cstheme="majorBidi"/>
        </w:rPr>
        <w:t xml:space="preserve"> </w:t>
      </w:r>
      <w:r w:rsidRPr="00667B89">
        <w:rPr>
          <w:rFonts w:asciiTheme="majorBidi" w:hAnsiTheme="majorBidi" w:cstheme="majorBidi"/>
          <w:i/>
          <w:iCs/>
        </w:rPr>
        <w:t xml:space="preserve">fuscata </w:t>
      </w:r>
      <w:r w:rsidRPr="00667B89">
        <w:rPr>
          <w:rFonts w:asciiTheme="majorBidi" w:hAnsiTheme="majorBidi" w:cstheme="majorBidi"/>
          <w:bCs/>
        </w:rPr>
        <w:t xml:space="preserve">II.  </w:t>
      </w:r>
      <w:proofErr w:type="gramStart"/>
      <w:r w:rsidRPr="00667B89">
        <w:rPr>
          <w:rFonts w:asciiTheme="majorBidi" w:hAnsiTheme="majorBidi" w:cstheme="majorBidi"/>
        </w:rPr>
        <w:t>The sequence of epiphyseal union by roentgenographic</w:t>
      </w:r>
      <w:r w:rsidRPr="00667B89">
        <w:rPr>
          <w:rFonts w:asciiTheme="majorBidi" w:hAnsiTheme="majorBidi" w:cstheme="majorBidi"/>
          <w:i/>
          <w:iCs/>
        </w:rPr>
        <w:t xml:space="preserve"> </w:t>
      </w:r>
      <w:r w:rsidRPr="00667B89">
        <w:rPr>
          <w:rFonts w:asciiTheme="majorBidi" w:hAnsiTheme="majorBidi" w:cstheme="majorBidi"/>
        </w:rPr>
        <w:t>estimation.</w:t>
      </w:r>
      <w:proofErr w:type="gramEnd"/>
      <w:r w:rsidRPr="00667B89">
        <w:rPr>
          <w:rFonts w:asciiTheme="majorBidi" w:hAnsiTheme="majorBidi" w:cstheme="majorBidi"/>
        </w:rPr>
        <w:t xml:space="preserve"> </w:t>
      </w:r>
      <w:r w:rsidRPr="00667B89">
        <w:rPr>
          <w:rFonts w:asciiTheme="majorBidi" w:hAnsiTheme="majorBidi" w:cstheme="majorBidi"/>
          <w:i/>
        </w:rPr>
        <w:t xml:space="preserve"> Primates</w:t>
      </w:r>
      <w:r w:rsidRPr="00667B89">
        <w:rPr>
          <w:rFonts w:asciiTheme="majorBidi" w:hAnsiTheme="majorBidi" w:cstheme="majorBidi"/>
        </w:rPr>
        <w:t xml:space="preserve"> </w:t>
      </w:r>
      <w:r w:rsidRPr="00667B89">
        <w:rPr>
          <w:rFonts w:asciiTheme="majorBidi" w:hAnsiTheme="majorBidi" w:cstheme="majorBidi"/>
          <w:bCs/>
        </w:rPr>
        <w:t>6</w:t>
      </w:r>
      <w:r w:rsidR="00EE3D21">
        <w:rPr>
          <w:rFonts w:asciiTheme="majorBidi" w:hAnsiTheme="majorBidi" w:cstheme="majorBidi"/>
          <w:bCs/>
        </w:rPr>
        <w:t>(2)</w:t>
      </w:r>
      <w:r w:rsidRPr="00667B89">
        <w:rPr>
          <w:rFonts w:asciiTheme="majorBidi" w:hAnsiTheme="majorBidi" w:cstheme="majorBidi"/>
          <w:bCs/>
        </w:rPr>
        <w:t>:249-269</w:t>
      </w:r>
      <w:r w:rsidR="00EE3D21">
        <w:rPr>
          <w:rFonts w:asciiTheme="majorBidi" w:hAnsiTheme="majorBidi" w:cstheme="majorBidi"/>
          <w:bCs/>
        </w:rPr>
        <w:t>.</w:t>
      </w:r>
    </w:p>
    <w:p w:rsidR="00A35CA0" w:rsidRPr="00CA5FBB" w:rsidRDefault="00CC3C93" w:rsidP="00CA5FBB">
      <w:pPr>
        <w:spacing w:before="120" w:line="240" w:lineRule="auto"/>
        <w:jc w:val="left"/>
        <w:rPr>
          <w:rFonts w:asciiTheme="majorBidi" w:hAnsiTheme="majorBidi" w:cstheme="majorBidi"/>
          <w:color w:val="000000" w:themeColor="text1"/>
        </w:rPr>
      </w:pPr>
      <w:r w:rsidRPr="00011C31">
        <w:rPr>
          <w:rFonts w:asciiTheme="majorBidi" w:hAnsiTheme="majorBidi" w:cstheme="majorBidi"/>
          <w:color w:val="000000"/>
          <w:lang w:val="de-DE"/>
        </w:rPr>
        <w:t xml:space="preserve">Hewitt, D.  Acheson, R.M.  </w:t>
      </w:r>
      <w:r w:rsidRPr="00667B89">
        <w:rPr>
          <w:rFonts w:asciiTheme="majorBidi" w:hAnsiTheme="majorBidi" w:cstheme="majorBidi"/>
          <w:color w:val="000000"/>
        </w:rPr>
        <w:t xml:space="preserve">1961.  </w:t>
      </w:r>
      <w:proofErr w:type="gramStart"/>
      <w:r w:rsidRPr="00667B89">
        <w:rPr>
          <w:rFonts w:asciiTheme="majorBidi" w:hAnsiTheme="majorBidi" w:cstheme="majorBidi"/>
          <w:color w:val="000000"/>
        </w:rPr>
        <w:t>Some aspects of skeletal development through adolescence.</w:t>
      </w:r>
      <w:proofErr w:type="gramEnd"/>
      <w:r w:rsidRPr="00667B89">
        <w:rPr>
          <w:rFonts w:asciiTheme="majorBidi" w:hAnsiTheme="majorBidi" w:cstheme="majorBidi"/>
          <w:color w:val="000000"/>
        </w:rPr>
        <w:t xml:space="preserve">  </w:t>
      </w:r>
      <w:proofErr w:type="gramStart"/>
      <w:r w:rsidRPr="00667B89">
        <w:rPr>
          <w:rFonts w:asciiTheme="majorBidi" w:hAnsiTheme="majorBidi" w:cstheme="majorBidi"/>
          <w:color w:val="000000"/>
        </w:rPr>
        <w:t xml:space="preserve">II </w:t>
      </w:r>
      <w:r w:rsidR="008943E4" w:rsidRPr="00CA5FBB">
        <w:rPr>
          <w:rFonts w:asciiTheme="majorBidi" w:hAnsiTheme="majorBidi" w:cstheme="majorBidi"/>
          <w:color w:val="000000" w:themeColor="text1"/>
        </w:rPr>
        <w:t>The inter-relationship between skeletal maturation and growth at puberty.</w:t>
      </w:r>
      <w:proofErr w:type="gramEnd"/>
      <w:r w:rsidR="008943E4" w:rsidRPr="00CA5FBB">
        <w:rPr>
          <w:rFonts w:asciiTheme="majorBidi" w:hAnsiTheme="majorBidi" w:cstheme="majorBidi"/>
          <w:color w:val="000000" w:themeColor="text1"/>
        </w:rPr>
        <w:t xml:space="preserve">  </w:t>
      </w:r>
      <w:r w:rsidR="008943E4" w:rsidRPr="00CA5FBB">
        <w:rPr>
          <w:rFonts w:asciiTheme="majorBidi" w:hAnsiTheme="majorBidi" w:cstheme="majorBidi"/>
          <w:i/>
          <w:color w:val="000000" w:themeColor="text1"/>
        </w:rPr>
        <w:t>American Journal of Physical Anthropology</w:t>
      </w:r>
      <w:r w:rsidR="008943E4" w:rsidRPr="00CA5FBB">
        <w:rPr>
          <w:rFonts w:asciiTheme="majorBidi" w:hAnsiTheme="majorBidi" w:cstheme="majorBidi"/>
          <w:color w:val="000000" w:themeColor="text1"/>
        </w:rPr>
        <w:t xml:space="preserve"> 19(4): 333.344</w:t>
      </w:r>
      <w:r w:rsidR="00EE2F0B">
        <w:rPr>
          <w:rFonts w:asciiTheme="majorBidi" w:hAnsiTheme="majorBidi" w:cstheme="majorBidi"/>
          <w:color w:val="000000" w:themeColor="text1"/>
        </w:rPr>
        <w:t>.</w:t>
      </w:r>
    </w:p>
    <w:p w:rsidR="00A35CA0" w:rsidRPr="00CA5FBB" w:rsidRDefault="008943E4" w:rsidP="00CA5FBB">
      <w:pPr>
        <w:pStyle w:val="ListParagraph"/>
        <w:spacing w:before="120" w:line="240" w:lineRule="auto"/>
        <w:ind w:left="0"/>
        <w:jc w:val="left"/>
        <w:rPr>
          <w:noProof/>
          <w:color w:val="000000" w:themeColor="text1"/>
        </w:rPr>
      </w:pPr>
      <w:r w:rsidRPr="00CA5FBB">
        <w:rPr>
          <w:noProof/>
          <w:color w:val="000000" w:themeColor="text1"/>
        </w:rPr>
        <w:t xml:space="preserve">Hey, J.  2010.  The Divergence of Chimpanzee Species and Subspecies as Revealed in Multipopulation Isolation-with-Migration Analyses.  </w:t>
      </w:r>
      <w:r w:rsidRPr="00CA5FBB">
        <w:rPr>
          <w:i/>
          <w:noProof/>
          <w:color w:val="000000" w:themeColor="text1"/>
        </w:rPr>
        <w:t>Molecular Biology and Evolution</w:t>
      </w:r>
      <w:r w:rsidRPr="00CA5FBB">
        <w:rPr>
          <w:noProof/>
          <w:color w:val="000000" w:themeColor="text1"/>
        </w:rPr>
        <w:t xml:space="preserve"> 27(4): 921-933.</w:t>
      </w:r>
    </w:p>
    <w:p w:rsidR="00A35CA0" w:rsidRPr="00CA5FBB" w:rsidRDefault="008943E4" w:rsidP="00CA5FBB">
      <w:pPr>
        <w:tabs>
          <w:tab w:val="left" w:pos="0"/>
          <w:tab w:val="left" w:pos="360"/>
        </w:tabs>
        <w:spacing w:before="120" w:line="240" w:lineRule="auto"/>
        <w:jc w:val="left"/>
        <w:rPr>
          <w:rFonts w:asciiTheme="majorBidi" w:hAnsiTheme="majorBidi" w:cstheme="majorBidi"/>
          <w:color w:val="000000" w:themeColor="text1"/>
        </w:rPr>
      </w:pPr>
      <w:r w:rsidRPr="00CA5FBB">
        <w:rPr>
          <w:rFonts w:asciiTheme="majorBidi" w:hAnsiTheme="majorBidi" w:cstheme="majorBidi"/>
          <w:color w:val="000000" w:themeColor="text1"/>
        </w:rPr>
        <w:t xml:space="preserve">Hill, K.  1993.  Life history theory and evolutionary anthropology.  </w:t>
      </w:r>
      <w:r w:rsidRPr="00CA5FBB">
        <w:rPr>
          <w:rFonts w:asciiTheme="majorBidi" w:hAnsiTheme="majorBidi" w:cstheme="majorBidi"/>
          <w:i/>
          <w:color w:val="000000" w:themeColor="text1"/>
        </w:rPr>
        <w:t>Evolutionary Anthropology: Issues, News, and Reviews</w:t>
      </w:r>
      <w:r w:rsidRPr="00CA5FBB">
        <w:rPr>
          <w:rFonts w:asciiTheme="majorBidi" w:hAnsiTheme="majorBidi" w:cstheme="majorBidi"/>
          <w:color w:val="000000" w:themeColor="text1"/>
        </w:rPr>
        <w:t xml:space="preserve"> 2(3): 78-88</w:t>
      </w:r>
      <w:r w:rsidR="00AE3D04">
        <w:rPr>
          <w:rFonts w:asciiTheme="majorBidi" w:hAnsiTheme="majorBidi" w:cstheme="majorBidi"/>
          <w:color w:val="000000" w:themeColor="text1"/>
        </w:rPr>
        <w:t>.</w:t>
      </w:r>
    </w:p>
    <w:p w:rsidR="00A813C6" w:rsidRDefault="00A813C6" w:rsidP="00A813C6">
      <w:pPr>
        <w:spacing w:before="120" w:line="240" w:lineRule="auto"/>
        <w:jc w:val="left"/>
        <w:rPr>
          <w:rFonts w:asciiTheme="majorBidi" w:hAnsiTheme="majorBidi" w:cstheme="majorBidi"/>
          <w:color w:val="000000" w:themeColor="text1"/>
          <w:lang w:val="en-CA"/>
        </w:rPr>
      </w:pPr>
      <w:r w:rsidRPr="00A813C6">
        <w:rPr>
          <w:rFonts w:asciiTheme="majorBidi" w:hAnsiTheme="majorBidi" w:cstheme="majorBidi"/>
          <w:color w:val="000000" w:themeColor="text1"/>
          <w:lang w:val="en-CA"/>
        </w:rPr>
        <w:t xml:space="preserve">Hill, K.  </w:t>
      </w:r>
      <w:proofErr w:type="gramStart"/>
      <w:r w:rsidRPr="00A813C6">
        <w:rPr>
          <w:rFonts w:asciiTheme="majorBidi" w:hAnsiTheme="majorBidi" w:cstheme="majorBidi"/>
          <w:color w:val="000000" w:themeColor="text1"/>
          <w:lang w:val="en-CA"/>
        </w:rPr>
        <w:t>Kaplan, H.</w:t>
      </w:r>
      <w:proofErr w:type="gramEnd"/>
      <w:r w:rsidRPr="00A813C6">
        <w:rPr>
          <w:rFonts w:asciiTheme="majorBidi" w:hAnsiTheme="majorBidi" w:cstheme="majorBidi"/>
          <w:color w:val="000000" w:themeColor="text1"/>
          <w:lang w:val="en-CA"/>
        </w:rPr>
        <w:t xml:space="preserve">  1999.  Life History Traits in Humans: Theory and Empirical Studies.  Annual </w:t>
      </w:r>
      <w:r w:rsidRPr="00A813C6">
        <w:rPr>
          <w:rFonts w:asciiTheme="majorBidi" w:hAnsiTheme="majorBidi" w:cstheme="majorBidi"/>
          <w:i/>
          <w:color w:val="000000" w:themeColor="text1"/>
          <w:lang w:val="en-CA"/>
        </w:rPr>
        <w:t>Review of Anthropology</w:t>
      </w:r>
      <w:r w:rsidRPr="00A813C6">
        <w:rPr>
          <w:rFonts w:asciiTheme="majorBidi" w:hAnsiTheme="majorBidi" w:cstheme="majorBidi"/>
          <w:color w:val="000000" w:themeColor="text1"/>
          <w:lang w:val="en-CA"/>
        </w:rPr>
        <w:t xml:space="preserve"> 28(1): 397-430</w:t>
      </w:r>
      <w:r>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color w:val="000000" w:themeColor="text1"/>
          <w:lang w:val="en-CA"/>
        </w:rPr>
      </w:pPr>
      <w:r w:rsidRPr="0090057F">
        <w:rPr>
          <w:rFonts w:asciiTheme="majorBidi" w:hAnsiTheme="majorBidi" w:cstheme="majorBidi"/>
          <w:color w:val="000000" w:themeColor="text1"/>
          <w:lang w:val="en-CA"/>
        </w:rPr>
        <w:t xml:space="preserve">Hoerr, N.L.  Pyle, S.I.  </w:t>
      </w:r>
      <w:proofErr w:type="gramStart"/>
      <w:r w:rsidRPr="0090057F">
        <w:rPr>
          <w:rFonts w:asciiTheme="majorBidi" w:hAnsiTheme="majorBidi" w:cstheme="majorBidi"/>
          <w:color w:val="000000" w:themeColor="text1"/>
          <w:lang w:val="en-CA"/>
        </w:rPr>
        <w:t>and</w:t>
      </w:r>
      <w:proofErr w:type="gramEnd"/>
      <w:r w:rsidRPr="0090057F">
        <w:rPr>
          <w:rFonts w:asciiTheme="majorBidi" w:hAnsiTheme="majorBidi" w:cstheme="majorBidi"/>
          <w:color w:val="000000" w:themeColor="text1"/>
          <w:lang w:val="en-CA"/>
        </w:rPr>
        <w:t xml:space="preserve"> Francis, C.C.  1962.  </w:t>
      </w:r>
      <w:r w:rsidRPr="0090057F">
        <w:rPr>
          <w:rFonts w:asciiTheme="majorBidi" w:hAnsiTheme="majorBidi" w:cstheme="majorBidi"/>
          <w:i/>
          <w:color w:val="000000" w:themeColor="text1"/>
          <w:lang w:val="en-CA"/>
        </w:rPr>
        <w:t>Radiographic Atlas of Skeletal Development of the Foot and Ankles: A Standard Reference</w:t>
      </w:r>
      <w:r w:rsidRPr="0090057F">
        <w:rPr>
          <w:rFonts w:asciiTheme="majorBidi" w:hAnsiTheme="majorBidi" w:cstheme="majorBidi"/>
          <w:color w:val="000000" w:themeColor="text1"/>
          <w:lang w:val="en-CA"/>
        </w:rPr>
        <w:t>.  Springfield IL: C.C. Thomas</w:t>
      </w:r>
      <w:r w:rsidR="00AE3D04">
        <w:rPr>
          <w:rFonts w:asciiTheme="majorBidi" w:hAnsiTheme="majorBidi" w:cstheme="majorBidi"/>
          <w:color w:val="000000" w:themeColor="text1"/>
          <w:lang w:val="en-CA"/>
        </w:rPr>
        <w:t>.</w:t>
      </w:r>
    </w:p>
    <w:p w:rsidR="00A35CA0" w:rsidRPr="00CA5FBB" w:rsidRDefault="008943E4" w:rsidP="00CA5FBB">
      <w:pPr>
        <w:spacing w:before="120" w:line="240" w:lineRule="auto"/>
        <w:jc w:val="left"/>
        <w:rPr>
          <w:rFonts w:asciiTheme="majorBidi" w:hAnsiTheme="majorBidi" w:cstheme="majorBidi"/>
          <w:color w:val="000000" w:themeColor="text1"/>
        </w:rPr>
      </w:pPr>
      <w:r w:rsidRPr="00CA5FBB">
        <w:rPr>
          <w:rFonts w:asciiTheme="majorBidi" w:hAnsiTheme="majorBidi" w:cstheme="majorBidi"/>
          <w:color w:val="000000" w:themeColor="text1"/>
        </w:rPr>
        <w:t xml:space="preserve">Holden, L.  1882.  </w:t>
      </w:r>
      <w:r w:rsidRPr="00CA5FBB">
        <w:rPr>
          <w:rFonts w:asciiTheme="majorBidi" w:hAnsiTheme="majorBidi" w:cstheme="majorBidi"/>
          <w:i/>
          <w:color w:val="000000" w:themeColor="text1"/>
        </w:rPr>
        <w:t>Human Osteology</w:t>
      </w:r>
      <w:r w:rsidRPr="00CA5FBB">
        <w:rPr>
          <w:rFonts w:asciiTheme="majorBidi" w:hAnsiTheme="majorBidi" w:cstheme="majorBidi"/>
          <w:color w:val="000000" w:themeColor="text1"/>
        </w:rPr>
        <w:t xml:space="preserve">. </w:t>
      </w:r>
      <w:proofErr w:type="gramStart"/>
      <w:r w:rsidRPr="00CA5FBB">
        <w:rPr>
          <w:rFonts w:asciiTheme="majorBidi" w:hAnsiTheme="majorBidi" w:cstheme="majorBidi"/>
          <w:color w:val="000000" w:themeColor="text1"/>
        </w:rPr>
        <w:t>6</w:t>
      </w:r>
      <w:r w:rsidRPr="00CA5FBB">
        <w:rPr>
          <w:rFonts w:asciiTheme="majorBidi" w:hAnsiTheme="majorBidi" w:cstheme="majorBidi"/>
          <w:color w:val="000000" w:themeColor="text1"/>
          <w:vertAlign w:val="superscript"/>
        </w:rPr>
        <w:t>th</w:t>
      </w:r>
      <w:r w:rsidRPr="00CA5FBB">
        <w:rPr>
          <w:rFonts w:asciiTheme="majorBidi" w:hAnsiTheme="majorBidi" w:cstheme="majorBidi"/>
          <w:color w:val="000000" w:themeColor="text1"/>
        </w:rPr>
        <w:t xml:space="preserve"> edition.</w:t>
      </w:r>
      <w:proofErr w:type="gramEnd"/>
      <w:r w:rsidRPr="00CA5FBB">
        <w:rPr>
          <w:rFonts w:asciiTheme="majorBidi" w:hAnsiTheme="majorBidi" w:cstheme="majorBidi"/>
          <w:color w:val="000000" w:themeColor="text1"/>
        </w:rPr>
        <w:t xml:space="preserve">  Churchill: London.</w:t>
      </w:r>
    </w:p>
    <w:p w:rsidR="00A35CA0" w:rsidRDefault="00CC3C93" w:rsidP="00CA5FBB">
      <w:pPr>
        <w:pStyle w:val="ListParagraph"/>
        <w:spacing w:before="120" w:line="240" w:lineRule="auto"/>
        <w:ind w:left="0"/>
        <w:jc w:val="left"/>
        <w:rPr>
          <w:noProof/>
        </w:rPr>
      </w:pPr>
      <w:r w:rsidRPr="006B6896">
        <w:rPr>
          <w:noProof/>
        </w:rPr>
        <w:t xml:space="preserve">Holliday, T.W.  1997.  Body proportions in Late Pleistocene Europe and modern human origins.  </w:t>
      </w:r>
      <w:r w:rsidRPr="006B6896">
        <w:rPr>
          <w:i/>
          <w:noProof/>
        </w:rPr>
        <w:t>Journal of Human Evolution</w:t>
      </w:r>
      <w:r w:rsidRPr="006B6896">
        <w:rPr>
          <w:noProof/>
        </w:rPr>
        <w:t xml:space="preserve"> 32(5): 423–447</w:t>
      </w:r>
      <w:r w:rsidR="00AE3D04">
        <w:rPr>
          <w:noProof/>
        </w:rPr>
        <w:t>.</w:t>
      </w:r>
    </w:p>
    <w:p w:rsidR="00A35CA0" w:rsidRDefault="00CC3C93" w:rsidP="00CA5FBB">
      <w:pPr>
        <w:pStyle w:val="ListParagraph"/>
        <w:spacing w:before="120" w:line="240" w:lineRule="auto"/>
        <w:ind w:left="0"/>
        <w:jc w:val="left"/>
        <w:rPr>
          <w:noProof/>
        </w:rPr>
      </w:pPr>
      <w:r>
        <w:rPr>
          <w:noProof/>
        </w:rPr>
        <w:t xml:space="preserve">Holliday, T.W.  Ruff, C.B.  2001.  </w:t>
      </w:r>
      <w:r w:rsidRPr="00EF52FF">
        <w:rPr>
          <w:noProof/>
        </w:rPr>
        <w:t>Relative variation in human proximal and distal limb segment lengths</w:t>
      </w:r>
      <w:r>
        <w:rPr>
          <w:noProof/>
        </w:rPr>
        <w:t xml:space="preserve">.  </w:t>
      </w:r>
      <w:r w:rsidRPr="00EF52FF">
        <w:rPr>
          <w:i/>
          <w:noProof/>
        </w:rPr>
        <w:t>American Journal of Physical Anthropology</w:t>
      </w:r>
      <w:r>
        <w:rPr>
          <w:i/>
          <w:noProof/>
        </w:rPr>
        <w:t xml:space="preserve"> </w:t>
      </w:r>
      <w:r w:rsidRPr="00EF52FF">
        <w:rPr>
          <w:noProof/>
        </w:rPr>
        <w:t>116</w:t>
      </w:r>
      <w:r>
        <w:rPr>
          <w:noProof/>
        </w:rPr>
        <w:t>(</w:t>
      </w:r>
      <w:r w:rsidRPr="00EF52FF">
        <w:rPr>
          <w:noProof/>
        </w:rPr>
        <w:t>1</w:t>
      </w:r>
      <w:r>
        <w:rPr>
          <w:noProof/>
        </w:rPr>
        <w:t xml:space="preserve">): </w:t>
      </w:r>
      <w:r w:rsidRPr="00EF52FF">
        <w:rPr>
          <w:noProof/>
        </w:rPr>
        <w:t>26–33</w:t>
      </w:r>
      <w:r w:rsidR="002A5F67">
        <w:rPr>
          <w:noProof/>
        </w:rPr>
        <w:t>.</w:t>
      </w:r>
    </w:p>
    <w:p w:rsidR="00A35CA0" w:rsidRDefault="00CC3C93" w:rsidP="00CA5FBB">
      <w:pPr>
        <w:spacing w:before="120" w:line="240" w:lineRule="auto"/>
        <w:jc w:val="left"/>
        <w:rPr>
          <w:noProof/>
          <w:color w:val="000000"/>
        </w:rPr>
      </w:pPr>
      <w:r>
        <w:rPr>
          <w:noProof/>
          <w:color w:val="000000"/>
        </w:rPr>
        <w:t xml:space="preserve">Holman, D.J.  Jones, R.E.  1991.  Longitudinal analysis of deciduous tooth emergence in Indonesian children. I. Life table methodology. </w:t>
      </w:r>
      <w:r>
        <w:rPr>
          <w:i/>
          <w:noProof/>
          <w:color w:val="000000"/>
        </w:rPr>
        <w:t>American Journal of Human Biology</w:t>
      </w:r>
      <w:r>
        <w:rPr>
          <w:noProof/>
          <w:color w:val="000000"/>
        </w:rPr>
        <w:t xml:space="preserve"> 3(4): 389–403</w:t>
      </w:r>
      <w:r w:rsidR="002A5F67">
        <w:rPr>
          <w:noProof/>
          <w:color w:val="000000"/>
        </w:rPr>
        <w:t>.</w:t>
      </w:r>
    </w:p>
    <w:p w:rsidR="00A35CA0" w:rsidRDefault="00CC3C93" w:rsidP="00CA5FBB">
      <w:pPr>
        <w:spacing w:before="120" w:line="240" w:lineRule="auto"/>
        <w:jc w:val="left"/>
      </w:pPr>
      <w:r>
        <w:t xml:space="preserve">Hopkins, W.D.  2006.  </w:t>
      </w:r>
      <w:r w:rsidRPr="00486E0B">
        <w:rPr>
          <w:rFonts w:eastAsia="Times New Roman"/>
          <w:color w:val="000000"/>
          <w:lang w:eastAsia="en-GB"/>
        </w:rPr>
        <w:t>Comparative and familial analysis of handedness in great apes.</w:t>
      </w:r>
      <w:r>
        <w:rPr>
          <w:rFonts w:eastAsia="Times New Roman"/>
          <w:color w:val="000000"/>
          <w:lang w:eastAsia="en-GB"/>
        </w:rPr>
        <w:t xml:space="preserve"> </w:t>
      </w:r>
      <w:r w:rsidRPr="00C76894">
        <w:rPr>
          <w:rFonts w:eastAsia="Times New Roman"/>
          <w:i/>
          <w:color w:val="000000"/>
          <w:lang w:eastAsia="en-GB"/>
        </w:rPr>
        <w:t>Psychological Bulletin</w:t>
      </w:r>
      <w:r>
        <w:rPr>
          <w:rFonts w:eastAsia="Times New Roman"/>
          <w:color w:val="000000"/>
          <w:lang w:eastAsia="en-GB"/>
        </w:rPr>
        <w:t xml:space="preserve"> 132(4): 538-559</w:t>
      </w:r>
      <w:r w:rsidR="002A5F67">
        <w:rPr>
          <w:rFonts w:eastAsia="Times New Roman"/>
          <w:color w:val="000000"/>
          <w:lang w:eastAsia="en-GB"/>
        </w:rPr>
        <w:t>.</w:t>
      </w:r>
    </w:p>
    <w:p w:rsidR="00A35CA0" w:rsidRDefault="00CC3C93" w:rsidP="00CA5FBB">
      <w:pPr>
        <w:spacing w:before="120" w:line="240" w:lineRule="auto"/>
        <w:jc w:val="left"/>
      </w:pPr>
      <w:r>
        <w:t xml:space="preserve">Hopkins, W.D.  Pearson, K.  2000.  </w:t>
      </w:r>
      <w:r w:rsidRPr="00C76894">
        <w:rPr>
          <w:rFonts w:eastAsia="Times New Roman"/>
          <w:color w:val="000000"/>
          <w:lang w:eastAsia="en-GB"/>
        </w:rPr>
        <w:t xml:space="preserve">Chimpanzee (Pan </w:t>
      </w:r>
      <w:proofErr w:type="gramStart"/>
      <w:r w:rsidRPr="00C76894">
        <w:rPr>
          <w:rFonts w:eastAsia="Times New Roman"/>
          <w:color w:val="000000"/>
          <w:lang w:eastAsia="en-GB"/>
        </w:rPr>
        <w:t>troglodytes</w:t>
      </w:r>
      <w:proofErr w:type="gramEnd"/>
      <w:r w:rsidRPr="00C76894">
        <w:rPr>
          <w:rFonts w:eastAsia="Times New Roman"/>
          <w:color w:val="000000"/>
          <w:lang w:eastAsia="en-GB"/>
        </w:rPr>
        <w:t>) handedness: Variability across multiple measures of hand use.</w:t>
      </w:r>
      <w:r>
        <w:rPr>
          <w:rFonts w:eastAsia="Times New Roman"/>
          <w:color w:val="000000"/>
          <w:lang w:eastAsia="en-GB"/>
        </w:rPr>
        <w:t xml:space="preserve">  </w:t>
      </w:r>
      <w:r>
        <w:rPr>
          <w:rFonts w:eastAsia="Times New Roman"/>
          <w:i/>
          <w:color w:val="000000"/>
          <w:lang w:eastAsia="en-GB"/>
        </w:rPr>
        <w:t>Journal of Comparative Psychology</w:t>
      </w:r>
      <w:r>
        <w:rPr>
          <w:rFonts w:eastAsia="Times New Roman"/>
          <w:color w:val="000000"/>
          <w:lang w:eastAsia="en-GB"/>
        </w:rPr>
        <w:t xml:space="preserve"> 114(2): 126-135</w:t>
      </w:r>
      <w:r w:rsidR="002A5F67">
        <w:rPr>
          <w:rFonts w:eastAsia="Times New Roman"/>
          <w:color w:val="000000"/>
          <w:lang w:eastAsia="en-GB"/>
        </w:rPr>
        <w:t>.</w:t>
      </w:r>
    </w:p>
    <w:p w:rsidR="00A35CA0" w:rsidRPr="00CA5FBB" w:rsidRDefault="00CC3C93" w:rsidP="00CA5FBB">
      <w:pPr>
        <w:pStyle w:val="ListParagraph"/>
        <w:spacing w:before="120" w:line="240" w:lineRule="auto"/>
        <w:ind w:left="0"/>
        <w:jc w:val="left"/>
        <w:rPr>
          <w:noProof/>
          <w:color w:val="000000" w:themeColor="text1"/>
        </w:rPr>
      </w:pPr>
      <w:r>
        <w:rPr>
          <w:noProof/>
        </w:rPr>
        <w:t xml:space="preserve">Hoppa, R.D.  1992.  </w:t>
      </w:r>
      <w:r w:rsidRPr="00A72B10">
        <w:rPr>
          <w:noProof/>
        </w:rPr>
        <w:t>Evaluating human skeletal growth: An Anglo-Saxon example</w:t>
      </w:r>
      <w:r>
        <w:rPr>
          <w:noProof/>
        </w:rPr>
        <w:t xml:space="preserve">.  </w:t>
      </w:r>
      <w:r w:rsidRPr="00A72B10">
        <w:rPr>
          <w:i/>
          <w:noProof/>
        </w:rPr>
        <w:t xml:space="preserve">International Journal of </w:t>
      </w:r>
      <w:r w:rsidR="008943E4" w:rsidRPr="00CA5FBB">
        <w:rPr>
          <w:i/>
          <w:noProof/>
          <w:color w:val="000000" w:themeColor="text1"/>
        </w:rPr>
        <w:t>Osteoarchaeology</w:t>
      </w:r>
      <w:r w:rsidR="008943E4" w:rsidRPr="00CA5FBB">
        <w:rPr>
          <w:noProof/>
          <w:color w:val="000000" w:themeColor="text1"/>
        </w:rPr>
        <w:t xml:space="preserve"> 2(4):</w:t>
      </w:r>
      <w:r w:rsidR="002A5F67">
        <w:rPr>
          <w:noProof/>
          <w:color w:val="000000" w:themeColor="text1"/>
        </w:rPr>
        <w:t xml:space="preserve"> </w:t>
      </w:r>
      <w:r w:rsidR="008943E4" w:rsidRPr="00CA5FBB">
        <w:rPr>
          <w:noProof/>
          <w:color w:val="000000" w:themeColor="text1"/>
        </w:rPr>
        <w:t>275-288</w:t>
      </w:r>
      <w:r w:rsidR="002A5F67">
        <w:rPr>
          <w:noProof/>
          <w:color w:val="000000" w:themeColor="text1"/>
        </w:rPr>
        <w:t>.</w:t>
      </w:r>
    </w:p>
    <w:p w:rsidR="00A35CA0" w:rsidRPr="00CA5FBB" w:rsidRDefault="008943E4" w:rsidP="00CA5FBB">
      <w:pPr>
        <w:spacing w:before="120" w:line="240" w:lineRule="auto"/>
        <w:jc w:val="left"/>
        <w:rPr>
          <w:noProof/>
          <w:color w:val="000000" w:themeColor="text1"/>
        </w:rPr>
      </w:pPr>
      <w:r w:rsidRPr="00CA5FBB">
        <w:rPr>
          <w:noProof/>
          <w:color w:val="000000" w:themeColor="text1"/>
        </w:rPr>
        <w:t xml:space="preserve">Huda, T.F.J.  Bowman, J.E.  1995.  Age determination from dental microstructure in juveniles.  </w:t>
      </w:r>
      <w:r w:rsidRPr="00CA5FBB">
        <w:rPr>
          <w:i/>
          <w:noProof/>
          <w:color w:val="000000" w:themeColor="text1"/>
        </w:rPr>
        <w:t>American Journal of Physical Anthropology</w:t>
      </w:r>
      <w:r w:rsidRPr="00CA5FBB">
        <w:rPr>
          <w:noProof/>
          <w:color w:val="000000" w:themeColor="text1"/>
        </w:rPr>
        <w:t xml:space="preserve"> 97(2): 135–150</w:t>
      </w:r>
    </w:p>
    <w:p w:rsidR="00A35CA0" w:rsidRDefault="00CC3C93" w:rsidP="00CA5FBB">
      <w:pPr>
        <w:spacing w:before="120" w:line="240" w:lineRule="auto"/>
        <w:jc w:val="left"/>
        <w:rPr>
          <w:noProof/>
          <w:color w:val="000000" w:themeColor="text1"/>
        </w:rPr>
      </w:pPr>
      <w:r w:rsidRPr="0090057F">
        <w:rPr>
          <w:noProof/>
          <w:color w:val="000000" w:themeColor="text1"/>
        </w:rPr>
        <w:t>Hussin, A.S. Mokhtar, N.  Naing, L.  Taylor, J.A.  Mahmood, Z.  2007.  The timing and sequence of emergence of permanent</w:t>
      </w:r>
      <w:r w:rsidRPr="00503854">
        <w:rPr>
          <w:noProof/>
          <w:color w:val="000000" w:themeColor="text1"/>
        </w:rPr>
        <w:t xml:space="preserve"> teeth in Malay schoolchildren in Kota Bharu, Malaysia.  </w:t>
      </w:r>
      <w:r w:rsidRPr="00503854">
        <w:rPr>
          <w:i/>
          <w:noProof/>
          <w:color w:val="000000" w:themeColor="text1"/>
        </w:rPr>
        <w:t>Archives of Orofacial Sciences</w:t>
      </w:r>
      <w:r w:rsidRPr="00503854">
        <w:rPr>
          <w:noProof/>
          <w:color w:val="000000" w:themeColor="text1"/>
        </w:rPr>
        <w:t xml:space="preserve"> 2: 36-40</w:t>
      </w:r>
      <w:r w:rsidR="00490690">
        <w:rPr>
          <w:noProof/>
          <w:color w:val="000000" w:themeColor="text1"/>
        </w:rPr>
        <w:t>.</w:t>
      </w:r>
    </w:p>
    <w:p w:rsidR="00A35CA0" w:rsidRDefault="00CC3C93" w:rsidP="00CA5FBB">
      <w:pPr>
        <w:pStyle w:val="ListParagraph"/>
        <w:spacing w:before="120" w:line="240" w:lineRule="auto"/>
        <w:ind w:left="0"/>
        <w:jc w:val="left"/>
        <w:rPr>
          <w:noProof/>
        </w:rPr>
      </w:pPr>
      <w:r>
        <w:rPr>
          <w:noProof/>
        </w:rPr>
        <w:lastRenderedPageBreak/>
        <w:t xml:space="preserve">Jantz, R.L.  Owsley, D.W.  1984.  </w:t>
      </w:r>
      <w:r w:rsidRPr="0024214E">
        <w:rPr>
          <w:noProof/>
        </w:rPr>
        <w:t>Long bone growth variation among Arikara skeletal populations</w:t>
      </w:r>
      <w:r>
        <w:rPr>
          <w:noProof/>
        </w:rPr>
        <w:t xml:space="preserve">.  </w:t>
      </w:r>
      <w:r>
        <w:rPr>
          <w:i/>
          <w:noProof/>
        </w:rPr>
        <w:t>American Journal of Physical Anthropology</w:t>
      </w:r>
      <w:r>
        <w:rPr>
          <w:noProof/>
        </w:rPr>
        <w:t xml:space="preserve"> 63(1):</w:t>
      </w:r>
      <w:r w:rsidR="00490690">
        <w:rPr>
          <w:noProof/>
        </w:rPr>
        <w:t xml:space="preserve"> </w:t>
      </w:r>
      <w:r>
        <w:rPr>
          <w:noProof/>
        </w:rPr>
        <w:t>3-20</w:t>
      </w:r>
      <w:r w:rsidR="00490690">
        <w:rPr>
          <w:noProof/>
        </w:rPr>
        <w:t>.</w:t>
      </w:r>
    </w:p>
    <w:p w:rsidR="006577B6" w:rsidRDefault="006577B6" w:rsidP="006577B6">
      <w:pPr>
        <w:pStyle w:val="ListParagraph"/>
        <w:spacing w:before="120" w:line="240" w:lineRule="auto"/>
        <w:ind w:left="0"/>
        <w:jc w:val="left"/>
        <w:rPr>
          <w:noProof/>
        </w:rPr>
      </w:pPr>
    </w:p>
    <w:p w:rsidR="00A35CA0" w:rsidRDefault="00CC3C93" w:rsidP="00CA5FBB">
      <w:pPr>
        <w:pStyle w:val="ListParagraph"/>
        <w:spacing w:before="120" w:line="240" w:lineRule="auto"/>
        <w:ind w:left="0"/>
        <w:jc w:val="left"/>
        <w:rPr>
          <w:noProof/>
        </w:rPr>
      </w:pPr>
      <w:r>
        <w:rPr>
          <w:noProof/>
        </w:rPr>
        <w:t xml:space="preserve">Jeanty, P.  1983.  Fetal limb biometry.  </w:t>
      </w:r>
      <w:r>
        <w:rPr>
          <w:i/>
          <w:noProof/>
        </w:rPr>
        <w:t>Radiology</w:t>
      </w:r>
      <w:r>
        <w:rPr>
          <w:noProof/>
        </w:rPr>
        <w:t xml:space="preserve"> 147</w:t>
      </w:r>
      <w:r w:rsidR="009855BB">
        <w:rPr>
          <w:noProof/>
        </w:rPr>
        <w:t>(2)</w:t>
      </w:r>
      <w:r>
        <w:rPr>
          <w:noProof/>
        </w:rPr>
        <w:t>: 601-602</w:t>
      </w:r>
      <w:r w:rsidR="009855BB">
        <w:rPr>
          <w:noProof/>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Jeffery, J. E., Richardson, M. K., Coates, M. I. &amp; Bininda-Emonds, O. R. P. 2002. </w:t>
      </w:r>
      <w:proofErr w:type="gramStart"/>
      <w:r w:rsidRPr="00667B89">
        <w:rPr>
          <w:rFonts w:asciiTheme="majorBidi" w:hAnsiTheme="majorBidi" w:cstheme="majorBidi"/>
        </w:rPr>
        <w:t>Analyzing developmental sequences within a phylogenetic framework.</w:t>
      </w:r>
      <w:proofErr w:type="gramEnd"/>
      <w:r w:rsidRPr="00667B89">
        <w:rPr>
          <w:rFonts w:asciiTheme="majorBidi" w:hAnsiTheme="majorBidi" w:cstheme="majorBidi"/>
        </w:rPr>
        <w:t xml:space="preserve"> </w:t>
      </w:r>
      <w:proofErr w:type="gramStart"/>
      <w:r w:rsidRPr="00667B89">
        <w:rPr>
          <w:rFonts w:asciiTheme="majorBidi" w:hAnsiTheme="majorBidi" w:cstheme="majorBidi"/>
          <w:i/>
        </w:rPr>
        <w:t>Systematic Biology</w:t>
      </w:r>
      <w:r w:rsidRPr="00667B89">
        <w:rPr>
          <w:rFonts w:asciiTheme="majorBidi" w:hAnsiTheme="majorBidi" w:cstheme="majorBidi"/>
        </w:rPr>
        <w:t>.</w:t>
      </w:r>
      <w:proofErr w:type="gramEnd"/>
      <w:r w:rsidRPr="00667B89">
        <w:rPr>
          <w:rFonts w:asciiTheme="majorBidi" w:hAnsiTheme="majorBidi" w:cstheme="majorBidi"/>
        </w:rPr>
        <w:t xml:space="preserve"> 51</w:t>
      </w:r>
      <w:r w:rsidR="003347AD">
        <w:rPr>
          <w:rFonts w:asciiTheme="majorBidi" w:hAnsiTheme="majorBidi" w:cstheme="majorBidi"/>
        </w:rPr>
        <w:t>(</w:t>
      </w:r>
      <w:r w:rsidRPr="00667B89">
        <w:rPr>
          <w:rFonts w:asciiTheme="majorBidi" w:hAnsiTheme="majorBidi" w:cstheme="majorBidi"/>
        </w:rPr>
        <w:t>3</w:t>
      </w:r>
      <w:r w:rsidR="003347AD">
        <w:rPr>
          <w:rFonts w:asciiTheme="majorBidi" w:hAnsiTheme="majorBidi" w:cstheme="majorBidi"/>
        </w:rPr>
        <w:t>)</w:t>
      </w:r>
      <w:r w:rsidRPr="00667B89">
        <w:rPr>
          <w:rFonts w:asciiTheme="majorBidi" w:hAnsiTheme="majorBidi" w:cstheme="majorBidi"/>
        </w:rPr>
        <w:t>: 478–491.</w:t>
      </w:r>
    </w:p>
    <w:p w:rsidR="00A35CA0" w:rsidRDefault="00CC3C93" w:rsidP="00CA5FBB">
      <w:pPr>
        <w:spacing w:before="120" w:line="240" w:lineRule="auto"/>
        <w:jc w:val="left"/>
        <w:rPr>
          <w:rFonts w:asciiTheme="majorBidi" w:hAnsiTheme="majorBidi" w:cstheme="majorBidi"/>
          <w:noProof/>
        </w:rPr>
      </w:pPr>
      <w:r w:rsidRPr="00667B89">
        <w:rPr>
          <w:rFonts w:asciiTheme="majorBidi" w:hAnsiTheme="majorBidi" w:cstheme="majorBidi"/>
          <w:noProof/>
        </w:rPr>
        <w:t>Jit, I.  Kaur, H.  1989.  Time of fusion of the human sternebrae with one another in Northwest India.  American Journal of Physical Anthropology 80(2): 195-202</w:t>
      </w:r>
      <w:r w:rsidR="00007B32">
        <w:rPr>
          <w:rFonts w:asciiTheme="majorBidi" w:hAnsiTheme="majorBidi" w:cstheme="majorBidi"/>
          <w:noProof/>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667B89">
        <w:rPr>
          <w:rFonts w:asciiTheme="majorBidi" w:hAnsiTheme="majorBidi" w:cstheme="majorBidi"/>
          <w:color w:val="000000" w:themeColor="text1"/>
          <w:lang w:val="en-CA"/>
        </w:rPr>
        <w:t>Jit, I.</w:t>
      </w:r>
      <w:proofErr w:type="gramEnd"/>
      <w:r w:rsidRPr="00667B89">
        <w:rPr>
          <w:rFonts w:asciiTheme="majorBidi" w:hAnsiTheme="majorBidi" w:cstheme="majorBidi"/>
          <w:color w:val="000000" w:themeColor="text1"/>
          <w:lang w:val="en-CA"/>
        </w:rPr>
        <w:t xml:space="preserve">  Singh, B.  1971.  A radiological study of the time of fusion of certain epiphyses in Punjabees.  </w:t>
      </w:r>
      <w:r w:rsidRPr="00667B89">
        <w:rPr>
          <w:rFonts w:asciiTheme="majorBidi" w:hAnsiTheme="majorBidi" w:cstheme="majorBidi"/>
          <w:i/>
          <w:color w:val="000000" w:themeColor="text1"/>
          <w:lang w:val="en-CA"/>
        </w:rPr>
        <w:t>Journal of Anatomical Society India</w:t>
      </w:r>
      <w:r w:rsidRPr="00667B89">
        <w:rPr>
          <w:rFonts w:asciiTheme="majorBidi" w:hAnsiTheme="majorBidi" w:cstheme="majorBidi"/>
          <w:color w:val="000000" w:themeColor="text1"/>
          <w:lang w:val="en-CA"/>
        </w:rPr>
        <w:t xml:space="preserve"> 20(1): 457-466</w:t>
      </w:r>
      <w:r w:rsidR="009E13DA">
        <w:rPr>
          <w:rFonts w:asciiTheme="majorBidi" w:hAnsiTheme="majorBidi" w:cstheme="majorBidi"/>
          <w:color w:val="000000" w:themeColor="text1"/>
          <w:lang w:val="en-CA"/>
        </w:rPr>
        <w:t>.</w:t>
      </w:r>
    </w:p>
    <w:p w:rsidR="00A35CA0" w:rsidRDefault="00CC3C93" w:rsidP="00CA5FBB">
      <w:pPr>
        <w:spacing w:before="120" w:line="240" w:lineRule="auto"/>
        <w:jc w:val="left"/>
        <w:rPr>
          <w:noProof/>
          <w:color w:val="000000"/>
        </w:rPr>
      </w:pPr>
      <w:r>
        <w:rPr>
          <w:noProof/>
          <w:color w:val="000000"/>
        </w:rPr>
        <w:t>J</w:t>
      </w:r>
      <w:r w:rsidRPr="008D7244">
        <w:rPr>
          <w:noProof/>
          <w:color w:val="000000"/>
        </w:rPr>
        <w:t>ungers</w:t>
      </w:r>
      <w:r>
        <w:rPr>
          <w:noProof/>
          <w:color w:val="000000"/>
        </w:rPr>
        <w:t xml:space="preserve">, W.L.  1982.  </w:t>
      </w:r>
      <w:r w:rsidRPr="008D7244">
        <w:rPr>
          <w:noProof/>
          <w:color w:val="000000"/>
        </w:rPr>
        <w:t>Lucy's limbs: skeletal allometry and locomotion in Australopithecus afarensis</w:t>
      </w:r>
      <w:r>
        <w:rPr>
          <w:noProof/>
          <w:color w:val="000000"/>
        </w:rPr>
        <w:t xml:space="preserve">.  </w:t>
      </w:r>
      <w:r w:rsidRPr="008D7244">
        <w:rPr>
          <w:i/>
          <w:noProof/>
          <w:color w:val="000000"/>
        </w:rPr>
        <w:t>Nature</w:t>
      </w:r>
      <w:r w:rsidRPr="008D7244">
        <w:rPr>
          <w:noProof/>
          <w:color w:val="000000"/>
        </w:rPr>
        <w:t xml:space="preserve"> 297</w:t>
      </w:r>
      <w:r>
        <w:rPr>
          <w:noProof/>
          <w:color w:val="000000"/>
        </w:rPr>
        <w:t>:</w:t>
      </w:r>
      <w:r w:rsidRPr="008D7244">
        <w:rPr>
          <w:noProof/>
          <w:color w:val="000000"/>
        </w:rPr>
        <w:t xml:space="preserve"> 676 </w:t>
      </w:r>
      <w:r w:rsidR="009E13DA">
        <w:rPr>
          <w:noProof/>
          <w:color w:val="000000"/>
        </w:rPr>
        <w:t>–</w:t>
      </w:r>
      <w:r w:rsidRPr="008D7244">
        <w:rPr>
          <w:noProof/>
          <w:color w:val="000000"/>
        </w:rPr>
        <w:t xml:space="preserve"> 678</w:t>
      </w:r>
      <w:r w:rsidR="009E13DA">
        <w:rPr>
          <w:noProof/>
          <w:color w:val="000000"/>
        </w:rPr>
        <w:t>.</w:t>
      </w:r>
    </w:p>
    <w:p w:rsidR="00A35CA0" w:rsidRDefault="00CC3C93" w:rsidP="00CA5FBB">
      <w:pPr>
        <w:spacing w:before="120" w:line="240" w:lineRule="auto"/>
        <w:jc w:val="left"/>
        <w:rPr>
          <w:noProof/>
        </w:rPr>
      </w:pPr>
      <w:r w:rsidRPr="00E85744">
        <w:rPr>
          <w:noProof/>
        </w:rPr>
        <w:t>Karlberg</w:t>
      </w:r>
      <w:r>
        <w:rPr>
          <w:noProof/>
        </w:rPr>
        <w:t>,</w:t>
      </w:r>
      <w:r w:rsidRPr="00E85744">
        <w:rPr>
          <w:noProof/>
        </w:rPr>
        <w:t xml:space="preserve"> J</w:t>
      </w:r>
      <w:r>
        <w:rPr>
          <w:noProof/>
        </w:rPr>
        <w:t>.</w:t>
      </w:r>
      <w:r w:rsidRPr="00E85744">
        <w:rPr>
          <w:noProof/>
        </w:rPr>
        <w:t xml:space="preserve"> </w:t>
      </w:r>
      <w:r>
        <w:rPr>
          <w:noProof/>
        </w:rPr>
        <w:t xml:space="preserve"> </w:t>
      </w:r>
      <w:r w:rsidRPr="00E85744">
        <w:rPr>
          <w:noProof/>
        </w:rPr>
        <w:t>1985</w:t>
      </w:r>
      <w:r>
        <w:rPr>
          <w:noProof/>
        </w:rPr>
        <w:t>.</w:t>
      </w:r>
      <w:r w:rsidRPr="00E85744">
        <w:rPr>
          <w:noProof/>
        </w:rPr>
        <w:t xml:space="preserve"> </w:t>
      </w:r>
      <w:r>
        <w:rPr>
          <w:noProof/>
        </w:rPr>
        <w:t xml:space="preserve"> </w:t>
      </w:r>
      <w:r w:rsidRPr="000B6A23">
        <w:rPr>
          <w:i/>
          <w:noProof/>
        </w:rPr>
        <w:t>The human growth curve decomposed into three additive and partly superimposed components: The FBP model</w:t>
      </w:r>
      <w:r w:rsidRPr="00E85744">
        <w:rPr>
          <w:noProof/>
        </w:rPr>
        <w:t>. In Abstra</w:t>
      </w:r>
      <w:r>
        <w:rPr>
          <w:noProof/>
        </w:rPr>
        <w:t xml:space="preserve">cts. Fourth International </w:t>
      </w:r>
      <w:r w:rsidRPr="00E85744">
        <w:rPr>
          <w:noProof/>
        </w:rPr>
        <w:t xml:space="preserve">Congress of Auxology. </w:t>
      </w:r>
      <w:r>
        <w:rPr>
          <w:noProof/>
        </w:rPr>
        <w:t xml:space="preserve"> </w:t>
      </w:r>
      <w:r w:rsidRPr="00E85744">
        <w:rPr>
          <w:noProof/>
        </w:rPr>
        <w:t>Taylor and Francis</w:t>
      </w:r>
      <w:r>
        <w:rPr>
          <w:noProof/>
        </w:rPr>
        <w:t>: London p. 46</w:t>
      </w:r>
      <w:r w:rsidR="009E13DA">
        <w:rPr>
          <w:noProof/>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Kaufman, M.J. 1992.  </w:t>
      </w:r>
      <w:proofErr w:type="gramStart"/>
      <w:r w:rsidRPr="00667B89">
        <w:rPr>
          <w:rFonts w:asciiTheme="majorBidi" w:hAnsiTheme="majorBidi" w:cstheme="majorBidi"/>
          <w:i/>
        </w:rPr>
        <w:t>The atlas of mouse development</w:t>
      </w:r>
      <w:r w:rsidRPr="00667B89">
        <w:rPr>
          <w:rFonts w:asciiTheme="majorBidi" w:hAnsiTheme="majorBidi" w:cstheme="majorBidi"/>
        </w:rPr>
        <w:t>.</w:t>
      </w:r>
      <w:proofErr w:type="gramEnd"/>
      <w:r w:rsidRPr="00667B89">
        <w:rPr>
          <w:rFonts w:asciiTheme="majorBidi" w:hAnsiTheme="majorBidi" w:cstheme="majorBidi"/>
        </w:rPr>
        <w:t xml:space="preserve"> Academic Press</w:t>
      </w:r>
      <w:r w:rsidR="009E13DA">
        <w:rPr>
          <w:rFonts w:asciiTheme="majorBidi" w:hAnsiTheme="majorBidi" w:cstheme="majorBidi"/>
        </w:rPr>
        <w:t>: London</w:t>
      </w:r>
      <w:r w:rsidRPr="00667B89">
        <w:rPr>
          <w:rFonts w:asciiTheme="majorBidi" w:hAnsiTheme="majorBidi" w:cstheme="majorBidi"/>
        </w:rPr>
        <w:t>.</w:t>
      </w:r>
    </w:p>
    <w:p w:rsidR="00A35CA0" w:rsidRDefault="00CC3C93" w:rsidP="00CA5FBB">
      <w:pPr>
        <w:spacing w:before="120" w:line="240" w:lineRule="auto"/>
        <w:jc w:val="left"/>
        <w:rPr>
          <w:noProof/>
          <w:color w:val="000000"/>
        </w:rPr>
      </w:pPr>
      <w:r>
        <w:rPr>
          <w:noProof/>
          <w:color w:val="000000"/>
        </w:rPr>
        <w:t xml:space="preserve">Kaul, S.  Saini, S. Saxena, B.  1975.  Emergence of permanent teeth in school-children in Chandigarh, India.  </w:t>
      </w:r>
      <w:r>
        <w:rPr>
          <w:i/>
          <w:noProof/>
          <w:color w:val="000000"/>
        </w:rPr>
        <w:t>Archives of Oral Biology</w:t>
      </w:r>
      <w:r w:rsidR="00A563CA">
        <w:rPr>
          <w:noProof/>
          <w:color w:val="000000"/>
        </w:rPr>
        <w:t xml:space="preserve"> </w:t>
      </w:r>
      <w:r>
        <w:rPr>
          <w:noProof/>
          <w:color w:val="000000"/>
        </w:rPr>
        <w:t>20(9): 587–593</w:t>
      </w:r>
      <w:r w:rsidR="00A563CA">
        <w:rPr>
          <w:noProof/>
          <w:color w:val="000000"/>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Katz, H.B.  1980.  The influence of undernutrition on learning performance in rodents. </w:t>
      </w:r>
      <w:r w:rsidRPr="00667B89">
        <w:rPr>
          <w:rFonts w:asciiTheme="majorBidi" w:hAnsiTheme="majorBidi" w:cstheme="majorBidi"/>
          <w:i/>
          <w:iCs/>
        </w:rPr>
        <w:t>Nutr</w:t>
      </w:r>
      <w:r w:rsidRPr="00667B89">
        <w:rPr>
          <w:rFonts w:asciiTheme="majorBidi" w:hAnsiTheme="majorBidi" w:cstheme="majorBidi"/>
          <w:i/>
        </w:rPr>
        <w:t xml:space="preserve">ional </w:t>
      </w:r>
      <w:r w:rsidRPr="00667B89">
        <w:rPr>
          <w:rFonts w:asciiTheme="majorBidi" w:hAnsiTheme="majorBidi" w:cstheme="majorBidi"/>
          <w:i/>
          <w:iCs/>
        </w:rPr>
        <w:t>Abstracts and</w:t>
      </w:r>
      <w:r w:rsidRPr="00667B89">
        <w:rPr>
          <w:rFonts w:asciiTheme="majorBidi" w:hAnsiTheme="majorBidi" w:cstheme="majorBidi"/>
          <w:i/>
        </w:rPr>
        <w:t xml:space="preserve">. </w:t>
      </w:r>
      <w:r w:rsidRPr="00667B89">
        <w:rPr>
          <w:rFonts w:asciiTheme="majorBidi" w:hAnsiTheme="majorBidi" w:cstheme="majorBidi"/>
          <w:i/>
          <w:iCs/>
        </w:rPr>
        <w:t>Rev</w:t>
      </w:r>
      <w:r w:rsidRPr="00667B89">
        <w:rPr>
          <w:rFonts w:asciiTheme="majorBidi" w:hAnsiTheme="majorBidi" w:cstheme="majorBidi"/>
          <w:i/>
        </w:rPr>
        <w:t>iews</w:t>
      </w:r>
      <w:r w:rsidRPr="00667B89">
        <w:rPr>
          <w:rFonts w:asciiTheme="majorBidi" w:hAnsiTheme="majorBidi" w:cstheme="majorBidi"/>
        </w:rPr>
        <w:t xml:space="preserve"> 50(11): 767-784</w:t>
      </w:r>
      <w:r w:rsidR="00A563CA">
        <w:rPr>
          <w:rFonts w:asciiTheme="majorBidi" w:hAnsiTheme="majorBidi" w:cstheme="majorBidi"/>
        </w:rPr>
        <w:t>.</w:t>
      </w:r>
    </w:p>
    <w:p w:rsidR="00A35CA0" w:rsidRDefault="00CC3C93" w:rsidP="00CA5FBB">
      <w:pPr>
        <w:tabs>
          <w:tab w:val="left" w:pos="360"/>
        </w:tabs>
        <w:spacing w:before="120" w:line="240" w:lineRule="auto"/>
        <w:jc w:val="left"/>
        <w:rPr>
          <w:noProof/>
          <w:color w:val="000000"/>
        </w:rPr>
      </w:pPr>
      <w:r w:rsidRPr="004A1885">
        <w:rPr>
          <w:noProof/>
          <w:color w:val="000000"/>
        </w:rPr>
        <w:t>Keene</w:t>
      </w:r>
      <w:r>
        <w:rPr>
          <w:noProof/>
          <w:color w:val="000000"/>
        </w:rPr>
        <w:t xml:space="preserve">, H.J.  1991.  </w:t>
      </w:r>
      <w:r w:rsidRPr="004A1885">
        <w:rPr>
          <w:noProof/>
          <w:color w:val="000000"/>
        </w:rPr>
        <w:t>On heterochrony in heterodonty: A review of some problems in to</w:t>
      </w:r>
      <w:r>
        <w:rPr>
          <w:noProof/>
          <w:color w:val="000000"/>
        </w:rPr>
        <w:t xml:space="preserve">oth morphogenesis and evolution.  </w:t>
      </w:r>
      <w:r w:rsidRPr="004A1885">
        <w:rPr>
          <w:i/>
          <w:noProof/>
          <w:color w:val="000000"/>
        </w:rPr>
        <w:t>American Journal of Physical Anthropology Supplement: Yearbook of Physical Anthropology</w:t>
      </w:r>
      <w:r w:rsidRPr="004A1885">
        <w:rPr>
          <w:noProof/>
          <w:color w:val="000000"/>
        </w:rPr>
        <w:t xml:space="preserve"> 34</w:t>
      </w:r>
      <w:r>
        <w:rPr>
          <w:noProof/>
          <w:color w:val="000000"/>
        </w:rPr>
        <w:t xml:space="preserve"> (</w:t>
      </w:r>
      <w:r w:rsidRPr="004A1885">
        <w:rPr>
          <w:noProof/>
          <w:color w:val="000000"/>
        </w:rPr>
        <w:t>S13</w:t>
      </w:r>
      <w:r>
        <w:rPr>
          <w:noProof/>
          <w:color w:val="000000"/>
        </w:rPr>
        <w:t>):</w:t>
      </w:r>
      <w:r w:rsidRPr="004A1885">
        <w:rPr>
          <w:noProof/>
          <w:color w:val="000000"/>
        </w:rPr>
        <w:t xml:space="preserve"> 251–282</w:t>
      </w:r>
      <w:r w:rsidR="006C3462">
        <w:rPr>
          <w:noProof/>
          <w:color w:val="000000"/>
        </w:rPr>
        <w:t>.</w:t>
      </w:r>
    </w:p>
    <w:p w:rsidR="00A35CA0" w:rsidRDefault="00CC3C93" w:rsidP="00CA5FBB">
      <w:pPr>
        <w:spacing w:before="120" w:line="240" w:lineRule="auto"/>
        <w:jc w:val="left"/>
        <w:rPr>
          <w:noProof/>
        </w:rPr>
      </w:pPr>
      <w:r>
        <w:rPr>
          <w:noProof/>
        </w:rPr>
        <w:t xml:space="preserve">Kelley, J.  Schwartz, G.T.  2010.  Dental development and life history in living African and Asian apes.  </w:t>
      </w:r>
      <w:r>
        <w:rPr>
          <w:i/>
          <w:noProof/>
        </w:rPr>
        <w:t>Proceedings of the National Academy of Sciences</w:t>
      </w:r>
      <w:r>
        <w:rPr>
          <w:noProof/>
        </w:rPr>
        <w:t xml:space="preserve"> </w:t>
      </w:r>
      <w:r w:rsidR="00A541E0" w:rsidRPr="00A541E0">
        <w:rPr>
          <w:i/>
          <w:noProof/>
        </w:rPr>
        <w:t>of the United States of America</w:t>
      </w:r>
      <w:r w:rsidR="00A541E0">
        <w:rPr>
          <w:noProof/>
        </w:rPr>
        <w:t xml:space="preserve"> </w:t>
      </w:r>
      <w:r>
        <w:rPr>
          <w:noProof/>
        </w:rPr>
        <w:t>3:</w:t>
      </w:r>
      <w:r w:rsidR="006C3462">
        <w:rPr>
          <w:noProof/>
        </w:rPr>
        <w:t xml:space="preserve"> </w:t>
      </w:r>
      <w:r>
        <w:rPr>
          <w:noProof/>
        </w:rPr>
        <w:t>1035-1040</w:t>
      </w:r>
      <w:r w:rsidR="006C3462">
        <w:rPr>
          <w:noProof/>
        </w:rPr>
        <w:t>.</w:t>
      </w:r>
    </w:p>
    <w:p w:rsidR="00A35CA0" w:rsidRDefault="00CC3C93" w:rsidP="00CA5FBB">
      <w:pPr>
        <w:spacing w:before="120" w:line="240" w:lineRule="auto"/>
        <w:jc w:val="left"/>
        <w:rPr>
          <w:rFonts w:asciiTheme="majorBidi" w:hAnsiTheme="majorBidi" w:cstheme="majorBidi"/>
          <w:noProof/>
          <w:color w:val="000000"/>
        </w:rPr>
      </w:pPr>
      <w:r w:rsidRPr="00F3493D">
        <w:rPr>
          <w:rFonts w:asciiTheme="majorBidi" w:hAnsiTheme="majorBidi" w:cstheme="majorBidi"/>
          <w:noProof/>
          <w:color w:val="000000"/>
        </w:rPr>
        <w:t xml:space="preserve">Kelley, J. </w:t>
      </w:r>
      <w:r>
        <w:rPr>
          <w:rFonts w:asciiTheme="majorBidi" w:hAnsiTheme="majorBidi" w:cstheme="majorBidi"/>
          <w:noProof/>
          <w:color w:val="000000"/>
        </w:rPr>
        <w:t xml:space="preserve"> </w:t>
      </w:r>
      <w:r w:rsidRPr="00F3493D">
        <w:rPr>
          <w:rFonts w:asciiTheme="majorBidi" w:hAnsiTheme="majorBidi" w:cstheme="majorBidi"/>
          <w:noProof/>
          <w:color w:val="000000"/>
        </w:rPr>
        <w:t xml:space="preserve"> Smith, T. </w:t>
      </w:r>
      <w:r>
        <w:rPr>
          <w:rFonts w:asciiTheme="majorBidi" w:hAnsiTheme="majorBidi" w:cstheme="majorBidi"/>
          <w:noProof/>
          <w:color w:val="000000"/>
        </w:rPr>
        <w:t xml:space="preserve"> </w:t>
      </w:r>
      <w:r w:rsidRPr="00F3493D">
        <w:rPr>
          <w:rFonts w:asciiTheme="majorBidi" w:hAnsiTheme="majorBidi" w:cstheme="majorBidi"/>
          <w:noProof/>
          <w:color w:val="000000"/>
        </w:rPr>
        <w:t>2003</w:t>
      </w:r>
      <w:r>
        <w:rPr>
          <w:rFonts w:asciiTheme="majorBidi" w:hAnsiTheme="majorBidi" w:cstheme="majorBidi"/>
          <w:noProof/>
          <w:color w:val="000000"/>
        </w:rPr>
        <w:t xml:space="preserve">.  Age at first molar emergence </w:t>
      </w:r>
      <w:r w:rsidRPr="00F3493D">
        <w:rPr>
          <w:rFonts w:asciiTheme="majorBidi" w:hAnsiTheme="majorBidi" w:cstheme="majorBidi"/>
          <w:noProof/>
          <w:color w:val="000000"/>
        </w:rPr>
        <w:t>in early Miocene Afropithec</w:t>
      </w:r>
      <w:r>
        <w:rPr>
          <w:rFonts w:asciiTheme="majorBidi" w:hAnsiTheme="majorBidi" w:cstheme="majorBidi"/>
          <w:noProof/>
          <w:color w:val="000000"/>
        </w:rPr>
        <w:t xml:space="preserve">us turkanensis and life-history </w:t>
      </w:r>
      <w:r w:rsidRPr="00F3493D">
        <w:rPr>
          <w:rFonts w:asciiTheme="majorBidi" w:hAnsiTheme="majorBidi" w:cstheme="majorBidi"/>
          <w:noProof/>
          <w:color w:val="000000"/>
        </w:rPr>
        <w:t>evolution in th</w:t>
      </w:r>
      <w:r>
        <w:rPr>
          <w:rFonts w:asciiTheme="majorBidi" w:hAnsiTheme="majorBidi" w:cstheme="majorBidi"/>
          <w:noProof/>
          <w:color w:val="000000"/>
        </w:rPr>
        <w:t xml:space="preserve">e Hominoidea. </w:t>
      </w:r>
      <w:r w:rsidRPr="00F3493D">
        <w:rPr>
          <w:rFonts w:asciiTheme="majorBidi" w:hAnsiTheme="majorBidi" w:cstheme="majorBidi"/>
          <w:i/>
          <w:noProof/>
          <w:color w:val="000000"/>
        </w:rPr>
        <w:t>Journal of Human Evolution</w:t>
      </w:r>
      <w:r>
        <w:rPr>
          <w:rFonts w:asciiTheme="majorBidi" w:hAnsiTheme="majorBidi" w:cstheme="majorBidi"/>
          <w:noProof/>
          <w:color w:val="000000"/>
        </w:rPr>
        <w:t xml:space="preserve"> 44</w:t>
      </w:r>
      <w:r w:rsidR="00802175">
        <w:rPr>
          <w:rFonts w:asciiTheme="majorBidi" w:hAnsiTheme="majorBidi" w:cstheme="majorBidi"/>
          <w:noProof/>
          <w:color w:val="000000"/>
        </w:rPr>
        <w:t>(3)</w:t>
      </w:r>
      <w:r>
        <w:rPr>
          <w:rFonts w:asciiTheme="majorBidi" w:hAnsiTheme="majorBidi" w:cstheme="majorBidi"/>
          <w:noProof/>
          <w:color w:val="000000"/>
        </w:rPr>
        <w:t xml:space="preserve">: </w:t>
      </w:r>
      <w:r w:rsidRPr="00F3493D">
        <w:rPr>
          <w:rFonts w:asciiTheme="majorBidi" w:hAnsiTheme="majorBidi" w:cstheme="majorBidi"/>
          <w:noProof/>
          <w:color w:val="000000"/>
        </w:rPr>
        <w:t>307</w:t>
      </w:r>
      <w:r w:rsidR="00802175">
        <w:rPr>
          <w:rFonts w:asciiTheme="majorBidi" w:hAnsiTheme="majorBidi" w:cstheme="majorBidi"/>
          <w:noProof/>
          <w:color w:val="000000"/>
        </w:rPr>
        <w:t>-</w:t>
      </w:r>
      <w:r w:rsidRPr="00F3493D">
        <w:rPr>
          <w:rFonts w:asciiTheme="majorBidi" w:hAnsiTheme="majorBidi" w:cstheme="majorBidi"/>
          <w:noProof/>
          <w:color w:val="000000"/>
        </w:rPr>
        <w:t>329.</w:t>
      </w:r>
    </w:p>
    <w:p w:rsidR="00A35CA0" w:rsidRDefault="00CC3C93" w:rsidP="00CA5FBB">
      <w:pPr>
        <w:spacing w:before="120" w:line="240" w:lineRule="auto"/>
        <w:jc w:val="left"/>
        <w:rPr>
          <w:rFonts w:asciiTheme="majorBidi" w:hAnsiTheme="majorBidi" w:cstheme="majorBidi"/>
          <w:i/>
          <w:noProof/>
        </w:rPr>
      </w:pPr>
      <w:r w:rsidRPr="00667B89">
        <w:rPr>
          <w:rFonts w:asciiTheme="majorBidi" w:hAnsiTheme="majorBidi" w:cstheme="majorBidi"/>
          <w:noProof/>
        </w:rPr>
        <w:t>Kerley, E.R.  1966.  Skeletal age changes in the chimpanzee.</w:t>
      </w:r>
      <w:r w:rsidRPr="00667B89">
        <w:rPr>
          <w:rFonts w:asciiTheme="majorBidi" w:hAnsiTheme="majorBidi" w:cstheme="majorBidi"/>
          <w:i/>
          <w:noProof/>
        </w:rPr>
        <w:t xml:space="preserve">  </w:t>
      </w:r>
      <w:r w:rsidRPr="00667B89">
        <w:rPr>
          <w:rStyle w:val="apple-style-span"/>
          <w:rFonts w:asciiTheme="majorBidi" w:hAnsiTheme="majorBidi" w:cstheme="majorBidi"/>
          <w:i/>
          <w:color w:val="000000"/>
        </w:rPr>
        <w:t>Tulane Studies in Zoology</w:t>
      </w:r>
      <w:r w:rsidRPr="00667B89">
        <w:rPr>
          <w:rFonts w:asciiTheme="majorBidi" w:hAnsiTheme="majorBidi" w:cstheme="majorBidi"/>
          <w:noProof/>
        </w:rPr>
        <w:t xml:space="preserve"> 13: 71</w:t>
      </w:r>
      <w:r w:rsidR="0094633F">
        <w:rPr>
          <w:rFonts w:asciiTheme="majorBidi" w:hAnsiTheme="majorBidi" w:cstheme="majorBidi"/>
          <w:noProof/>
        </w:rPr>
        <w:t>-</w:t>
      </w:r>
      <w:r w:rsidRPr="00667B89">
        <w:rPr>
          <w:rFonts w:asciiTheme="majorBidi" w:hAnsiTheme="majorBidi" w:cstheme="majorBidi"/>
          <w:noProof/>
        </w:rPr>
        <w:t>80</w:t>
      </w:r>
      <w:r w:rsidR="0094633F">
        <w:rPr>
          <w:rFonts w:asciiTheme="majorBidi" w:hAnsiTheme="majorBidi" w:cstheme="majorBidi"/>
          <w:noProof/>
        </w:rPr>
        <w:t>.</w:t>
      </w:r>
    </w:p>
    <w:p w:rsidR="00A35CA0" w:rsidRDefault="00CC3C93" w:rsidP="00CA5FBB">
      <w:pPr>
        <w:tabs>
          <w:tab w:val="left" w:pos="360"/>
        </w:tabs>
        <w:spacing w:before="120" w:line="240" w:lineRule="auto"/>
        <w:jc w:val="left"/>
        <w:rPr>
          <w:noProof/>
          <w:color w:val="000000"/>
        </w:rPr>
      </w:pPr>
      <w:r>
        <w:rPr>
          <w:noProof/>
          <w:color w:val="000000"/>
        </w:rPr>
        <w:t>Kilborn,</w:t>
      </w:r>
      <w:r w:rsidRPr="00EE2F58">
        <w:rPr>
          <w:noProof/>
          <w:color w:val="000000"/>
        </w:rPr>
        <w:t>S</w:t>
      </w:r>
      <w:r>
        <w:rPr>
          <w:noProof/>
          <w:color w:val="000000"/>
        </w:rPr>
        <w:t>.</w:t>
      </w:r>
      <w:r w:rsidRPr="00EE2F58">
        <w:rPr>
          <w:noProof/>
          <w:color w:val="000000"/>
        </w:rPr>
        <w:t>H.</w:t>
      </w:r>
      <w:r>
        <w:rPr>
          <w:noProof/>
          <w:color w:val="000000"/>
        </w:rPr>
        <w:t xml:space="preserve"> Trudel,</w:t>
      </w:r>
      <w:r w:rsidRPr="00EE2F58">
        <w:rPr>
          <w:noProof/>
          <w:color w:val="000000"/>
        </w:rPr>
        <w:t>G</w:t>
      </w:r>
      <w:r>
        <w:rPr>
          <w:noProof/>
          <w:color w:val="000000"/>
        </w:rPr>
        <w:t xml:space="preserve">. </w:t>
      </w:r>
      <w:r w:rsidRPr="00EE2F58">
        <w:rPr>
          <w:noProof/>
          <w:color w:val="000000"/>
        </w:rPr>
        <w:t>Uhthoff,</w:t>
      </w:r>
      <w:r>
        <w:rPr>
          <w:noProof/>
          <w:color w:val="000000"/>
        </w:rPr>
        <w:t>H.</w:t>
      </w:r>
      <w:r w:rsidRPr="00EE2F58">
        <w:rPr>
          <w:noProof/>
          <w:color w:val="000000"/>
        </w:rPr>
        <w:t xml:space="preserve"> </w:t>
      </w:r>
      <w:r>
        <w:rPr>
          <w:noProof/>
          <w:color w:val="000000"/>
        </w:rPr>
        <w:t xml:space="preserve"> 2002.  </w:t>
      </w:r>
      <w:r w:rsidRPr="00EE2F58">
        <w:rPr>
          <w:noProof/>
          <w:color w:val="000000"/>
        </w:rPr>
        <w:t>Review of Growth Plate Closure Compared with Age at Sexual Maturity and</w:t>
      </w:r>
      <w:r>
        <w:rPr>
          <w:noProof/>
          <w:color w:val="000000"/>
        </w:rPr>
        <w:t xml:space="preserve"> Lifespan in Laboratory Animals.  </w:t>
      </w:r>
      <w:r w:rsidRPr="00EE2F58">
        <w:rPr>
          <w:i/>
          <w:noProof/>
          <w:color w:val="000000"/>
        </w:rPr>
        <w:t>Journal of the American Association for Laboratory Animal Science</w:t>
      </w:r>
      <w:r>
        <w:rPr>
          <w:noProof/>
          <w:color w:val="000000"/>
        </w:rPr>
        <w:t xml:space="preserve"> 41(5)</w:t>
      </w:r>
      <w:r w:rsidR="0094633F">
        <w:rPr>
          <w:noProof/>
          <w:color w:val="000000"/>
        </w:rPr>
        <w:t xml:space="preserve">: </w:t>
      </w:r>
      <w:r w:rsidRPr="00EE2F58">
        <w:rPr>
          <w:noProof/>
          <w:color w:val="000000"/>
        </w:rPr>
        <w:t>21-26</w:t>
      </w:r>
      <w:r w:rsidR="0094633F">
        <w:rPr>
          <w:noProof/>
          <w:color w:val="000000"/>
        </w:rPr>
        <w:t>.</w:t>
      </w:r>
    </w:p>
    <w:p w:rsidR="00A35CA0" w:rsidRDefault="00CC3C93" w:rsidP="00CA5FBB">
      <w:pPr>
        <w:pStyle w:val="ListParagraph"/>
        <w:spacing w:before="120" w:line="240" w:lineRule="auto"/>
        <w:ind w:left="0"/>
        <w:jc w:val="left"/>
        <w:rPr>
          <w:noProof/>
        </w:rPr>
      </w:pPr>
      <w:r w:rsidRPr="00195366">
        <w:rPr>
          <w:noProof/>
        </w:rPr>
        <w:t>Kimura,</w:t>
      </w:r>
      <w:r>
        <w:rPr>
          <w:noProof/>
        </w:rPr>
        <w:t xml:space="preserve"> T.</w:t>
      </w:r>
      <w:r w:rsidRPr="00195366">
        <w:rPr>
          <w:noProof/>
        </w:rPr>
        <w:t xml:space="preserve"> </w:t>
      </w:r>
      <w:r>
        <w:rPr>
          <w:noProof/>
        </w:rPr>
        <w:t xml:space="preserve"> </w:t>
      </w:r>
      <w:r w:rsidRPr="00195366">
        <w:rPr>
          <w:noProof/>
        </w:rPr>
        <w:t>Hamada</w:t>
      </w:r>
      <w:r>
        <w:rPr>
          <w:noProof/>
        </w:rPr>
        <w:t xml:space="preserve">, Y.  1996.  </w:t>
      </w:r>
      <w:r w:rsidRPr="00195366">
        <w:rPr>
          <w:noProof/>
        </w:rPr>
        <w:t>Growth of wild and laboratory born chimpanzees</w:t>
      </w:r>
      <w:r>
        <w:rPr>
          <w:noProof/>
        </w:rPr>
        <w:t xml:space="preserve">.  </w:t>
      </w:r>
      <w:r w:rsidRPr="00195366">
        <w:rPr>
          <w:i/>
          <w:noProof/>
        </w:rPr>
        <w:t>Primates</w:t>
      </w:r>
      <w:r>
        <w:rPr>
          <w:noProof/>
        </w:rPr>
        <w:t xml:space="preserve"> </w:t>
      </w:r>
      <w:r w:rsidRPr="00195366">
        <w:rPr>
          <w:noProof/>
        </w:rPr>
        <w:t>37</w:t>
      </w:r>
      <w:r>
        <w:rPr>
          <w:noProof/>
        </w:rPr>
        <w:t>(</w:t>
      </w:r>
      <w:r w:rsidRPr="00195366">
        <w:rPr>
          <w:noProof/>
        </w:rPr>
        <w:t>3</w:t>
      </w:r>
      <w:r>
        <w:rPr>
          <w:noProof/>
        </w:rPr>
        <w:t>):</w:t>
      </w:r>
      <w:r w:rsidRPr="00195366">
        <w:rPr>
          <w:noProof/>
        </w:rPr>
        <w:t xml:space="preserve"> 237-251</w:t>
      </w:r>
      <w:r w:rsidR="00346789">
        <w:rPr>
          <w:noProof/>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noProof/>
          <w:color w:val="000000"/>
        </w:rPr>
        <w:t xml:space="preserve">King, S.J.  2004.  Relative timing of ontogenetic events in primates.  </w:t>
      </w:r>
      <w:r w:rsidRPr="00667B89">
        <w:rPr>
          <w:rFonts w:asciiTheme="majorBidi" w:hAnsiTheme="majorBidi" w:cstheme="majorBidi"/>
          <w:i/>
          <w:noProof/>
          <w:color w:val="000000"/>
        </w:rPr>
        <w:t>Journal of Zoology</w:t>
      </w:r>
      <w:r w:rsidRPr="00667B89">
        <w:rPr>
          <w:rFonts w:asciiTheme="majorBidi" w:hAnsiTheme="majorBidi" w:cstheme="majorBidi"/>
          <w:noProof/>
          <w:color w:val="000000"/>
        </w:rPr>
        <w:t xml:space="preserve"> 264:3: 267-280</w:t>
      </w:r>
      <w:r w:rsidR="00346789">
        <w:rPr>
          <w:rFonts w:asciiTheme="majorBidi" w:hAnsiTheme="majorBidi" w:cstheme="majorBidi"/>
          <w:noProof/>
          <w:color w:val="000000"/>
        </w:rPr>
        <w:t>.</w:t>
      </w:r>
    </w:p>
    <w:p w:rsidR="00A35CA0" w:rsidRDefault="00CC3C93" w:rsidP="00CA5FBB">
      <w:pPr>
        <w:spacing w:before="120" w:line="240" w:lineRule="auto"/>
        <w:jc w:val="left"/>
        <w:rPr>
          <w:noProof/>
          <w:color w:val="000000" w:themeColor="text1"/>
        </w:rPr>
      </w:pPr>
      <w:r w:rsidRPr="00B170AC">
        <w:rPr>
          <w:noProof/>
          <w:color w:val="000000" w:themeColor="text1"/>
        </w:rPr>
        <w:t>Kinzey, W.G.</w:t>
      </w:r>
      <w:r>
        <w:rPr>
          <w:noProof/>
          <w:color w:val="000000" w:themeColor="text1"/>
        </w:rPr>
        <w:t xml:space="preserve">  1984.  </w:t>
      </w:r>
      <w:r w:rsidRPr="00B170AC">
        <w:rPr>
          <w:noProof/>
          <w:color w:val="000000" w:themeColor="text1"/>
        </w:rPr>
        <w:t xml:space="preserve">The dentition of the pygmy chimpanzee, </w:t>
      </w:r>
      <w:r w:rsidRPr="00B170AC">
        <w:rPr>
          <w:i/>
          <w:noProof/>
          <w:color w:val="000000" w:themeColor="text1"/>
        </w:rPr>
        <w:t>Pan paniscus</w:t>
      </w:r>
      <w:r>
        <w:rPr>
          <w:noProof/>
          <w:color w:val="000000" w:themeColor="text1"/>
        </w:rPr>
        <w:t xml:space="preserve">.  In </w:t>
      </w:r>
      <w:r>
        <w:rPr>
          <w:i/>
          <w:noProof/>
          <w:color w:val="000000" w:themeColor="text1"/>
        </w:rPr>
        <w:t xml:space="preserve">The Pygmy </w:t>
      </w:r>
      <w:r w:rsidRPr="00157B90">
        <w:rPr>
          <w:noProof/>
          <w:color w:val="000000" w:themeColor="text1"/>
        </w:rPr>
        <w:t>Chimpanzee</w:t>
      </w:r>
      <w:r>
        <w:rPr>
          <w:noProof/>
          <w:color w:val="000000" w:themeColor="text1"/>
        </w:rPr>
        <w:t xml:space="preserve"> Susman, R.L. ed.  </w:t>
      </w:r>
      <w:r w:rsidRPr="00157B90">
        <w:rPr>
          <w:noProof/>
          <w:color w:val="000000" w:themeColor="text1"/>
        </w:rPr>
        <w:t>Plenum</w:t>
      </w:r>
      <w:r>
        <w:rPr>
          <w:noProof/>
          <w:color w:val="000000" w:themeColor="text1"/>
        </w:rPr>
        <w:t xml:space="preserve"> Press, New York</w:t>
      </w:r>
      <w:r w:rsidRPr="00B170AC">
        <w:rPr>
          <w:noProof/>
          <w:color w:val="000000" w:themeColor="text1"/>
        </w:rPr>
        <w:t xml:space="preserve"> pp. 65–88.</w:t>
      </w:r>
    </w:p>
    <w:p w:rsidR="00A35CA0" w:rsidRDefault="00CC3C93" w:rsidP="00CA5FBB">
      <w:pPr>
        <w:spacing w:before="120" w:line="240" w:lineRule="auto"/>
        <w:jc w:val="left"/>
        <w:rPr>
          <w:noProof/>
          <w:color w:val="000000"/>
        </w:rPr>
      </w:pPr>
      <w:r w:rsidRPr="004F79F3">
        <w:rPr>
          <w:noProof/>
          <w:color w:val="000000"/>
        </w:rPr>
        <w:t>Kinzey</w:t>
      </w:r>
      <w:r>
        <w:rPr>
          <w:noProof/>
          <w:color w:val="000000"/>
        </w:rPr>
        <w:t xml:space="preserve">, W.G.  1992.  </w:t>
      </w:r>
      <w:r w:rsidRPr="004F79F3">
        <w:rPr>
          <w:noProof/>
          <w:color w:val="000000"/>
        </w:rPr>
        <w:t>Dietary and dental</w:t>
      </w:r>
      <w:r>
        <w:rPr>
          <w:noProof/>
          <w:color w:val="000000"/>
        </w:rPr>
        <w:t xml:space="preserve"> adaptations in the Pitheciinae.  </w:t>
      </w:r>
      <w:r w:rsidRPr="004F79F3">
        <w:rPr>
          <w:i/>
          <w:noProof/>
          <w:color w:val="000000"/>
        </w:rPr>
        <w:t>American Journal of Physical Anthropology</w:t>
      </w:r>
      <w:r w:rsidRPr="004F79F3">
        <w:rPr>
          <w:noProof/>
          <w:color w:val="000000"/>
        </w:rPr>
        <w:t xml:space="preserve"> 88</w:t>
      </w:r>
      <w:r>
        <w:rPr>
          <w:noProof/>
          <w:color w:val="000000"/>
        </w:rPr>
        <w:t>(</w:t>
      </w:r>
      <w:r w:rsidRPr="004F79F3">
        <w:rPr>
          <w:noProof/>
          <w:color w:val="000000"/>
        </w:rPr>
        <w:t>4</w:t>
      </w:r>
      <w:r>
        <w:rPr>
          <w:noProof/>
          <w:color w:val="000000"/>
        </w:rPr>
        <w:t>):</w:t>
      </w:r>
      <w:r w:rsidRPr="004F79F3">
        <w:rPr>
          <w:noProof/>
          <w:color w:val="000000"/>
        </w:rPr>
        <w:t xml:space="preserve"> 499–514</w:t>
      </w:r>
      <w:r w:rsidR="00346789">
        <w:rPr>
          <w:noProof/>
          <w:color w:val="000000"/>
        </w:rPr>
        <w:t>.</w:t>
      </w:r>
    </w:p>
    <w:p w:rsidR="00A35CA0" w:rsidRDefault="00CC3C93" w:rsidP="00CA5FBB">
      <w:pPr>
        <w:pStyle w:val="ListParagraph"/>
        <w:spacing w:before="120" w:line="240" w:lineRule="auto"/>
        <w:ind w:left="0"/>
        <w:jc w:val="left"/>
        <w:rPr>
          <w:noProof/>
        </w:rPr>
      </w:pPr>
      <w:r>
        <w:rPr>
          <w:noProof/>
        </w:rPr>
        <w:t xml:space="preserve">Kinsey, W.G.  1997.  </w:t>
      </w:r>
      <w:r>
        <w:rPr>
          <w:i/>
          <w:noProof/>
        </w:rPr>
        <w:t>New World Primates: Ecology, Evolution, and Behaviour.</w:t>
      </w:r>
      <w:r>
        <w:rPr>
          <w:noProof/>
        </w:rPr>
        <w:t xml:space="preserve">  Kinsey, W.G. ed.  Walter de Gruyter</w:t>
      </w:r>
      <w:r w:rsidR="006F2C41">
        <w:rPr>
          <w:noProof/>
        </w:rPr>
        <w:t>:</w:t>
      </w:r>
      <w:r>
        <w:rPr>
          <w:noProof/>
        </w:rPr>
        <w:t xml:space="preserve"> New York.</w:t>
      </w:r>
    </w:p>
    <w:p w:rsidR="00A35CA0" w:rsidRPr="00CA5FBB" w:rsidRDefault="00CC3C93" w:rsidP="00CA5FBB">
      <w:pPr>
        <w:spacing w:before="120" w:line="240" w:lineRule="auto"/>
        <w:jc w:val="left"/>
        <w:rPr>
          <w:color w:val="000000"/>
          <w:shd w:val="clear" w:color="auto" w:fill="FFFFFF"/>
        </w:rPr>
      </w:pPr>
      <w:r>
        <w:rPr>
          <w:bCs/>
          <w:color w:val="000000"/>
          <w:shd w:val="clear" w:color="auto" w:fill="FFFFFF"/>
        </w:rPr>
        <w:lastRenderedPageBreak/>
        <w:t xml:space="preserve">Kirk, E.C.  Simons, E.L.  2001.  </w:t>
      </w:r>
      <w:r w:rsidRPr="003D4577">
        <w:rPr>
          <w:bCs/>
          <w:color w:val="000000"/>
          <w:shd w:val="clear" w:color="auto" w:fill="FFFFFF"/>
        </w:rPr>
        <w:t>Diets of fossil primates from the Fayum Depression of Egypt: a quantitative analysis of molar shearing.</w:t>
      </w:r>
      <w:r w:rsidRPr="003D4577">
        <w:rPr>
          <w:b/>
          <w:bCs/>
          <w:color w:val="000000"/>
          <w:shd w:val="clear" w:color="auto" w:fill="FFFFFF"/>
        </w:rPr>
        <w:t xml:space="preserve">  </w:t>
      </w:r>
      <w:r w:rsidR="008943E4" w:rsidRPr="00CA5FBB">
        <w:rPr>
          <w:rStyle w:val="Strong"/>
          <w:b w:val="0"/>
          <w:i/>
          <w:color w:val="000000"/>
          <w:shd w:val="clear" w:color="auto" w:fill="FFFFFF"/>
        </w:rPr>
        <w:t>Journal of Human Evolution</w:t>
      </w:r>
      <w:r w:rsidR="008943E4" w:rsidRPr="00CA5FBB">
        <w:rPr>
          <w:rStyle w:val="Strong"/>
          <w:b w:val="0"/>
          <w:color w:val="000000"/>
          <w:shd w:val="clear" w:color="auto" w:fill="FFFFFF"/>
        </w:rPr>
        <w:t xml:space="preserve"> 40(3): 203-229</w:t>
      </w:r>
      <w:r w:rsidR="00C04822">
        <w:rPr>
          <w:rStyle w:val="Strong"/>
          <w:b w:val="0"/>
          <w:color w:val="000000"/>
          <w:shd w:val="clear" w:color="auto" w:fill="FFFFFF"/>
        </w:rPr>
        <w:t>.</w:t>
      </w:r>
    </w:p>
    <w:p w:rsidR="00A35CA0" w:rsidRDefault="00CC3C93" w:rsidP="00CA5FBB">
      <w:pPr>
        <w:tabs>
          <w:tab w:val="left" w:pos="360"/>
        </w:tabs>
        <w:spacing w:before="120" w:line="240" w:lineRule="auto"/>
        <w:jc w:val="left"/>
        <w:rPr>
          <w:rFonts w:asciiTheme="majorBidi" w:hAnsiTheme="majorBidi" w:cstheme="majorBidi"/>
        </w:rPr>
      </w:pPr>
      <w:r w:rsidRPr="00667B89">
        <w:rPr>
          <w:rFonts w:asciiTheme="majorBidi" w:hAnsiTheme="majorBidi" w:cstheme="majorBidi"/>
        </w:rPr>
        <w:t xml:space="preserve">Klingenberg, C.P.  1998.  Heterochrony and allometry: the analysis of evolutionary change in ontogeny.  </w:t>
      </w:r>
      <w:r w:rsidRPr="00667B89">
        <w:rPr>
          <w:rFonts w:asciiTheme="majorBidi" w:hAnsiTheme="majorBidi" w:cstheme="majorBidi"/>
          <w:i/>
        </w:rPr>
        <w:t>Biological Reviews of the Cambridge Philosophical Society</w:t>
      </w:r>
      <w:r w:rsidRPr="00667B89">
        <w:rPr>
          <w:rFonts w:asciiTheme="majorBidi" w:hAnsiTheme="majorBidi" w:cstheme="majorBidi"/>
        </w:rPr>
        <w:t xml:space="preserve"> 73(1): 79-123</w:t>
      </w:r>
      <w:r w:rsidR="00C04822">
        <w:rPr>
          <w:rFonts w:asciiTheme="majorBidi" w:hAnsiTheme="majorBidi" w:cstheme="majorBidi"/>
        </w:rPr>
        <w:t>.</w:t>
      </w:r>
    </w:p>
    <w:p w:rsidR="00A35CA0" w:rsidRDefault="00D75C79" w:rsidP="00CA5FBB">
      <w:pPr>
        <w:autoSpaceDE w:val="0"/>
        <w:autoSpaceDN w:val="0"/>
        <w:adjustRightInd w:val="0"/>
        <w:spacing w:before="120" w:line="240" w:lineRule="auto"/>
        <w:jc w:val="left"/>
        <w:rPr>
          <w:rFonts w:asciiTheme="majorBidi" w:hAnsiTheme="majorBidi" w:cstheme="majorBidi"/>
          <w:color w:val="000000"/>
        </w:rPr>
      </w:pPr>
      <w:r w:rsidRPr="00D75C79">
        <w:rPr>
          <w:rFonts w:asciiTheme="majorBidi" w:hAnsiTheme="majorBidi" w:cstheme="majorBidi"/>
          <w:color w:val="000000"/>
        </w:rPr>
        <w:t xml:space="preserve">Klingenberg, C.P.  McIntyre, G.S.  1998.  Geometric morphometrics of developmental instability: analyzing patterns of fluctuating asymmetry with Procrustes methods.  </w:t>
      </w:r>
      <w:r w:rsidR="008943E4" w:rsidRPr="00CA5FBB">
        <w:rPr>
          <w:rFonts w:asciiTheme="majorBidi" w:hAnsiTheme="majorBidi" w:cstheme="majorBidi"/>
          <w:i/>
          <w:color w:val="000000"/>
        </w:rPr>
        <w:t>Evolution</w:t>
      </w:r>
      <w:r w:rsidRPr="00D75C79">
        <w:rPr>
          <w:rFonts w:asciiTheme="majorBidi" w:hAnsiTheme="majorBidi" w:cstheme="majorBidi"/>
          <w:color w:val="000000"/>
        </w:rPr>
        <w:t xml:space="preserve"> 52(5): 1363-1375</w:t>
      </w:r>
      <w:r w:rsidR="00C04822">
        <w:rPr>
          <w:rFonts w:asciiTheme="majorBidi" w:hAnsiTheme="majorBidi" w:cstheme="majorBidi"/>
          <w:color w:val="000000"/>
        </w:rPr>
        <w:t>.</w:t>
      </w:r>
    </w:p>
    <w:p w:rsidR="00A35CA0" w:rsidRDefault="00CC3C93" w:rsidP="00CA5FBB">
      <w:pPr>
        <w:autoSpaceDE w:val="0"/>
        <w:autoSpaceDN w:val="0"/>
        <w:adjustRightInd w:val="0"/>
        <w:spacing w:before="120" w:line="240" w:lineRule="auto"/>
        <w:jc w:val="left"/>
        <w:rPr>
          <w:rFonts w:asciiTheme="majorBidi" w:hAnsiTheme="majorBidi" w:cstheme="majorBidi"/>
          <w:color w:val="000000"/>
        </w:rPr>
      </w:pPr>
      <w:proofErr w:type="gramStart"/>
      <w:r w:rsidRPr="00667B89">
        <w:rPr>
          <w:rFonts w:asciiTheme="majorBidi" w:hAnsiTheme="majorBidi" w:cstheme="majorBidi"/>
          <w:color w:val="000000"/>
        </w:rPr>
        <w:t>Knight, R.R.</w:t>
      </w:r>
      <w:proofErr w:type="gramEnd"/>
      <w:r w:rsidRPr="00667B89">
        <w:rPr>
          <w:rFonts w:asciiTheme="majorBidi" w:hAnsiTheme="majorBidi" w:cstheme="majorBidi"/>
          <w:color w:val="000000"/>
        </w:rPr>
        <w:t xml:space="preserve">  1966.  Bone characteristics associated with aging in elk. </w:t>
      </w:r>
      <w:r w:rsidRPr="00667B89">
        <w:rPr>
          <w:rFonts w:asciiTheme="majorBidi" w:hAnsiTheme="majorBidi" w:cstheme="majorBidi"/>
          <w:i/>
          <w:color w:val="000000"/>
        </w:rPr>
        <w:t>Journal of Wildlife Management</w:t>
      </w:r>
      <w:r w:rsidRPr="00667B89">
        <w:rPr>
          <w:rFonts w:asciiTheme="majorBidi" w:hAnsiTheme="majorBidi" w:cstheme="majorBidi"/>
          <w:color w:val="000000"/>
        </w:rPr>
        <w:t xml:space="preserve"> 30</w:t>
      </w:r>
      <w:r w:rsidR="00C04822">
        <w:rPr>
          <w:rFonts w:asciiTheme="majorBidi" w:hAnsiTheme="majorBidi" w:cstheme="majorBidi"/>
          <w:color w:val="000000"/>
        </w:rPr>
        <w:t>(2)</w:t>
      </w:r>
      <w:r w:rsidRPr="00667B89">
        <w:rPr>
          <w:rFonts w:asciiTheme="majorBidi" w:hAnsiTheme="majorBidi" w:cstheme="majorBidi"/>
          <w:color w:val="000000"/>
        </w:rPr>
        <w:t>:</w:t>
      </w:r>
      <w:r w:rsidR="00C04822">
        <w:rPr>
          <w:rFonts w:asciiTheme="majorBidi" w:hAnsiTheme="majorBidi" w:cstheme="majorBidi"/>
          <w:color w:val="000000"/>
        </w:rPr>
        <w:t xml:space="preserve"> </w:t>
      </w:r>
      <w:r w:rsidRPr="00667B89">
        <w:rPr>
          <w:rFonts w:asciiTheme="majorBidi" w:hAnsiTheme="majorBidi" w:cstheme="majorBidi"/>
          <w:color w:val="000000"/>
        </w:rPr>
        <w:t>369-374</w:t>
      </w:r>
      <w:r w:rsidR="00C04822">
        <w:rPr>
          <w:rFonts w:asciiTheme="majorBidi" w:hAnsiTheme="majorBidi" w:cstheme="majorBidi"/>
          <w:color w:val="000000"/>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sidRPr="00667B89">
        <w:rPr>
          <w:rFonts w:asciiTheme="majorBidi" w:hAnsiTheme="majorBidi" w:cstheme="majorBidi"/>
          <w:noProof/>
          <w:color w:val="000000"/>
        </w:rPr>
        <w:t xml:space="preserve">Koch, W.  1935.  The age order of epiphyseal union in the skeleton of the European bison (bos bonasus L.)  </w:t>
      </w:r>
      <w:r w:rsidRPr="00667B89">
        <w:rPr>
          <w:rFonts w:asciiTheme="majorBidi" w:hAnsiTheme="majorBidi" w:cstheme="majorBidi"/>
          <w:i/>
          <w:noProof/>
          <w:color w:val="000000"/>
        </w:rPr>
        <w:t>The Anatomical Record</w:t>
      </w:r>
      <w:r w:rsidRPr="00667B89">
        <w:rPr>
          <w:rFonts w:asciiTheme="majorBidi" w:hAnsiTheme="majorBidi" w:cstheme="majorBidi"/>
          <w:noProof/>
          <w:color w:val="000000"/>
        </w:rPr>
        <w:t xml:space="preserve"> 61</w:t>
      </w:r>
      <w:r w:rsidR="0098370E">
        <w:rPr>
          <w:rFonts w:asciiTheme="majorBidi" w:hAnsiTheme="majorBidi" w:cstheme="majorBidi"/>
          <w:noProof/>
          <w:color w:val="000000"/>
        </w:rPr>
        <w:t>(</w:t>
      </w:r>
      <w:r w:rsidRPr="00667B89">
        <w:rPr>
          <w:rFonts w:asciiTheme="majorBidi" w:hAnsiTheme="majorBidi" w:cstheme="majorBidi"/>
          <w:noProof/>
          <w:color w:val="000000"/>
        </w:rPr>
        <w:t>3</w:t>
      </w:r>
      <w:r w:rsidR="0098370E">
        <w:rPr>
          <w:rFonts w:asciiTheme="majorBidi" w:hAnsiTheme="majorBidi" w:cstheme="majorBidi"/>
          <w:noProof/>
          <w:color w:val="000000"/>
        </w:rPr>
        <w:t>)</w:t>
      </w:r>
      <w:r w:rsidRPr="00667B89">
        <w:rPr>
          <w:rFonts w:asciiTheme="majorBidi" w:hAnsiTheme="majorBidi" w:cstheme="majorBidi"/>
          <w:noProof/>
          <w:color w:val="000000"/>
        </w:rPr>
        <w:t>: 371-376</w:t>
      </w:r>
      <w:r w:rsidR="0098370E">
        <w:rPr>
          <w:rFonts w:asciiTheme="majorBidi" w:hAnsiTheme="majorBidi" w:cstheme="majorBidi"/>
          <w:noProof/>
          <w:color w:val="000000"/>
        </w:rPr>
        <w:t>.</w:t>
      </w:r>
    </w:p>
    <w:p w:rsidR="00A35CA0" w:rsidRDefault="00CC3C93" w:rsidP="00CA5FBB">
      <w:pPr>
        <w:spacing w:before="120" w:line="240" w:lineRule="auto"/>
        <w:jc w:val="left"/>
        <w:rPr>
          <w:rFonts w:asciiTheme="majorBidi" w:hAnsiTheme="majorBidi" w:cstheme="majorBidi"/>
          <w:lang w:val="en-CA"/>
        </w:rPr>
      </w:pPr>
      <w:proofErr w:type="gramStart"/>
      <w:r w:rsidRPr="00C05045">
        <w:rPr>
          <w:rFonts w:asciiTheme="majorBidi" w:hAnsiTheme="majorBidi" w:cstheme="majorBidi"/>
          <w:lang w:val="en-CA"/>
        </w:rPr>
        <w:t>Koshy</w:t>
      </w:r>
      <w:r>
        <w:rPr>
          <w:rFonts w:asciiTheme="majorBidi" w:hAnsiTheme="majorBidi" w:cstheme="majorBidi"/>
          <w:lang w:val="en-CA"/>
        </w:rPr>
        <w:t>,</w:t>
      </w:r>
      <w:r w:rsidRPr="00C05045">
        <w:rPr>
          <w:rFonts w:asciiTheme="majorBidi" w:hAnsiTheme="majorBidi" w:cstheme="majorBidi"/>
          <w:lang w:val="en-CA"/>
        </w:rPr>
        <w:t xml:space="preserve"> S</w:t>
      </w:r>
      <w:r>
        <w:rPr>
          <w:rFonts w:asciiTheme="majorBidi" w:hAnsiTheme="majorBidi" w:cstheme="majorBidi"/>
          <w:lang w:val="en-CA"/>
        </w:rPr>
        <w:t>.</w:t>
      </w:r>
      <w:proofErr w:type="gramEnd"/>
      <w:r w:rsidRPr="00C05045">
        <w:rPr>
          <w:rFonts w:asciiTheme="majorBidi" w:hAnsiTheme="majorBidi" w:cstheme="majorBidi"/>
          <w:lang w:val="en-CA"/>
        </w:rPr>
        <w:t xml:space="preserve"> </w:t>
      </w:r>
      <w:r>
        <w:rPr>
          <w:rFonts w:asciiTheme="majorBidi" w:hAnsiTheme="majorBidi" w:cstheme="majorBidi"/>
          <w:lang w:val="en-CA"/>
        </w:rPr>
        <w:t xml:space="preserve"> </w:t>
      </w:r>
      <w:proofErr w:type="gramStart"/>
      <w:r w:rsidRPr="00C05045">
        <w:rPr>
          <w:rFonts w:asciiTheme="majorBidi" w:hAnsiTheme="majorBidi" w:cstheme="majorBidi"/>
          <w:lang w:val="en-CA"/>
        </w:rPr>
        <w:t>Tandon</w:t>
      </w:r>
      <w:r>
        <w:rPr>
          <w:rFonts w:asciiTheme="majorBidi" w:hAnsiTheme="majorBidi" w:cstheme="majorBidi"/>
          <w:lang w:val="en-CA"/>
        </w:rPr>
        <w:t>,</w:t>
      </w:r>
      <w:r w:rsidRPr="00C05045">
        <w:rPr>
          <w:rFonts w:asciiTheme="majorBidi" w:hAnsiTheme="majorBidi" w:cstheme="majorBidi"/>
          <w:lang w:val="en-CA"/>
        </w:rPr>
        <w:t xml:space="preserve"> S</w:t>
      </w:r>
      <w:r>
        <w:rPr>
          <w:rFonts w:asciiTheme="majorBidi" w:hAnsiTheme="majorBidi" w:cstheme="majorBidi"/>
          <w:lang w:val="en-CA"/>
        </w:rPr>
        <w:t>.</w:t>
      </w:r>
      <w:proofErr w:type="gramEnd"/>
      <w:r>
        <w:rPr>
          <w:rFonts w:asciiTheme="majorBidi" w:hAnsiTheme="majorBidi" w:cstheme="majorBidi"/>
          <w:lang w:val="en-CA"/>
        </w:rPr>
        <w:t xml:space="preserve"> </w:t>
      </w:r>
      <w:r w:rsidRPr="00C05045">
        <w:rPr>
          <w:rFonts w:asciiTheme="majorBidi" w:hAnsiTheme="majorBidi" w:cstheme="majorBidi"/>
          <w:lang w:val="en-CA"/>
        </w:rPr>
        <w:t xml:space="preserve"> </w:t>
      </w:r>
      <w:r>
        <w:rPr>
          <w:rFonts w:asciiTheme="majorBidi" w:hAnsiTheme="majorBidi" w:cstheme="majorBidi"/>
          <w:lang w:val="en-CA"/>
        </w:rPr>
        <w:t xml:space="preserve">1998.  </w:t>
      </w:r>
      <w:r w:rsidRPr="00C05045">
        <w:rPr>
          <w:rFonts w:asciiTheme="majorBidi" w:hAnsiTheme="majorBidi" w:cstheme="majorBidi"/>
          <w:lang w:val="en-CA"/>
        </w:rPr>
        <w:t>Dental age assessment: the applicability of Demirjian's m</w:t>
      </w:r>
      <w:r>
        <w:rPr>
          <w:rFonts w:asciiTheme="majorBidi" w:hAnsiTheme="majorBidi" w:cstheme="majorBidi"/>
          <w:lang w:val="en-CA"/>
        </w:rPr>
        <w:t xml:space="preserve">ethod in south Indian children.  </w:t>
      </w:r>
      <w:r w:rsidRPr="00D617CE">
        <w:rPr>
          <w:rFonts w:asciiTheme="majorBidi" w:hAnsiTheme="majorBidi" w:cstheme="majorBidi"/>
          <w:i/>
          <w:lang w:val="en-CA"/>
        </w:rPr>
        <w:t>Forensic Science International</w:t>
      </w:r>
      <w:r w:rsidRPr="00C05045">
        <w:rPr>
          <w:rFonts w:asciiTheme="majorBidi" w:hAnsiTheme="majorBidi" w:cstheme="majorBidi"/>
          <w:lang w:val="en-CA"/>
        </w:rPr>
        <w:t xml:space="preserve"> </w:t>
      </w:r>
      <w:r>
        <w:rPr>
          <w:rFonts w:asciiTheme="majorBidi" w:hAnsiTheme="majorBidi" w:cstheme="majorBidi"/>
          <w:lang w:val="en-CA"/>
        </w:rPr>
        <w:t>94(1-2):</w:t>
      </w:r>
      <w:r w:rsidR="00D3541B">
        <w:rPr>
          <w:rFonts w:asciiTheme="majorBidi" w:hAnsiTheme="majorBidi" w:cstheme="majorBidi"/>
          <w:lang w:val="en-CA"/>
        </w:rPr>
        <w:t xml:space="preserve"> </w:t>
      </w:r>
      <w:r>
        <w:rPr>
          <w:rFonts w:asciiTheme="majorBidi" w:hAnsiTheme="majorBidi" w:cstheme="majorBidi"/>
          <w:lang w:val="en-CA"/>
        </w:rPr>
        <w:t>73-85</w:t>
      </w:r>
      <w:r w:rsidR="00D3541B">
        <w:rPr>
          <w:rFonts w:asciiTheme="majorBidi" w:hAnsiTheme="majorBidi" w:cstheme="majorBidi"/>
          <w:lang w:val="en-CA"/>
        </w:rPr>
        <w:t>.</w:t>
      </w:r>
    </w:p>
    <w:p w:rsidR="00A35CA0" w:rsidRDefault="00CC3C93" w:rsidP="00CA5FBB">
      <w:pPr>
        <w:spacing w:before="120" w:line="240" w:lineRule="auto"/>
        <w:jc w:val="left"/>
        <w:rPr>
          <w:rFonts w:asciiTheme="majorBidi" w:hAnsiTheme="majorBidi" w:cstheme="majorBidi"/>
          <w:color w:val="000000"/>
          <w:lang w:val="sv-SE"/>
        </w:rPr>
      </w:pPr>
      <w:r w:rsidRPr="00966A08">
        <w:rPr>
          <w:rFonts w:asciiTheme="majorBidi" w:hAnsiTheme="majorBidi" w:cstheme="majorBidi"/>
          <w:color w:val="000000"/>
          <w:lang w:val="sv-SE"/>
        </w:rPr>
        <w:t>K</w:t>
      </w:r>
      <w:r>
        <w:rPr>
          <w:rFonts w:asciiTheme="majorBidi" w:hAnsiTheme="majorBidi" w:cstheme="majorBidi"/>
          <w:color w:val="000000"/>
          <w:lang w:val="sv-SE"/>
        </w:rPr>
        <w:t>raemer</w:t>
      </w:r>
      <w:r w:rsidRPr="00966A08">
        <w:rPr>
          <w:rFonts w:asciiTheme="majorBidi" w:hAnsiTheme="majorBidi" w:cstheme="majorBidi"/>
          <w:color w:val="000000"/>
          <w:lang w:val="sv-SE"/>
        </w:rPr>
        <w:t>,</w:t>
      </w:r>
      <w:r>
        <w:rPr>
          <w:rFonts w:asciiTheme="majorBidi" w:hAnsiTheme="majorBidi" w:cstheme="majorBidi"/>
          <w:color w:val="000000"/>
          <w:lang w:val="sv-SE"/>
        </w:rPr>
        <w:t xml:space="preserve"> H.</w:t>
      </w:r>
      <w:r w:rsidRPr="00966A08">
        <w:rPr>
          <w:rFonts w:asciiTheme="majorBidi" w:hAnsiTheme="majorBidi" w:cstheme="majorBidi"/>
          <w:color w:val="000000"/>
          <w:lang w:val="sv-SE"/>
        </w:rPr>
        <w:t>C.</w:t>
      </w:r>
      <w:r>
        <w:rPr>
          <w:rFonts w:asciiTheme="majorBidi" w:hAnsiTheme="majorBidi" w:cstheme="majorBidi"/>
          <w:color w:val="000000"/>
          <w:lang w:val="sv-SE"/>
        </w:rPr>
        <w:t xml:space="preserve"> </w:t>
      </w:r>
      <w:r w:rsidRPr="00966A08">
        <w:rPr>
          <w:rFonts w:asciiTheme="majorBidi" w:hAnsiTheme="majorBidi" w:cstheme="majorBidi"/>
          <w:color w:val="000000"/>
          <w:lang w:val="sv-SE"/>
        </w:rPr>
        <w:t xml:space="preserve"> H</w:t>
      </w:r>
      <w:r>
        <w:rPr>
          <w:rFonts w:asciiTheme="majorBidi" w:hAnsiTheme="majorBidi" w:cstheme="majorBidi"/>
          <w:color w:val="000000"/>
          <w:lang w:val="sv-SE"/>
        </w:rPr>
        <w:t>orvat, J.</w:t>
      </w:r>
      <w:r w:rsidRPr="00966A08">
        <w:rPr>
          <w:rFonts w:asciiTheme="majorBidi" w:hAnsiTheme="majorBidi" w:cstheme="majorBidi"/>
          <w:color w:val="000000"/>
          <w:lang w:val="sv-SE"/>
        </w:rPr>
        <w:t>R.</w:t>
      </w:r>
      <w:r>
        <w:rPr>
          <w:rFonts w:asciiTheme="majorBidi" w:hAnsiTheme="majorBidi" w:cstheme="majorBidi"/>
          <w:color w:val="000000"/>
          <w:lang w:val="sv-SE"/>
        </w:rPr>
        <w:t xml:space="preserve"> </w:t>
      </w:r>
      <w:r w:rsidRPr="00966A08">
        <w:rPr>
          <w:rFonts w:asciiTheme="majorBidi" w:hAnsiTheme="majorBidi" w:cstheme="majorBidi"/>
          <w:color w:val="000000"/>
          <w:lang w:val="sv-SE"/>
        </w:rPr>
        <w:t xml:space="preserve"> D</w:t>
      </w:r>
      <w:r>
        <w:rPr>
          <w:rFonts w:asciiTheme="majorBidi" w:hAnsiTheme="majorBidi" w:cstheme="majorBidi"/>
          <w:color w:val="000000"/>
          <w:lang w:val="sv-SE"/>
        </w:rPr>
        <w:t>oering</w:t>
      </w:r>
      <w:r w:rsidRPr="00966A08">
        <w:rPr>
          <w:rFonts w:asciiTheme="majorBidi" w:hAnsiTheme="majorBidi" w:cstheme="majorBidi"/>
          <w:color w:val="000000"/>
          <w:lang w:val="sv-SE"/>
        </w:rPr>
        <w:t>, C.</w:t>
      </w:r>
      <w:r>
        <w:rPr>
          <w:rFonts w:asciiTheme="majorBidi" w:hAnsiTheme="majorBidi" w:cstheme="majorBidi"/>
          <w:color w:val="000000"/>
          <w:lang w:val="sv-SE"/>
        </w:rPr>
        <w:t xml:space="preserve"> </w:t>
      </w:r>
      <w:r w:rsidRPr="00966A08">
        <w:rPr>
          <w:rFonts w:asciiTheme="majorBidi" w:hAnsiTheme="majorBidi" w:cstheme="majorBidi"/>
          <w:color w:val="000000"/>
          <w:lang w:val="sv-SE"/>
        </w:rPr>
        <w:t xml:space="preserve"> McG</w:t>
      </w:r>
      <w:r>
        <w:rPr>
          <w:rFonts w:asciiTheme="majorBidi" w:hAnsiTheme="majorBidi" w:cstheme="majorBidi"/>
          <w:color w:val="000000"/>
          <w:lang w:val="sv-SE"/>
        </w:rPr>
        <w:t>innis, P.</w:t>
      </w:r>
      <w:r w:rsidRPr="00966A08">
        <w:rPr>
          <w:rFonts w:asciiTheme="majorBidi" w:hAnsiTheme="majorBidi" w:cstheme="majorBidi"/>
          <w:color w:val="000000"/>
          <w:lang w:val="sv-SE"/>
        </w:rPr>
        <w:t xml:space="preserve">R. </w:t>
      </w:r>
      <w:r>
        <w:rPr>
          <w:rFonts w:asciiTheme="majorBidi" w:hAnsiTheme="majorBidi" w:cstheme="majorBidi"/>
          <w:color w:val="000000"/>
          <w:lang w:val="sv-SE"/>
        </w:rPr>
        <w:t xml:space="preserve"> </w:t>
      </w:r>
      <w:r w:rsidRPr="00966A08">
        <w:rPr>
          <w:rFonts w:asciiTheme="majorBidi" w:hAnsiTheme="majorBidi" w:cstheme="majorBidi"/>
          <w:color w:val="000000"/>
          <w:lang w:val="sv-SE"/>
        </w:rPr>
        <w:t xml:space="preserve">1982. </w:t>
      </w:r>
      <w:r>
        <w:rPr>
          <w:rFonts w:asciiTheme="majorBidi" w:hAnsiTheme="majorBidi" w:cstheme="majorBidi"/>
          <w:color w:val="000000"/>
          <w:lang w:val="sv-SE"/>
        </w:rPr>
        <w:t xml:space="preserve"> Male chimpanzee development </w:t>
      </w:r>
      <w:r w:rsidRPr="00966A08">
        <w:rPr>
          <w:rFonts w:asciiTheme="majorBidi" w:hAnsiTheme="majorBidi" w:cstheme="majorBidi"/>
          <w:color w:val="000000"/>
          <w:lang w:val="sv-SE"/>
        </w:rPr>
        <w:t xml:space="preserve">focusing on adolescence: integration of behavioral with physiological changes. </w:t>
      </w:r>
      <w:r w:rsidRPr="00966A08">
        <w:rPr>
          <w:rFonts w:asciiTheme="majorBidi" w:hAnsiTheme="majorBidi" w:cstheme="majorBidi"/>
          <w:i/>
          <w:color w:val="000000"/>
          <w:lang w:val="sv-SE"/>
        </w:rPr>
        <w:t>Primates</w:t>
      </w:r>
      <w:r>
        <w:rPr>
          <w:rFonts w:asciiTheme="majorBidi" w:hAnsiTheme="majorBidi" w:cstheme="majorBidi"/>
          <w:color w:val="000000"/>
          <w:lang w:val="sv-SE"/>
        </w:rPr>
        <w:t xml:space="preserve"> 23</w:t>
      </w:r>
      <w:r w:rsidR="00176CC2">
        <w:rPr>
          <w:rFonts w:asciiTheme="majorBidi" w:hAnsiTheme="majorBidi" w:cstheme="majorBidi"/>
          <w:color w:val="000000"/>
          <w:lang w:val="sv-SE"/>
        </w:rPr>
        <w:t>(3)</w:t>
      </w:r>
      <w:r>
        <w:rPr>
          <w:rFonts w:asciiTheme="majorBidi" w:hAnsiTheme="majorBidi" w:cstheme="majorBidi"/>
          <w:color w:val="000000"/>
          <w:lang w:val="sv-SE"/>
        </w:rPr>
        <w:t xml:space="preserve">: </w:t>
      </w:r>
      <w:r w:rsidRPr="00966A08">
        <w:rPr>
          <w:rFonts w:asciiTheme="majorBidi" w:hAnsiTheme="majorBidi" w:cstheme="majorBidi"/>
          <w:color w:val="000000"/>
          <w:lang w:val="sv-SE"/>
        </w:rPr>
        <w:t>393</w:t>
      </w:r>
      <w:r w:rsidR="00176CC2">
        <w:rPr>
          <w:rFonts w:asciiTheme="majorBidi" w:hAnsiTheme="majorBidi" w:cstheme="majorBidi"/>
          <w:color w:val="000000"/>
          <w:lang w:val="sv-SE"/>
        </w:rPr>
        <w:t>-</w:t>
      </w:r>
      <w:r w:rsidRPr="00966A08">
        <w:rPr>
          <w:rFonts w:asciiTheme="majorBidi" w:hAnsiTheme="majorBidi" w:cstheme="majorBidi"/>
          <w:color w:val="000000"/>
          <w:lang w:val="sv-SE"/>
        </w:rPr>
        <w:t>405</w:t>
      </w:r>
      <w:r w:rsidR="00176CC2">
        <w:rPr>
          <w:rFonts w:asciiTheme="majorBidi" w:hAnsiTheme="majorBidi" w:cstheme="majorBidi"/>
          <w:color w:val="000000"/>
          <w:lang w:val="sv-SE"/>
        </w:rPr>
        <w:t>.</w:t>
      </w:r>
    </w:p>
    <w:p w:rsidR="00A35CA0" w:rsidRDefault="00CC3C93" w:rsidP="00CA5FBB">
      <w:pPr>
        <w:spacing w:before="120" w:line="240" w:lineRule="auto"/>
        <w:jc w:val="left"/>
        <w:rPr>
          <w:rFonts w:asciiTheme="majorBidi" w:hAnsiTheme="majorBidi" w:cstheme="majorBidi"/>
          <w:color w:val="000000"/>
          <w:lang w:val="en-CA"/>
        </w:rPr>
      </w:pPr>
      <w:r w:rsidRPr="00011C31">
        <w:rPr>
          <w:rFonts w:asciiTheme="majorBidi" w:hAnsiTheme="majorBidi" w:cstheme="majorBidi"/>
          <w:color w:val="000000"/>
          <w:lang w:val="sv-SE"/>
        </w:rPr>
        <w:t xml:space="preserve">Kumar, S.  Filipski, A.  Swarna, V.  </w:t>
      </w:r>
      <w:proofErr w:type="gramStart"/>
      <w:r w:rsidRPr="00667B89">
        <w:rPr>
          <w:rFonts w:asciiTheme="majorBidi" w:hAnsiTheme="majorBidi" w:cstheme="majorBidi"/>
          <w:color w:val="000000"/>
          <w:lang w:val="en-CA"/>
        </w:rPr>
        <w:t>Walker, A.</w:t>
      </w:r>
      <w:proofErr w:type="gramEnd"/>
      <w:r w:rsidRPr="00667B89">
        <w:rPr>
          <w:rFonts w:asciiTheme="majorBidi" w:hAnsiTheme="majorBidi" w:cstheme="majorBidi"/>
          <w:color w:val="000000"/>
          <w:lang w:val="en-CA"/>
        </w:rPr>
        <w:t xml:space="preserve">  </w:t>
      </w:r>
      <w:proofErr w:type="gramStart"/>
      <w:r w:rsidRPr="00667B89">
        <w:rPr>
          <w:rFonts w:asciiTheme="majorBidi" w:hAnsiTheme="majorBidi" w:cstheme="majorBidi"/>
          <w:color w:val="000000"/>
          <w:lang w:val="en-CA"/>
        </w:rPr>
        <w:t>Hedges, S.B.</w:t>
      </w:r>
      <w:proofErr w:type="gramEnd"/>
      <w:r w:rsidRPr="00667B89">
        <w:rPr>
          <w:rFonts w:asciiTheme="majorBidi" w:hAnsiTheme="majorBidi" w:cstheme="majorBidi"/>
          <w:color w:val="000000"/>
          <w:lang w:val="en-CA"/>
        </w:rPr>
        <w:t xml:space="preserve">  2005.  Placing confidence limits on the molecular age of the human-chimpanzee divergence.  </w:t>
      </w:r>
      <w:r w:rsidRPr="00667B89">
        <w:rPr>
          <w:rFonts w:asciiTheme="majorBidi" w:hAnsiTheme="majorBidi" w:cstheme="majorBidi"/>
          <w:i/>
          <w:color w:val="000000"/>
          <w:lang w:val="en-CA"/>
        </w:rPr>
        <w:t xml:space="preserve">Proceedings of the National Academy of Sciences </w:t>
      </w:r>
      <w:r w:rsidRPr="00667B89">
        <w:rPr>
          <w:rFonts w:asciiTheme="majorBidi" w:hAnsiTheme="majorBidi" w:cstheme="majorBidi"/>
          <w:color w:val="000000"/>
          <w:lang w:val="en-CA"/>
        </w:rPr>
        <w:t>102(52): 18842-18847</w:t>
      </w:r>
      <w:r w:rsidR="00236634">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 xml:space="preserve">Kuykendall, K.L.  Mahoney, C.J.  </w:t>
      </w:r>
      <w:proofErr w:type="gramStart"/>
      <w:r w:rsidRPr="00667B89">
        <w:rPr>
          <w:rFonts w:asciiTheme="majorBidi" w:hAnsiTheme="majorBidi" w:cstheme="majorBidi"/>
          <w:color w:val="000000"/>
          <w:lang w:val="en-CA"/>
        </w:rPr>
        <w:t>Conroy, G.C.</w:t>
      </w:r>
      <w:proofErr w:type="gramEnd"/>
      <w:r w:rsidRPr="00667B89">
        <w:rPr>
          <w:rFonts w:asciiTheme="majorBidi" w:hAnsiTheme="majorBidi" w:cstheme="majorBidi"/>
          <w:color w:val="000000"/>
          <w:lang w:val="en-CA"/>
        </w:rPr>
        <w:t xml:space="preserve">  1992.  Probit and Survival Analysis of Tooth Emergence Ages in a Mixed-Long</w:t>
      </w:r>
      <w:r w:rsidR="00236634">
        <w:rPr>
          <w:rFonts w:asciiTheme="majorBidi" w:hAnsiTheme="majorBidi" w:cstheme="majorBidi"/>
          <w:color w:val="000000"/>
          <w:lang w:val="en-CA"/>
        </w:rPr>
        <w:t>i</w:t>
      </w:r>
      <w:r w:rsidRPr="00667B89">
        <w:rPr>
          <w:rFonts w:asciiTheme="majorBidi" w:hAnsiTheme="majorBidi" w:cstheme="majorBidi"/>
          <w:color w:val="000000"/>
          <w:lang w:val="en-CA"/>
        </w:rPr>
        <w:t>tudinal Sample of Chimpanzees (</w:t>
      </w:r>
      <w:r w:rsidRPr="00667B89">
        <w:rPr>
          <w:rFonts w:asciiTheme="majorBidi" w:hAnsiTheme="majorBidi" w:cstheme="majorBidi"/>
          <w:i/>
          <w:color w:val="000000"/>
          <w:lang w:val="en-CA"/>
        </w:rPr>
        <w:t xml:space="preserve">Pan </w:t>
      </w:r>
      <w:proofErr w:type="gramStart"/>
      <w:r w:rsidRPr="00667B89">
        <w:rPr>
          <w:rFonts w:asciiTheme="majorBidi" w:hAnsiTheme="majorBidi" w:cstheme="majorBidi"/>
          <w:i/>
          <w:color w:val="000000"/>
          <w:lang w:val="en-CA"/>
        </w:rPr>
        <w:t>troglodytes</w:t>
      </w:r>
      <w:proofErr w:type="gramEnd"/>
      <w:r w:rsidRPr="00667B89">
        <w:rPr>
          <w:rFonts w:asciiTheme="majorBidi" w:hAnsiTheme="majorBidi" w:cstheme="majorBidi"/>
          <w:color w:val="000000"/>
          <w:lang w:val="en-CA"/>
        </w:rPr>
        <w:t xml:space="preserve">).  </w:t>
      </w:r>
      <w:r w:rsidRPr="00667B89">
        <w:rPr>
          <w:rFonts w:asciiTheme="majorBidi" w:hAnsiTheme="majorBidi" w:cstheme="majorBidi"/>
          <w:i/>
          <w:color w:val="000000"/>
          <w:lang w:val="en-CA"/>
        </w:rPr>
        <w:t>American Journal of Physical Anthropology</w:t>
      </w:r>
      <w:r>
        <w:rPr>
          <w:rFonts w:asciiTheme="majorBidi" w:hAnsiTheme="majorBidi" w:cstheme="majorBidi"/>
          <w:color w:val="000000"/>
          <w:lang w:val="en-CA"/>
        </w:rPr>
        <w:t xml:space="preserve"> 89</w:t>
      </w:r>
      <w:r w:rsidR="00236634">
        <w:rPr>
          <w:rFonts w:asciiTheme="majorBidi" w:hAnsiTheme="majorBidi" w:cstheme="majorBidi"/>
          <w:color w:val="000000"/>
          <w:lang w:val="en-CA"/>
        </w:rPr>
        <w:t>(3)</w:t>
      </w:r>
      <w:r w:rsidRPr="00667B89">
        <w:rPr>
          <w:rFonts w:asciiTheme="majorBidi" w:hAnsiTheme="majorBidi" w:cstheme="majorBidi"/>
          <w:color w:val="000000"/>
          <w:lang w:val="en-CA"/>
        </w:rPr>
        <w:t>:</w:t>
      </w:r>
      <w:r w:rsidR="00236634">
        <w:rPr>
          <w:rFonts w:asciiTheme="majorBidi" w:hAnsiTheme="majorBidi" w:cstheme="majorBidi"/>
          <w:color w:val="000000"/>
          <w:lang w:val="en-CA"/>
        </w:rPr>
        <w:t xml:space="preserve"> </w:t>
      </w:r>
      <w:r w:rsidRPr="00667B89">
        <w:rPr>
          <w:rFonts w:asciiTheme="majorBidi" w:hAnsiTheme="majorBidi" w:cstheme="majorBidi"/>
          <w:color w:val="000000"/>
          <w:lang w:val="en-CA"/>
        </w:rPr>
        <w:t>379-399</w:t>
      </w:r>
      <w:r w:rsidR="00236634">
        <w:rPr>
          <w:rFonts w:asciiTheme="majorBidi" w:hAnsiTheme="majorBidi" w:cstheme="majorBidi"/>
          <w:color w:val="000000"/>
          <w:lang w:val="en-CA"/>
        </w:rPr>
        <w:t>.</w:t>
      </w:r>
    </w:p>
    <w:p w:rsidR="00A35CA0" w:rsidRDefault="00CC3C93" w:rsidP="00CA5FBB">
      <w:pPr>
        <w:tabs>
          <w:tab w:val="left" w:pos="360"/>
        </w:tabs>
        <w:spacing w:before="120" w:line="240" w:lineRule="auto"/>
        <w:jc w:val="left"/>
        <w:rPr>
          <w:rFonts w:asciiTheme="majorBidi" w:hAnsiTheme="majorBidi" w:cstheme="majorBidi"/>
        </w:rPr>
      </w:pPr>
      <w:r w:rsidRPr="00667B89">
        <w:rPr>
          <w:rFonts w:asciiTheme="majorBidi" w:hAnsiTheme="majorBidi" w:cstheme="majorBidi"/>
        </w:rPr>
        <w:t>Kuykendall, K.  1996.  Dental Development in Chimpanzees (</w:t>
      </w:r>
      <w:r w:rsidRPr="00667B89">
        <w:rPr>
          <w:rFonts w:asciiTheme="majorBidi" w:hAnsiTheme="majorBidi" w:cstheme="majorBidi"/>
          <w:i/>
        </w:rPr>
        <w:t xml:space="preserve">Pan </w:t>
      </w:r>
      <w:proofErr w:type="gramStart"/>
      <w:r w:rsidRPr="00667B89">
        <w:rPr>
          <w:rFonts w:asciiTheme="majorBidi" w:hAnsiTheme="majorBidi" w:cstheme="majorBidi"/>
          <w:i/>
        </w:rPr>
        <w:t>troglodytes</w:t>
      </w:r>
      <w:proofErr w:type="gramEnd"/>
      <w:r w:rsidRPr="00667B89">
        <w:rPr>
          <w:rFonts w:asciiTheme="majorBidi" w:hAnsiTheme="majorBidi" w:cstheme="majorBidi"/>
        </w:rPr>
        <w:t xml:space="preserve">): The Timing of Tooth Calcification Stages.  </w:t>
      </w:r>
      <w:r w:rsidRPr="00667B89">
        <w:rPr>
          <w:rFonts w:asciiTheme="majorBidi" w:hAnsiTheme="majorBidi" w:cstheme="majorBidi"/>
          <w:i/>
        </w:rPr>
        <w:t>American Journal of Physical Anthropology</w:t>
      </w:r>
      <w:r w:rsidRPr="00667B89">
        <w:rPr>
          <w:rFonts w:asciiTheme="majorBidi" w:hAnsiTheme="majorBidi" w:cstheme="majorBidi"/>
        </w:rPr>
        <w:t xml:space="preserve"> 99</w:t>
      </w:r>
      <w:r>
        <w:rPr>
          <w:rFonts w:asciiTheme="majorBidi" w:hAnsiTheme="majorBidi" w:cstheme="majorBidi"/>
        </w:rPr>
        <w:t>(1)</w:t>
      </w:r>
      <w:r w:rsidRPr="00667B89">
        <w:rPr>
          <w:rFonts w:asciiTheme="majorBidi" w:hAnsiTheme="majorBidi" w:cstheme="majorBidi"/>
        </w:rPr>
        <w:t>:135-157</w:t>
      </w:r>
      <w:r w:rsidR="007635E5">
        <w:rPr>
          <w:rFonts w:asciiTheme="majorBidi" w:hAnsiTheme="majorBidi" w:cstheme="majorBidi"/>
        </w:rPr>
        <w:t>.</w:t>
      </w:r>
    </w:p>
    <w:p w:rsidR="00A35CA0" w:rsidRDefault="00CC3C93" w:rsidP="00CA5FBB">
      <w:pPr>
        <w:tabs>
          <w:tab w:val="left" w:pos="360"/>
        </w:tabs>
        <w:spacing w:before="120" w:line="240" w:lineRule="auto"/>
        <w:jc w:val="left"/>
        <w:rPr>
          <w:rFonts w:asciiTheme="majorBidi" w:hAnsiTheme="majorBidi" w:cstheme="majorBidi"/>
        </w:rPr>
      </w:pPr>
      <w:r w:rsidRPr="00667B89">
        <w:rPr>
          <w:rFonts w:asciiTheme="majorBidi" w:hAnsiTheme="majorBidi" w:cstheme="majorBidi"/>
        </w:rPr>
        <w:t xml:space="preserve">Kuykendall, K.  </w:t>
      </w:r>
      <w:proofErr w:type="gramStart"/>
      <w:r w:rsidRPr="00667B89">
        <w:rPr>
          <w:rFonts w:asciiTheme="majorBidi" w:hAnsiTheme="majorBidi" w:cstheme="majorBidi"/>
        </w:rPr>
        <w:t>Conroy, G.C.</w:t>
      </w:r>
      <w:proofErr w:type="gramEnd"/>
      <w:r w:rsidRPr="00667B89">
        <w:rPr>
          <w:rFonts w:asciiTheme="majorBidi" w:hAnsiTheme="majorBidi" w:cstheme="majorBidi"/>
        </w:rPr>
        <w:t xml:space="preserve">  1996.  Permanent Tooth Calcification in Chimpanzees (</w:t>
      </w:r>
      <w:r w:rsidRPr="00667B89">
        <w:rPr>
          <w:rFonts w:asciiTheme="majorBidi" w:hAnsiTheme="majorBidi" w:cstheme="majorBidi"/>
          <w:i/>
        </w:rPr>
        <w:t xml:space="preserve">Pan </w:t>
      </w:r>
      <w:proofErr w:type="gramStart"/>
      <w:r w:rsidRPr="00667B89">
        <w:rPr>
          <w:rFonts w:asciiTheme="majorBidi" w:hAnsiTheme="majorBidi" w:cstheme="majorBidi"/>
          <w:i/>
        </w:rPr>
        <w:t>troglodytes</w:t>
      </w:r>
      <w:proofErr w:type="gramEnd"/>
      <w:r w:rsidRPr="00667B89">
        <w:rPr>
          <w:rFonts w:asciiTheme="majorBidi" w:hAnsiTheme="majorBidi" w:cstheme="majorBidi"/>
        </w:rPr>
        <w:t xml:space="preserve">) Patterns and Polymorphisms.  </w:t>
      </w:r>
      <w:r w:rsidRPr="00667B89">
        <w:rPr>
          <w:rFonts w:asciiTheme="majorBidi" w:hAnsiTheme="majorBidi" w:cstheme="majorBidi"/>
          <w:i/>
        </w:rPr>
        <w:t>American Journal of Physical Anthropology</w:t>
      </w:r>
      <w:r w:rsidRPr="00667B89">
        <w:rPr>
          <w:rFonts w:asciiTheme="majorBidi" w:hAnsiTheme="majorBidi" w:cstheme="majorBidi"/>
        </w:rPr>
        <w:t xml:space="preserve"> 99</w:t>
      </w:r>
      <w:r w:rsidR="007635E5">
        <w:rPr>
          <w:rFonts w:asciiTheme="majorBidi" w:hAnsiTheme="majorBidi" w:cstheme="majorBidi"/>
        </w:rPr>
        <w:t>(1)</w:t>
      </w:r>
      <w:r w:rsidRPr="00667B89">
        <w:rPr>
          <w:rFonts w:asciiTheme="majorBidi" w:hAnsiTheme="majorBidi" w:cstheme="majorBidi"/>
        </w:rPr>
        <w:t>:</w:t>
      </w:r>
      <w:r w:rsidR="007635E5">
        <w:rPr>
          <w:rFonts w:asciiTheme="majorBidi" w:hAnsiTheme="majorBidi" w:cstheme="majorBidi"/>
        </w:rPr>
        <w:t xml:space="preserve"> </w:t>
      </w:r>
      <w:r w:rsidRPr="00667B89">
        <w:rPr>
          <w:rFonts w:asciiTheme="majorBidi" w:hAnsiTheme="majorBidi" w:cstheme="majorBidi"/>
        </w:rPr>
        <w:t>159-174</w:t>
      </w:r>
      <w:r w:rsidR="007635E5">
        <w:rPr>
          <w:rFonts w:asciiTheme="majorBidi" w:hAnsiTheme="majorBidi" w:cstheme="majorBidi"/>
        </w:rPr>
        <w:t>.</w:t>
      </w:r>
    </w:p>
    <w:p w:rsidR="00A35CA0" w:rsidRDefault="00CC3C93" w:rsidP="00CA5FBB">
      <w:pPr>
        <w:tabs>
          <w:tab w:val="left" w:pos="360"/>
        </w:tabs>
        <w:spacing w:before="120" w:line="240" w:lineRule="auto"/>
        <w:jc w:val="left"/>
        <w:rPr>
          <w:rFonts w:asciiTheme="majorBidi" w:hAnsiTheme="majorBidi" w:cstheme="majorBidi"/>
        </w:rPr>
      </w:pPr>
      <w:proofErr w:type="gramStart"/>
      <w:r w:rsidRPr="00D92302">
        <w:rPr>
          <w:rFonts w:asciiTheme="majorBidi" w:hAnsiTheme="majorBidi" w:cstheme="majorBidi"/>
        </w:rPr>
        <w:t>Laird</w:t>
      </w:r>
      <w:r>
        <w:rPr>
          <w:rFonts w:asciiTheme="majorBidi" w:hAnsiTheme="majorBidi" w:cstheme="majorBidi"/>
        </w:rPr>
        <w:t>,</w:t>
      </w:r>
      <w:r w:rsidRPr="00D92302">
        <w:rPr>
          <w:rFonts w:asciiTheme="majorBidi" w:hAnsiTheme="majorBidi" w:cstheme="majorBidi"/>
        </w:rPr>
        <w:t xml:space="preserve"> A</w:t>
      </w:r>
      <w:r>
        <w:rPr>
          <w:rFonts w:asciiTheme="majorBidi" w:hAnsiTheme="majorBidi" w:cstheme="majorBidi"/>
        </w:rPr>
        <w:t>.</w:t>
      </w:r>
      <w:r w:rsidRPr="00D92302">
        <w:rPr>
          <w:rFonts w:asciiTheme="majorBidi" w:hAnsiTheme="majorBidi" w:cstheme="majorBidi"/>
        </w:rPr>
        <w:t>K</w:t>
      </w:r>
      <w:r>
        <w:rPr>
          <w:rFonts w:asciiTheme="majorBidi" w:hAnsiTheme="majorBidi" w:cstheme="majorBidi"/>
        </w:rPr>
        <w:t>.</w:t>
      </w:r>
      <w:proofErr w:type="gramEnd"/>
      <w:r w:rsidRPr="00D92302">
        <w:rPr>
          <w:rFonts w:asciiTheme="majorBidi" w:hAnsiTheme="majorBidi" w:cstheme="majorBidi"/>
        </w:rPr>
        <w:t xml:space="preserve"> </w:t>
      </w:r>
      <w:r>
        <w:rPr>
          <w:rFonts w:asciiTheme="majorBidi" w:hAnsiTheme="majorBidi" w:cstheme="majorBidi"/>
        </w:rPr>
        <w:t xml:space="preserve"> </w:t>
      </w:r>
      <w:r w:rsidRPr="00D92302">
        <w:rPr>
          <w:rFonts w:asciiTheme="majorBidi" w:hAnsiTheme="majorBidi" w:cstheme="majorBidi"/>
        </w:rPr>
        <w:t>1967</w:t>
      </w:r>
      <w:r>
        <w:rPr>
          <w:rFonts w:asciiTheme="majorBidi" w:hAnsiTheme="majorBidi" w:cstheme="majorBidi"/>
        </w:rPr>
        <w:t>.</w:t>
      </w:r>
      <w:r w:rsidRPr="00D92302">
        <w:rPr>
          <w:rFonts w:asciiTheme="majorBidi" w:hAnsiTheme="majorBidi" w:cstheme="majorBidi"/>
        </w:rPr>
        <w:t xml:space="preserve"> </w:t>
      </w:r>
      <w:r>
        <w:rPr>
          <w:rFonts w:asciiTheme="majorBidi" w:hAnsiTheme="majorBidi" w:cstheme="majorBidi"/>
        </w:rPr>
        <w:t xml:space="preserve"> </w:t>
      </w:r>
      <w:r w:rsidRPr="00D92302">
        <w:rPr>
          <w:rFonts w:asciiTheme="majorBidi" w:hAnsiTheme="majorBidi" w:cstheme="majorBidi"/>
        </w:rPr>
        <w:t>Evolu</w:t>
      </w:r>
      <w:r>
        <w:rPr>
          <w:rFonts w:asciiTheme="majorBidi" w:hAnsiTheme="majorBidi" w:cstheme="majorBidi"/>
        </w:rPr>
        <w:t xml:space="preserve">tion of the human growth curve.  </w:t>
      </w:r>
      <w:r w:rsidRPr="00D92302">
        <w:rPr>
          <w:rFonts w:asciiTheme="majorBidi" w:hAnsiTheme="majorBidi" w:cstheme="majorBidi"/>
          <w:i/>
        </w:rPr>
        <w:t>Growth</w:t>
      </w:r>
      <w:r w:rsidRPr="00D92302">
        <w:rPr>
          <w:rFonts w:asciiTheme="majorBidi" w:hAnsiTheme="majorBidi" w:cstheme="majorBidi"/>
        </w:rPr>
        <w:t xml:space="preserve"> 31:</w:t>
      </w:r>
      <w:r>
        <w:rPr>
          <w:rFonts w:asciiTheme="majorBidi" w:hAnsiTheme="majorBidi" w:cstheme="majorBidi"/>
        </w:rPr>
        <w:t xml:space="preserve"> 345–355</w:t>
      </w:r>
      <w:r w:rsidR="004E4365">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color w:val="000000" w:themeColor="text1"/>
        </w:rPr>
      </w:pPr>
      <w:r w:rsidRPr="00667B89">
        <w:rPr>
          <w:rFonts w:asciiTheme="majorBidi" w:hAnsiTheme="majorBidi" w:cstheme="majorBidi"/>
          <w:color w:val="000000" w:themeColor="text1"/>
        </w:rPr>
        <w:t xml:space="preserve">Lampl, M.  Johnston, F.E.  Malcolm, L.A.  1978.  The effects of protein supplementation on the growth and skeletal maturation of New Guinean school children.  </w:t>
      </w:r>
      <w:r w:rsidRPr="00667B89">
        <w:rPr>
          <w:rFonts w:asciiTheme="majorBidi" w:hAnsiTheme="majorBidi" w:cstheme="majorBidi"/>
          <w:i/>
          <w:color w:val="000000" w:themeColor="text1"/>
        </w:rPr>
        <w:t xml:space="preserve">Annals of Human Biology </w:t>
      </w:r>
      <w:r w:rsidRPr="00667B89">
        <w:rPr>
          <w:rFonts w:asciiTheme="majorBidi" w:hAnsiTheme="majorBidi" w:cstheme="majorBidi"/>
          <w:color w:val="000000" w:themeColor="text1"/>
        </w:rPr>
        <w:t>5(3): 219-227</w:t>
      </w:r>
      <w:r w:rsidR="004E4365">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color w:val="000000" w:themeColor="text1"/>
        </w:rPr>
      </w:pPr>
      <w:r w:rsidRPr="00667B89">
        <w:rPr>
          <w:rFonts w:asciiTheme="majorBidi" w:hAnsiTheme="majorBidi" w:cstheme="majorBidi"/>
          <w:color w:val="000000" w:themeColor="text1"/>
        </w:rPr>
        <w:t xml:space="preserve">Lasker, G.W.  1969.  </w:t>
      </w:r>
      <w:r w:rsidRPr="00667B89">
        <w:rPr>
          <w:rFonts w:asciiTheme="majorBidi" w:hAnsiTheme="majorBidi" w:cstheme="majorBidi"/>
          <w:iCs/>
          <w:color w:val="000000" w:themeColor="text1"/>
        </w:rPr>
        <w:t xml:space="preserve">Human biological adaptability.  </w:t>
      </w:r>
      <w:r w:rsidRPr="00667B89">
        <w:rPr>
          <w:rFonts w:asciiTheme="majorBidi" w:hAnsiTheme="majorBidi" w:cstheme="majorBidi"/>
          <w:i/>
          <w:color w:val="000000" w:themeColor="text1"/>
        </w:rPr>
        <w:t>Science</w:t>
      </w:r>
      <w:r w:rsidRPr="00667B89">
        <w:rPr>
          <w:rFonts w:asciiTheme="majorBidi" w:hAnsiTheme="majorBidi" w:cstheme="majorBidi"/>
          <w:color w:val="000000" w:themeColor="text1"/>
        </w:rPr>
        <w:t xml:space="preserve"> 166</w:t>
      </w:r>
      <w:r w:rsidR="004E4365">
        <w:rPr>
          <w:rFonts w:asciiTheme="majorBidi" w:hAnsiTheme="majorBidi" w:cstheme="majorBidi"/>
          <w:color w:val="000000" w:themeColor="text1"/>
        </w:rPr>
        <w:t>(3912)</w:t>
      </w:r>
      <w:r w:rsidRPr="00667B89">
        <w:rPr>
          <w:rFonts w:asciiTheme="majorBidi" w:hAnsiTheme="majorBidi" w:cstheme="majorBidi"/>
          <w:color w:val="000000" w:themeColor="text1"/>
        </w:rPr>
        <w:t>: 1480-1486</w:t>
      </w:r>
      <w:r w:rsidR="004E4365">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rPr>
      </w:pPr>
      <w:proofErr w:type="gramStart"/>
      <w:r w:rsidRPr="00667B89">
        <w:rPr>
          <w:rFonts w:asciiTheme="majorBidi" w:hAnsiTheme="majorBidi" w:cstheme="majorBidi"/>
        </w:rPr>
        <w:t>Last, R.J.</w:t>
      </w:r>
      <w:proofErr w:type="gramEnd"/>
      <w:r w:rsidRPr="00667B89">
        <w:rPr>
          <w:rFonts w:asciiTheme="majorBidi" w:hAnsiTheme="majorBidi" w:cstheme="majorBidi"/>
        </w:rPr>
        <w:t xml:space="preserve">  1973.  </w:t>
      </w:r>
      <w:r w:rsidRPr="00667B89">
        <w:rPr>
          <w:rFonts w:asciiTheme="majorBidi" w:hAnsiTheme="majorBidi" w:cstheme="majorBidi"/>
          <w:i/>
        </w:rPr>
        <w:t>Anatomy, Regional and Applied</w:t>
      </w:r>
      <w:r w:rsidRPr="00667B89">
        <w:rPr>
          <w:rFonts w:asciiTheme="majorBidi" w:hAnsiTheme="majorBidi" w:cstheme="majorBidi"/>
        </w:rPr>
        <w:t xml:space="preserve">. </w:t>
      </w:r>
      <w:proofErr w:type="gramStart"/>
      <w:r w:rsidRPr="00667B89">
        <w:rPr>
          <w:rFonts w:asciiTheme="majorBidi" w:hAnsiTheme="majorBidi" w:cstheme="majorBidi"/>
        </w:rPr>
        <w:t>5</w:t>
      </w:r>
      <w:r w:rsidRPr="00667B89">
        <w:rPr>
          <w:rFonts w:asciiTheme="majorBidi" w:hAnsiTheme="majorBidi" w:cstheme="majorBidi"/>
          <w:vertAlign w:val="superscript"/>
        </w:rPr>
        <w:t>th</w:t>
      </w:r>
      <w:r w:rsidRPr="00667B89">
        <w:rPr>
          <w:rFonts w:asciiTheme="majorBidi" w:hAnsiTheme="majorBidi" w:cstheme="majorBidi"/>
        </w:rPr>
        <w:t xml:space="preserve"> edition.</w:t>
      </w:r>
      <w:proofErr w:type="gramEnd"/>
      <w:r w:rsidRPr="00667B89">
        <w:rPr>
          <w:rFonts w:asciiTheme="majorBidi" w:hAnsiTheme="majorBidi" w:cstheme="majorBidi"/>
        </w:rPr>
        <w:t xml:space="preserve"> Churchill Livingstone: Edinburgh</w:t>
      </w:r>
      <w:r w:rsidR="001E2543">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color w:val="000000"/>
          <w:lang w:val="en-CA"/>
        </w:rPr>
      </w:pPr>
      <w:proofErr w:type="gramStart"/>
      <w:r w:rsidRPr="00667B89">
        <w:rPr>
          <w:rFonts w:asciiTheme="majorBidi" w:hAnsiTheme="majorBidi" w:cstheme="majorBidi"/>
          <w:lang w:val="en-CA"/>
        </w:rPr>
        <w:t>Leavens, D.A.</w:t>
      </w:r>
      <w:proofErr w:type="gramEnd"/>
      <w:r w:rsidRPr="00667B89">
        <w:rPr>
          <w:rFonts w:asciiTheme="majorBidi" w:hAnsiTheme="majorBidi" w:cstheme="majorBidi"/>
          <w:lang w:val="en-CA"/>
        </w:rPr>
        <w:t xml:space="preserve">  Hopkins, W.D.  Bard, K.A.  2005.  Understanding th</w:t>
      </w:r>
      <w:r w:rsidRPr="00667B89">
        <w:rPr>
          <w:rFonts w:asciiTheme="majorBidi" w:hAnsiTheme="majorBidi" w:cstheme="majorBidi"/>
          <w:color w:val="000000"/>
          <w:lang w:val="en-CA"/>
        </w:rPr>
        <w:t xml:space="preserve">e Point of Chimpanzee Pointing: Epigenesis and Ecological Validity.  </w:t>
      </w:r>
      <w:r w:rsidRPr="00667B89">
        <w:rPr>
          <w:rStyle w:val="HTMLCite"/>
          <w:rFonts w:asciiTheme="majorBidi" w:hAnsiTheme="majorBidi" w:cstheme="majorBidi"/>
          <w:color w:val="000000"/>
        </w:rPr>
        <w:t>Current Directions in Psychological Science</w:t>
      </w:r>
      <w:r w:rsidRPr="00667B89">
        <w:rPr>
          <w:rStyle w:val="cit-print-date"/>
          <w:rFonts w:asciiTheme="majorBidi" w:hAnsiTheme="majorBidi" w:cstheme="majorBidi"/>
          <w:color w:val="000000"/>
        </w:rPr>
        <w:t xml:space="preserve"> </w:t>
      </w:r>
      <w:r w:rsidRPr="00667B89">
        <w:rPr>
          <w:rStyle w:val="cit-vol"/>
          <w:rFonts w:asciiTheme="majorBidi" w:hAnsiTheme="majorBidi" w:cstheme="majorBidi"/>
          <w:color w:val="000000"/>
        </w:rPr>
        <w:t>14</w:t>
      </w:r>
      <w:r w:rsidR="001E2543">
        <w:rPr>
          <w:rStyle w:val="cit-sep2"/>
          <w:rFonts w:asciiTheme="majorBidi" w:hAnsiTheme="majorBidi" w:cstheme="majorBidi"/>
          <w:color w:val="000000"/>
        </w:rPr>
        <w:t>(</w:t>
      </w:r>
      <w:r w:rsidRPr="00667B89">
        <w:rPr>
          <w:rStyle w:val="cit-sep2"/>
          <w:rFonts w:asciiTheme="majorBidi" w:hAnsiTheme="majorBidi" w:cstheme="majorBidi"/>
          <w:color w:val="000000"/>
        </w:rPr>
        <w:t>4</w:t>
      </w:r>
      <w:r w:rsidR="001E2543">
        <w:rPr>
          <w:rStyle w:val="cit-sep2"/>
          <w:rFonts w:asciiTheme="majorBidi" w:hAnsiTheme="majorBidi" w:cstheme="majorBidi"/>
          <w:color w:val="000000"/>
        </w:rPr>
        <w:t>)</w:t>
      </w:r>
      <w:r w:rsidRPr="00667B89">
        <w:rPr>
          <w:rStyle w:val="cit-sep2"/>
          <w:rFonts w:asciiTheme="majorBidi" w:hAnsiTheme="majorBidi" w:cstheme="majorBidi"/>
          <w:color w:val="000000"/>
        </w:rPr>
        <w:t xml:space="preserve">: </w:t>
      </w:r>
      <w:r w:rsidRPr="00667B89">
        <w:rPr>
          <w:rStyle w:val="cit-first-page"/>
          <w:rFonts w:asciiTheme="majorBidi" w:hAnsiTheme="majorBidi" w:cstheme="majorBidi"/>
          <w:color w:val="000000"/>
        </w:rPr>
        <w:t>185</w:t>
      </w:r>
      <w:r w:rsidRPr="00667B89">
        <w:rPr>
          <w:rStyle w:val="cit-sep2"/>
          <w:rFonts w:asciiTheme="majorBidi" w:hAnsiTheme="majorBidi" w:cstheme="majorBidi"/>
          <w:color w:val="000000"/>
        </w:rPr>
        <w:t>-</w:t>
      </w:r>
      <w:r w:rsidRPr="00667B89">
        <w:rPr>
          <w:rStyle w:val="cit-last-page"/>
          <w:rFonts w:asciiTheme="majorBidi" w:hAnsiTheme="majorBidi" w:cstheme="majorBidi"/>
          <w:color w:val="000000"/>
        </w:rPr>
        <w:t>189</w:t>
      </w:r>
      <w:r w:rsidR="001E2543">
        <w:rPr>
          <w:rStyle w:val="cit-last-page"/>
          <w:rFonts w:asciiTheme="majorBidi" w:hAnsiTheme="majorBidi" w:cstheme="majorBidi"/>
          <w:color w:val="000000"/>
        </w:rPr>
        <w:t>.</w:t>
      </w:r>
    </w:p>
    <w:p w:rsidR="00A35CA0" w:rsidRDefault="00CC3C93" w:rsidP="00CA5FBB">
      <w:pPr>
        <w:spacing w:before="120" w:line="240" w:lineRule="auto"/>
        <w:jc w:val="left"/>
        <w:rPr>
          <w:noProof/>
          <w:color w:val="000000"/>
        </w:rPr>
      </w:pPr>
      <w:r>
        <w:rPr>
          <w:noProof/>
          <w:color w:val="000000"/>
        </w:rPr>
        <w:t xml:space="preserve">Leigh, S.R.  2004.  </w:t>
      </w:r>
      <w:r w:rsidRPr="004812E7">
        <w:rPr>
          <w:noProof/>
          <w:color w:val="000000"/>
        </w:rPr>
        <w:t>Brain growth, life history, and cognition</w:t>
      </w:r>
      <w:r>
        <w:rPr>
          <w:noProof/>
          <w:color w:val="000000"/>
        </w:rPr>
        <w:t xml:space="preserve"> in primate and human evolution.  </w:t>
      </w:r>
      <w:r w:rsidRPr="004812E7">
        <w:rPr>
          <w:i/>
          <w:noProof/>
          <w:color w:val="000000"/>
        </w:rPr>
        <w:t>American Journal of Primatology Special Issue: Topic issue on Primate Cog</w:t>
      </w:r>
      <w:r w:rsidR="00C44157">
        <w:rPr>
          <w:i/>
          <w:noProof/>
          <w:color w:val="000000"/>
        </w:rPr>
        <w:t>n</w:t>
      </w:r>
      <w:r w:rsidRPr="004812E7">
        <w:rPr>
          <w:i/>
          <w:noProof/>
          <w:color w:val="000000"/>
        </w:rPr>
        <w:t>itive Ecology</w:t>
      </w:r>
      <w:r>
        <w:rPr>
          <w:noProof/>
          <w:color w:val="000000"/>
        </w:rPr>
        <w:t xml:space="preserve"> </w:t>
      </w:r>
      <w:r w:rsidRPr="004812E7">
        <w:rPr>
          <w:noProof/>
          <w:color w:val="000000"/>
        </w:rPr>
        <w:t>62</w:t>
      </w:r>
      <w:r>
        <w:rPr>
          <w:noProof/>
          <w:color w:val="000000"/>
        </w:rPr>
        <w:t>(</w:t>
      </w:r>
      <w:r w:rsidRPr="004812E7">
        <w:rPr>
          <w:noProof/>
          <w:color w:val="000000"/>
        </w:rPr>
        <w:t>3</w:t>
      </w:r>
      <w:r>
        <w:rPr>
          <w:noProof/>
          <w:color w:val="000000"/>
        </w:rPr>
        <w:t>)</w:t>
      </w:r>
      <w:r w:rsidR="00C44157">
        <w:rPr>
          <w:noProof/>
          <w:color w:val="000000"/>
        </w:rPr>
        <w:t>:</w:t>
      </w:r>
      <w:r w:rsidRPr="004812E7">
        <w:rPr>
          <w:noProof/>
          <w:color w:val="000000"/>
        </w:rPr>
        <w:t xml:space="preserve"> 139–164</w:t>
      </w:r>
      <w:r w:rsidR="00C44157">
        <w:rPr>
          <w:noProof/>
          <w:color w:val="000000"/>
        </w:rPr>
        <w:t>.</w:t>
      </w:r>
    </w:p>
    <w:p w:rsidR="00A35CA0" w:rsidRDefault="00CC3C93" w:rsidP="00CA5FBB">
      <w:pPr>
        <w:pStyle w:val="ListParagraph"/>
        <w:spacing w:before="120" w:line="240" w:lineRule="auto"/>
        <w:ind w:left="0"/>
        <w:jc w:val="left"/>
        <w:rPr>
          <w:noProof/>
        </w:rPr>
      </w:pPr>
      <w:r>
        <w:rPr>
          <w:noProof/>
        </w:rPr>
        <w:t xml:space="preserve">Leigh, S.R.  Shea, B.T.  1996.  Ontogeny of Body Size Variation in African Apes.  </w:t>
      </w:r>
      <w:r w:rsidRPr="00926ED7">
        <w:rPr>
          <w:i/>
          <w:noProof/>
        </w:rPr>
        <w:t>American Journal of Physical Anthropology</w:t>
      </w:r>
      <w:r>
        <w:rPr>
          <w:noProof/>
        </w:rPr>
        <w:t xml:space="preserve"> </w:t>
      </w:r>
      <w:r w:rsidRPr="00926ED7">
        <w:rPr>
          <w:noProof/>
        </w:rPr>
        <w:t>99</w:t>
      </w:r>
      <w:r>
        <w:rPr>
          <w:noProof/>
        </w:rPr>
        <w:t>(1)</w:t>
      </w:r>
      <w:r w:rsidRPr="00926ED7">
        <w:rPr>
          <w:noProof/>
        </w:rPr>
        <w:t>:</w:t>
      </w:r>
      <w:r w:rsidR="00C44157">
        <w:rPr>
          <w:noProof/>
        </w:rPr>
        <w:t xml:space="preserve"> </w:t>
      </w:r>
      <w:r w:rsidRPr="00926ED7">
        <w:rPr>
          <w:noProof/>
        </w:rPr>
        <w:t>43</w:t>
      </w:r>
      <w:r>
        <w:rPr>
          <w:noProof/>
        </w:rPr>
        <w:t>-</w:t>
      </w:r>
      <w:r w:rsidRPr="00926ED7">
        <w:rPr>
          <w:noProof/>
        </w:rPr>
        <w:t>45</w:t>
      </w:r>
      <w:r w:rsidR="00C44157">
        <w:rPr>
          <w:noProof/>
        </w:rPr>
        <w:t>.</w:t>
      </w:r>
    </w:p>
    <w:p w:rsidR="00A35CA0" w:rsidRDefault="00CC3C93" w:rsidP="00CA5FBB">
      <w:pPr>
        <w:spacing w:before="120" w:line="240" w:lineRule="auto"/>
        <w:jc w:val="left"/>
        <w:rPr>
          <w:noProof/>
          <w:color w:val="000000"/>
        </w:rPr>
      </w:pPr>
      <w:r w:rsidRPr="00685F5D">
        <w:rPr>
          <w:noProof/>
          <w:color w:val="000000"/>
        </w:rPr>
        <w:t xml:space="preserve">Leutenegger, W.  Kelly, J.T.  1977.  Relationship of Sexual Dimorphism in Canine Size and Body Size to Social, Behavioral, and Ecological Correlates in Anthropoid Primates.  </w:t>
      </w:r>
      <w:r w:rsidRPr="00685F5D">
        <w:rPr>
          <w:i/>
          <w:noProof/>
          <w:color w:val="000000"/>
        </w:rPr>
        <w:t>Primates</w:t>
      </w:r>
      <w:r w:rsidRPr="00685F5D">
        <w:rPr>
          <w:noProof/>
          <w:color w:val="000000"/>
        </w:rPr>
        <w:t xml:space="preserve"> 18(1): 117-136</w:t>
      </w:r>
      <w:r w:rsidR="009C0F79">
        <w:rPr>
          <w:noProof/>
          <w:color w:val="000000"/>
        </w:rPr>
        <w:t>.</w:t>
      </w:r>
    </w:p>
    <w:p w:rsidR="00A35CA0" w:rsidRDefault="00CC3C93" w:rsidP="00CA5FBB">
      <w:pPr>
        <w:spacing w:before="120" w:line="240" w:lineRule="auto"/>
        <w:jc w:val="left"/>
        <w:rPr>
          <w:rFonts w:eastAsia="Times New Roman"/>
          <w:color w:val="000000"/>
          <w:lang w:val="en-GB" w:eastAsia="en-GB"/>
        </w:rPr>
      </w:pPr>
      <w:proofErr w:type="gramStart"/>
      <w:r w:rsidRPr="00685F5D">
        <w:rPr>
          <w:rFonts w:eastAsia="Times New Roman"/>
          <w:color w:val="000000"/>
          <w:lang w:val="en-GB" w:eastAsia="en-GB"/>
        </w:rPr>
        <w:lastRenderedPageBreak/>
        <w:t>Sommer, V.</w:t>
      </w:r>
      <w:proofErr w:type="gramEnd"/>
      <w:r w:rsidRPr="00685F5D">
        <w:rPr>
          <w:rFonts w:eastAsia="Times New Roman"/>
          <w:color w:val="000000"/>
          <w:lang w:val="en-GB" w:eastAsia="en-GB"/>
        </w:rPr>
        <w:t xml:space="preserve">  </w:t>
      </w:r>
      <w:proofErr w:type="gramStart"/>
      <w:r w:rsidRPr="00685F5D">
        <w:rPr>
          <w:rFonts w:eastAsia="Times New Roman"/>
          <w:color w:val="000000"/>
          <w:lang w:val="en-GB" w:eastAsia="en-GB"/>
        </w:rPr>
        <w:t>Adanu, J. Faucher, I.</w:t>
      </w:r>
      <w:proofErr w:type="gramEnd"/>
      <w:r w:rsidRPr="00685F5D">
        <w:rPr>
          <w:rFonts w:eastAsia="Times New Roman"/>
          <w:color w:val="000000"/>
          <w:lang w:val="en-GB" w:eastAsia="en-GB"/>
        </w:rPr>
        <w:t xml:space="preserve">  </w:t>
      </w:r>
      <w:proofErr w:type="gramStart"/>
      <w:r w:rsidRPr="00685F5D">
        <w:rPr>
          <w:rFonts w:eastAsia="Times New Roman"/>
          <w:color w:val="000000"/>
          <w:lang w:val="en-GB" w:eastAsia="en-GB"/>
        </w:rPr>
        <w:t>Fowlera, A.</w:t>
      </w:r>
      <w:proofErr w:type="gramEnd"/>
      <w:r w:rsidRPr="00685F5D">
        <w:rPr>
          <w:rFonts w:eastAsia="Times New Roman"/>
          <w:color w:val="000000"/>
          <w:lang w:val="en-GB" w:eastAsia="en-GB"/>
        </w:rPr>
        <w:t xml:space="preserve">  2004.  Nigerian Chimpanzees (</w:t>
      </w:r>
      <w:r w:rsidRPr="00685F5D">
        <w:rPr>
          <w:rFonts w:eastAsia="Times New Roman"/>
          <w:i/>
          <w:color w:val="000000"/>
          <w:lang w:val="en-GB" w:eastAsia="en-GB"/>
        </w:rPr>
        <w:t xml:space="preserve">Pan </w:t>
      </w:r>
      <w:proofErr w:type="gramStart"/>
      <w:r w:rsidRPr="00685F5D">
        <w:rPr>
          <w:rFonts w:eastAsia="Times New Roman"/>
          <w:i/>
          <w:color w:val="000000"/>
          <w:lang w:val="en-GB" w:eastAsia="en-GB"/>
        </w:rPr>
        <w:t>troglodytes</w:t>
      </w:r>
      <w:proofErr w:type="gramEnd"/>
      <w:r w:rsidRPr="00685F5D">
        <w:rPr>
          <w:rFonts w:eastAsia="Times New Roman"/>
          <w:i/>
          <w:color w:val="000000"/>
          <w:lang w:val="en-GB" w:eastAsia="en-GB"/>
        </w:rPr>
        <w:t xml:space="preserve"> vellerosus</w:t>
      </w:r>
      <w:r w:rsidRPr="00685F5D">
        <w:rPr>
          <w:rFonts w:eastAsia="Times New Roman"/>
          <w:color w:val="000000"/>
          <w:lang w:val="en-GB" w:eastAsia="en-GB"/>
        </w:rPr>
        <w:t xml:space="preserve">) at Gashaka: two years of habituation efforts.  </w:t>
      </w:r>
      <w:r w:rsidRPr="00685F5D">
        <w:rPr>
          <w:rFonts w:eastAsia="Times New Roman"/>
          <w:i/>
          <w:color w:val="000000"/>
          <w:lang w:val="en-GB" w:eastAsia="en-GB"/>
        </w:rPr>
        <w:t>Folia Primatologica</w:t>
      </w:r>
      <w:r w:rsidRPr="00685F5D">
        <w:rPr>
          <w:rFonts w:eastAsia="Times New Roman"/>
          <w:color w:val="000000"/>
          <w:lang w:val="en-GB" w:eastAsia="en-GB"/>
        </w:rPr>
        <w:t xml:space="preserve"> 75: 295-316</w:t>
      </w:r>
      <w:r w:rsidR="009C0F79">
        <w:rPr>
          <w:rFonts w:eastAsia="Times New Roman"/>
          <w:color w:val="000000"/>
          <w:lang w:val="en-GB" w:eastAsia="en-GB"/>
        </w:rPr>
        <w:t>.</w:t>
      </w:r>
    </w:p>
    <w:p w:rsidR="00A35CA0" w:rsidRDefault="00CC3C93" w:rsidP="00CA5FBB">
      <w:pPr>
        <w:autoSpaceDE w:val="0"/>
        <w:autoSpaceDN w:val="0"/>
        <w:adjustRightInd w:val="0"/>
        <w:spacing w:before="120" w:line="240" w:lineRule="auto"/>
        <w:jc w:val="left"/>
        <w:rPr>
          <w:rFonts w:asciiTheme="majorBidi" w:hAnsiTheme="majorBidi" w:cstheme="majorBidi"/>
          <w:color w:val="000000"/>
        </w:rPr>
      </w:pPr>
      <w:proofErr w:type="gramStart"/>
      <w:r w:rsidRPr="00667B89">
        <w:rPr>
          <w:rFonts w:asciiTheme="majorBidi" w:hAnsiTheme="majorBidi" w:cstheme="majorBidi"/>
          <w:color w:val="000000"/>
        </w:rPr>
        <w:t>Lewall, E.G.</w:t>
      </w:r>
      <w:proofErr w:type="gramEnd"/>
      <w:r w:rsidRPr="00667B89">
        <w:rPr>
          <w:rFonts w:asciiTheme="majorBidi" w:hAnsiTheme="majorBidi" w:cstheme="majorBidi"/>
          <w:color w:val="000000"/>
        </w:rPr>
        <w:t xml:space="preserve">  Cowan, I.M.  I963. </w:t>
      </w:r>
      <w:proofErr w:type="gramStart"/>
      <w:r w:rsidRPr="00667B89">
        <w:rPr>
          <w:rFonts w:asciiTheme="majorBidi" w:hAnsiTheme="majorBidi" w:cstheme="majorBidi"/>
          <w:color w:val="000000"/>
        </w:rPr>
        <w:t>Age determination in blacktail deer by degree of ossification of the epiphyseal plate in the long bones.</w:t>
      </w:r>
      <w:proofErr w:type="gramEnd"/>
      <w:r w:rsidRPr="00667B89">
        <w:rPr>
          <w:rFonts w:asciiTheme="majorBidi" w:hAnsiTheme="majorBidi" w:cstheme="majorBidi"/>
          <w:color w:val="000000"/>
        </w:rPr>
        <w:t xml:space="preserve">  </w:t>
      </w:r>
      <w:r w:rsidRPr="00667B89">
        <w:rPr>
          <w:rFonts w:asciiTheme="majorBidi" w:hAnsiTheme="majorBidi" w:cstheme="majorBidi"/>
          <w:i/>
          <w:color w:val="000000"/>
        </w:rPr>
        <w:t>Canadian Journal of Zoology</w:t>
      </w:r>
      <w:r w:rsidRPr="00667B89">
        <w:rPr>
          <w:rFonts w:asciiTheme="majorBidi" w:hAnsiTheme="majorBidi" w:cstheme="majorBidi"/>
          <w:color w:val="000000"/>
        </w:rPr>
        <w:t xml:space="preserve"> 41</w:t>
      </w:r>
      <w:r w:rsidR="004C04B4">
        <w:rPr>
          <w:rFonts w:asciiTheme="majorBidi" w:hAnsiTheme="majorBidi" w:cstheme="majorBidi"/>
          <w:color w:val="000000"/>
        </w:rPr>
        <w:t>(1)</w:t>
      </w:r>
      <w:r w:rsidRPr="00667B89">
        <w:rPr>
          <w:rFonts w:asciiTheme="majorBidi" w:hAnsiTheme="majorBidi" w:cstheme="majorBidi"/>
          <w:color w:val="000000"/>
        </w:rPr>
        <w:t>:</w:t>
      </w:r>
      <w:r w:rsidR="004C04B4">
        <w:rPr>
          <w:rFonts w:asciiTheme="majorBidi" w:hAnsiTheme="majorBidi" w:cstheme="majorBidi"/>
          <w:color w:val="000000"/>
        </w:rPr>
        <w:t xml:space="preserve"> </w:t>
      </w:r>
      <w:r w:rsidRPr="00667B89">
        <w:rPr>
          <w:rFonts w:asciiTheme="majorBidi" w:hAnsiTheme="majorBidi" w:cstheme="majorBidi"/>
          <w:color w:val="000000"/>
        </w:rPr>
        <w:t>629</w:t>
      </w:r>
      <w:r w:rsidR="004C04B4">
        <w:rPr>
          <w:rFonts w:asciiTheme="majorBidi" w:hAnsiTheme="majorBidi" w:cstheme="majorBidi"/>
          <w:color w:val="000000"/>
        </w:rPr>
        <w:t>.</w:t>
      </w:r>
    </w:p>
    <w:p w:rsidR="00A35CA0" w:rsidRDefault="00CC3C93" w:rsidP="00CA5FBB">
      <w:pPr>
        <w:spacing w:before="120" w:line="240" w:lineRule="auto"/>
        <w:jc w:val="left"/>
        <w:rPr>
          <w:color w:val="000000" w:themeColor="text1"/>
        </w:rPr>
      </w:pPr>
      <w:r w:rsidRPr="00260217">
        <w:rPr>
          <w:color w:val="000000" w:themeColor="text1"/>
        </w:rPr>
        <w:t xml:space="preserve">Lewis, A.B.  Garn, S.M.  1960.  The Relationship </w:t>
      </w:r>
      <w:proofErr w:type="gramStart"/>
      <w:r w:rsidRPr="00260217">
        <w:rPr>
          <w:color w:val="000000" w:themeColor="text1"/>
        </w:rPr>
        <w:t>Between</w:t>
      </w:r>
      <w:proofErr w:type="gramEnd"/>
      <w:r w:rsidRPr="00260217">
        <w:rPr>
          <w:color w:val="000000" w:themeColor="text1"/>
        </w:rPr>
        <w:t xml:space="preserve"> Tooth Formation and Other Maturational Factors. </w:t>
      </w:r>
      <w:r w:rsidRPr="00260217">
        <w:rPr>
          <w:i/>
          <w:color w:val="000000"/>
        </w:rPr>
        <w:t>The Angle Orthodontist</w:t>
      </w:r>
      <w:r w:rsidRPr="00260217">
        <w:rPr>
          <w:color w:val="000000" w:themeColor="text1"/>
        </w:rPr>
        <w:t xml:space="preserve"> 30:</w:t>
      </w:r>
      <w:r w:rsidR="003C27EC">
        <w:rPr>
          <w:color w:val="000000" w:themeColor="text1"/>
        </w:rPr>
        <w:t xml:space="preserve"> </w:t>
      </w:r>
      <w:r w:rsidRPr="00260217">
        <w:rPr>
          <w:color w:val="000000" w:themeColor="text1"/>
        </w:rPr>
        <w:t>70-77</w:t>
      </w:r>
      <w:r w:rsidR="003C27EC">
        <w:rPr>
          <w:color w:val="000000" w:themeColor="text1"/>
        </w:rPr>
        <w:t>.</w:t>
      </w:r>
    </w:p>
    <w:p w:rsidR="00A35CA0" w:rsidRDefault="00CC3C93" w:rsidP="00CA5FBB">
      <w:pPr>
        <w:tabs>
          <w:tab w:val="left" w:pos="0"/>
          <w:tab w:val="left" w:pos="360"/>
        </w:tabs>
        <w:spacing w:before="120" w:line="240" w:lineRule="auto"/>
        <w:jc w:val="left"/>
        <w:rPr>
          <w:rFonts w:asciiTheme="majorBidi" w:hAnsiTheme="majorBidi" w:cstheme="majorBidi"/>
          <w:color w:val="000000" w:themeColor="text1"/>
        </w:rPr>
      </w:pPr>
      <w:r w:rsidRPr="00667B89">
        <w:rPr>
          <w:rFonts w:asciiTheme="majorBidi" w:hAnsiTheme="majorBidi" w:cstheme="majorBidi"/>
          <w:color w:val="000000"/>
        </w:rPr>
        <w:t>Lieberman, D. E.  Carlo, J.  Ponce de Leon, M. &amp; Zollikofer</w:t>
      </w:r>
      <w:proofErr w:type="gramStart"/>
      <w:r w:rsidRPr="00667B89">
        <w:rPr>
          <w:rFonts w:asciiTheme="majorBidi" w:hAnsiTheme="majorBidi" w:cstheme="majorBidi"/>
          <w:color w:val="000000"/>
        </w:rPr>
        <w:t>,C.P.E</w:t>
      </w:r>
      <w:proofErr w:type="gramEnd"/>
      <w:r w:rsidRPr="00667B89">
        <w:rPr>
          <w:rFonts w:asciiTheme="majorBidi" w:hAnsiTheme="majorBidi" w:cstheme="majorBidi"/>
          <w:color w:val="000000"/>
        </w:rPr>
        <w:t>.  (2007)</w:t>
      </w:r>
      <w:proofErr w:type="gramStart"/>
      <w:r w:rsidRPr="00667B89">
        <w:rPr>
          <w:rFonts w:asciiTheme="majorBidi" w:hAnsiTheme="majorBidi" w:cstheme="majorBidi"/>
          <w:color w:val="000000"/>
        </w:rPr>
        <w:t>.  A</w:t>
      </w:r>
      <w:proofErr w:type="gramEnd"/>
      <w:r w:rsidRPr="00667B89">
        <w:rPr>
          <w:rFonts w:asciiTheme="majorBidi" w:hAnsiTheme="majorBidi" w:cstheme="majorBidi"/>
          <w:color w:val="000000"/>
        </w:rPr>
        <w:t xml:space="preserve"> geometric morphometric analysis of heterochrony in the cranium of chimpanzees and bonobos.  </w:t>
      </w:r>
      <w:r w:rsidRPr="00667B89">
        <w:rPr>
          <w:rFonts w:asciiTheme="majorBidi" w:hAnsiTheme="majorBidi" w:cstheme="majorBidi"/>
          <w:i/>
          <w:color w:val="000000"/>
        </w:rPr>
        <w:t>Journal of Human</w:t>
      </w:r>
      <w:r w:rsidRPr="00667B89">
        <w:rPr>
          <w:rFonts w:asciiTheme="majorBidi" w:hAnsiTheme="majorBidi" w:cstheme="majorBidi"/>
          <w:i/>
          <w:color w:val="000000"/>
        </w:rPr>
        <w:tab/>
        <w:t xml:space="preserve"> Evolution</w:t>
      </w:r>
      <w:r w:rsidRPr="00667B89">
        <w:rPr>
          <w:rFonts w:asciiTheme="majorBidi" w:hAnsiTheme="majorBidi" w:cstheme="majorBidi"/>
          <w:color w:val="000000"/>
        </w:rPr>
        <w:t xml:space="preserve"> </w:t>
      </w:r>
      <w:r w:rsidRPr="00667B89">
        <w:rPr>
          <w:rFonts w:asciiTheme="majorBidi" w:hAnsiTheme="majorBidi" w:cstheme="majorBidi"/>
          <w:color w:val="000000" w:themeColor="text1"/>
        </w:rPr>
        <w:t>52(6)</w:t>
      </w:r>
      <w:r w:rsidR="008F5A26">
        <w:rPr>
          <w:rFonts w:asciiTheme="majorBidi" w:hAnsiTheme="majorBidi" w:cstheme="majorBidi"/>
          <w:color w:val="000000" w:themeColor="text1"/>
        </w:rPr>
        <w:t>:</w:t>
      </w:r>
      <w:r w:rsidRPr="00667B89">
        <w:rPr>
          <w:rFonts w:asciiTheme="majorBidi" w:hAnsiTheme="majorBidi" w:cstheme="majorBidi"/>
          <w:color w:val="000000" w:themeColor="text1"/>
        </w:rPr>
        <w:t xml:space="preserve"> 647-662</w:t>
      </w:r>
      <w:r w:rsidR="008F5A26">
        <w:rPr>
          <w:rFonts w:asciiTheme="majorBidi" w:hAnsiTheme="majorBidi" w:cstheme="majorBidi"/>
          <w:color w:val="000000" w:themeColor="text1"/>
        </w:rPr>
        <w:t>.</w:t>
      </w:r>
    </w:p>
    <w:p w:rsidR="00A35CA0" w:rsidRDefault="00CC3C93" w:rsidP="00CA5FBB">
      <w:pPr>
        <w:spacing w:before="120" w:line="240" w:lineRule="auto"/>
        <w:jc w:val="left"/>
        <w:rPr>
          <w:color w:val="000000"/>
        </w:rPr>
      </w:pPr>
      <w:proofErr w:type="gramStart"/>
      <w:r w:rsidRPr="00DD468B">
        <w:rPr>
          <w:color w:val="000000"/>
        </w:rPr>
        <w:t>Liversidge, H.</w:t>
      </w:r>
      <w:proofErr w:type="gramEnd"/>
      <w:r w:rsidRPr="00DD468B">
        <w:rPr>
          <w:color w:val="000000"/>
        </w:rPr>
        <w:t xml:space="preserve">  2003.  Variation in modern human dental development.  </w:t>
      </w:r>
      <w:proofErr w:type="gramStart"/>
      <w:r w:rsidRPr="00DD468B">
        <w:rPr>
          <w:i/>
          <w:color w:val="000000"/>
        </w:rPr>
        <w:t>Patterns of Growth and Development in the Genus Homo.</w:t>
      </w:r>
      <w:proofErr w:type="gramEnd"/>
      <w:r w:rsidRPr="00DD468B">
        <w:rPr>
          <w:i/>
          <w:color w:val="000000"/>
        </w:rPr>
        <w:t xml:space="preserve">  </w:t>
      </w:r>
      <w:r w:rsidRPr="00DD468B">
        <w:rPr>
          <w:color w:val="000000"/>
        </w:rPr>
        <w:t>Thompson, J.L. Krovitz, G.E. (</w:t>
      </w:r>
      <w:proofErr w:type="gramStart"/>
      <w:r w:rsidRPr="00DD468B">
        <w:rPr>
          <w:color w:val="000000"/>
        </w:rPr>
        <w:t>eds</w:t>
      </w:r>
      <w:proofErr w:type="gramEnd"/>
      <w:r w:rsidRPr="00DD468B">
        <w:rPr>
          <w:color w:val="000000"/>
        </w:rPr>
        <w:t xml:space="preserve">.).  </w:t>
      </w:r>
      <w:proofErr w:type="gramStart"/>
      <w:r w:rsidRPr="00DD468B">
        <w:rPr>
          <w:color w:val="000000"/>
        </w:rPr>
        <w:t>Cambridge University Press.</w:t>
      </w:r>
      <w:proofErr w:type="gramEnd"/>
      <w:r w:rsidRPr="00DD468B">
        <w:rPr>
          <w:color w:val="000000"/>
        </w:rPr>
        <w:t xml:space="preserve">  Cambridge.  pp. 73-113</w:t>
      </w:r>
      <w:r w:rsidR="00402FA2">
        <w:rPr>
          <w:color w:val="000000"/>
        </w:rPr>
        <w:t>.</w:t>
      </w:r>
    </w:p>
    <w:p w:rsidR="00A35CA0" w:rsidRDefault="00CC3C93" w:rsidP="00CA5FBB">
      <w:pPr>
        <w:spacing w:before="120" w:line="240" w:lineRule="auto"/>
        <w:jc w:val="left"/>
        <w:rPr>
          <w:noProof/>
          <w:color w:val="000000"/>
        </w:rPr>
      </w:pPr>
      <w:r w:rsidRPr="00B53C1B">
        <w:rPr>
          <w:noProof/>
          <w:color w:val="000000"/>
        </w:rPr>
        <w:t>Liversidge,</w:t>
      </w:r>
      <w:r>
        <w:rPr>
          <w:noProof/>
          <w:color w:val="000000"/>
        </w:rPr>
        <w:t xml:space="preserve"> H.M.  Chaillet</w:t>
      </w:r>
      <w:r w:rsidRPr="00B53C1B">
        <w:rPr>
          <w:noProof/>
          <w:color w:val="000000"/>
        </w:rPr>
        <w:t>,</w:t>
      </w:r>
      <w:r>
        <w:rPr>
          <w:noProof/>
          <w:color w:val="000000"/>
        </w:rPr>
        <w:t xml:space="preserve"> N.  Mörnstad</w:t>
      </w:r>
      <w:r w:rsidRPr="00B53C1B">
        <w:rPr>
          <w:noProof/>
          <w:color w:val="000000"/>
        </w:rPr>
        <w:t>,</w:t>
      </w:r>
      <w:r>
        <w:rPr>
          <w:noProof/>
          <w:color w:val="000000"/>
        </w:rPr>
        <w:t xml:space="preserve"> H.  Nyström</w:t>
      </w:r>
      <w:r w:rsidRPr="00B53C1B">
        <w:rPr>
          <w:noProof/>
          <w:color w:val="000000"/>
        </w:rPr>
        <w:t>,</w:t>
      </w:r>
      <w:r>
        <w:rPr>
          <w:noProof/>
          <w:color w:val="000000"/>
        </w:rPr>
        <w:t xml:space="preserve"> M.  </w:t>
      </w:r>
      <w:r w:rsidRPr="00B53C1B">
        <w:rPr>
          <w:noProof/>
          <w:color w:val="000000"/>
        </w:rPr>
        <w:t>Rowli</w:t>
      </w:r>
      <w:r>
        <w:rPr>
          <w:noProof/>
          <w:color w:val="000000"/>
        </w:rPr>
        <w:t xml:space="preserve">ngs, K.  Taylor, J.  Willems, G.  2006.  </w:t>
      </w:r>
      <w:r w:rsidRPr="00B53C1B">
        <w:rPr>
          <w:noProof/>
          <w:color w:val="000000"/>
        </w:rPr>
        <w:t>Timing of Demirjian's tooth formation stages</w:t>
      </w:r>
      <w:r>
        <w:rPr>
          <w:noProof/>
          <w:color w:val="000000"/>
        </w:rPr>
        <w:t xml:space="preserve">.  </w:t>
      </w:r>
      <w:r>
        <w:rPr>
          <w:i/>
          <w:noProof/>
          <w:color w:val="000000"/>
        </w:rPr>
        <w:t>Annals of Human Biology</w:t>
      </w:r>
      <w:r>
        <w:rPr>
          <w:noProof/>
          <w:color w:val="000000"/>
        </w:rPr>
        <w:t xml:space="preserve"> </w:t>
      </w:r>
      <w:r w:rsidRPr="00B53C1B">
        <w:rPr>
          <w:noProof/>
          <w:color w:val="000000"/>
        </w:rPr>
        <w:t>33</w:t>
      </w:r>
      <w:r>
        <w:rPr>
          <w:noProof/>
          <w:color w:val="000000"/>
        </w:rPr>
        <w:t>(</w:t>
      </w:r>
      <w:r w:rsidRPr="00B53C1B">
        <w:rPr>
          <w:noProof/>
          <w:color w:val="000000"/>
        </w:rPr>
        <w:t>4</w:t>
      </w:r>
      <w:r>
        <w:rPr>
          <w:noProof/>
          <w:color w:val="000000"/>
        </w:rPr>
        <w:t>): 454-470</w:t>
      </w:r>
      <w:r w:rsidR="00F345B8">
        <w:rPr>
          <w:noProof/>
          <w:color w:val="000000"/>
        </w:rPr>
        <w:t>.</w:t>
      </w:r>
    </w:p>
    <w:p w:rsidR="00A35CA0" w:rsidRDefault="00CC3C93" w:rsidP="00CA5FBB">
      <w:pPr>
        <w:spacing w:before="120" w:line="240" w:lineRule="auto"/>
        <w:jc w:val="left"/>
        <w:rPr>
          <w:noProof/>
          <w:color w:val="000000"/>
        </w:rPr>
      </w:pPr>
      <w:r>
        <w:rPr>
          <w:noProof/>
          <w:color w:val="000000"/>
        </w:rPr>
        <w:t xml:space="preserve">Liversidge, H.M.  Herdeg, B.  Rosing, F.W.  1998.  Dental age estimation of non-adults.  A review of methods and principles.  In: </w:t>
      </w:r>
      <w:r>
        <w:rPr>
          <w:i/>
          <w:noProof/>
          <w:color w:val="000000"/>
        </w:rPr>
        <w:t>Dental Anthropology, Fundamentals, Limits and Prospects.</w:t>
      </w:r>
      <w:r>
        <w:rPr>
          <w:noProof/>
          <w:color w:val="000000"/>
        </w:rPr>
        <w:t xml:space="preserve">  Rosing, K.W. and Teschler-Nicola, M.  eds..  Springer: Vienna. pp. 419-442</w:t>
      </w:r>
      <w:r w:rsidR="00F345B8">
        <w:rPr>
          <w:noProof/>
          <w:color w:val="000000"/>
        </w:rPr>
        <w:t>.</w:t>
      </w:r>
    </w:p>
    <w:p w:rsidR="00A35CA0" w:rsidRDefault="00CC3C93" w:rsidP="00CA5FBB">
      <w:pPr>
        <w:spacing w:before="120" w:line="240" w:lineRule="auto"/>
        <w:jc w:val="left"/>
        <w:rPr>
          <w:color w:val="000000"/>
        </w:rPr>
      </w:pPr>
      <w:r w:rsidRPr="00F0608F">
        <w:rPr>
          <w:color w:val="000000"/>
        </w:rPr>
        <w:t xml:space="preserve">Liversidge, H.M.  </w:t>
      </w:r>
      <w:proofErr w:type="gramStart"/>
      <w:r w:rsidRPr="00F0608F">
        <w:rPr>
          <w:color w:val="000000"/>
        </w:rPr>
        <w:t>Speechly, T.</w:t>
      </w:r>
      <w:proofErr w:type="gramEnd"/>
      <w:r w:rsidRPr="00F0608F">
        <w:rPr>
          <w:color w:val="000000"/>
        </w:rPr>
        <w:t xml:space="preserve">  2001.  Growth of permanent mandibular teeth of British children aged 4 to 9 years.  </w:t>
      </w:r>
      <w:r w:rsidRPr="00F0608F">
        <w:rPr>
          <w:i/>
          <w:color w:val="000000"/>
        </w:rPr>
        <w:t xml:space="preserve">Annals of Human Biology </w:t>
      </w:r>
      <w:r w:rsidRPr="00F0608F">
        <w:rPr>
          <w:color w:val="000000"/>
        </w:rPr>
        <w:t>28(3): 256-262</w:t>
      </w:r>
      <w:r w:rsidR="00F345B8">
        <w:rPr>
          <w:color w:val="000000"/>
        </w:rPr>
        <w:t>.</w:t>
      </w:r>
    </w:p>
    <w:p w:rsidR="00994658" w:rsidRDefault="00994658" w:rsidP="00994658">
      <w:pPr>
        <w:spacing w:before="120" w:line="240" w:lineRule="auto"/>
        <w:jc w:val="left"/>
        <w:rPr>
          <w:color w:val="000000" w:themeColor="text1"/>
          <w:lang w:val="en-CA"/>
        </w:rPr>
      </w:pPr>
      <w:r w:rsidRPr="00994658">
        <w:rPr>
          <w:color w:val="000000" w:themeColor="text1"/>
          <w:lang w:val="en-CA"/>
        </w:rPr>
        <w:t xml:space="preserve">Lovejoy, C.O.  1985. Dental wear in the Libben population: Its functional pattern and role in the determination of adult skeletal age at death.  </w:t>
      </w:r>
      <w:r w:rsidRPr="00994658">
        <w:rPr>
          <w:i/>
          <w:color w:val="000000" w:themeColor="text1"/>
          <w:lang w:val="en-CA"/>
        </w:rPr>
        <w:t>American Journal of Physical Anthropology</w:t>
      </w:r>
      <w:r w:rsidRPr="00994658">
        <w:rPr>
          <w:color w:val="000000" w:themeColor="text1"/>
          <w:lang w:val="en-CA"/>
        </w:rPr>
        <w:t xml:space="preserve"> 68(1): 47–56.</w:t>
      </w:r>
    </w:p>
    <w:p w:rsidR="00A35CA0" w:rsidRDefault="00CC3C93" w:rsidP="00CA5FBB">
      <w:pPr>
        <w:tabs>
          <w:tab w:val="left" w:pos="360"/>
        </w:tabs>
        <w:spacing w:before="120" w:line="240" w:lineRule="auto"/>
        <w:jc w:val="left"/>
      </w:pPr>
      <w:r>
        <w:t>Lovejoy</w:t>
      </w:r>
      <w:r w:rsidRPr="00A50FB5">
        <w:t>,</w:t>
      </w:r>
      <w:r>
        <w:t xml:space="preserve"> C.O.  Suwa</w:t>
      </w:r>
      <w:r w:rsidRPr="00A50FB5">
        <w:t>,</w:t>
      </w:r>
      <w:r>
        <w:t xml:space="preserve"> G.  Simpson</w:t>
      </w:r>
      <w:r w:rsidRPr="00A50FB5">
        <w:t>,</w:t>
      </w:r>
      <w:r>
        <w:t xml:space="preserve"> S.W.  Matternes</w:t>
      </w:r>
      <w:r w:rsidRPr="00A50FB5">
        <w:t>,</w:t>
      </w:r>
      <w:r>
        <w:t xml:space="preserve"> J.H.  White, T.D.  2009.  </w:t>
      </w:r>
      <w:r w:rsidRPr="00A50FB5">
        <w:t xml:space="preserve">The Great Divides: Ardipithecus ramidus </w:t>
      </w:r>
      <w:proofErr w:type="gramStart"/>
      <w:r w:rsidRPr="00A50FB5">
        <w:t>Reveals</w:t>
      </w:r>
      <w:proofErr w:type="gramEnd"/>
      <w:r w:rsidRPr="00A50FB5">
        <w:t xml:space="preserve"> the Postcrania of Our Last Common Ancestors with</w:t>
      </w:r>
      <w:r w:rsidRPr="00AD6C21">
        <w:t xml:space="preserve"> </w:t>
      </w:r>
      <w:r w:rsidRPr="00A50FB5">
        <w:t>African Apes</w:t>
      </w:r>
      <w:r>
        <w:t xml:space="preserve">.  </w:t>
      </w:r>
      <w:r w:rsidRPr="00AD6C21">
        <w:rPr>
          <w:i/>
        </w:rPr>
        <w:t>Science</w:t>
      </w:r>
      <w:r>
        <w:t xml:space="preserve"> 326(5949): 73, 100-106</w:t>
      </w:r>
      <w:r w:rsidR="00F345B8">
        <w:t>.</w:t>
      </w:r>
    </w:p>
    <w:p w:rsidR="00A35CA0" w:rsidRDefault="00CC3C93" w:rsidP="00CA5FBB">
      <w:pPr>
        <w:autoSpaceDE w:val="0"/>
        <w:autoSpaceDN w:val="0"/>
        <w:adjustRightInd w:val="0"/>
        <w:spacing w:before="120" w:line="240" w:lineRule="auto"/>
        <w:jc w:val="left"/>
        <w:rPr>
          <w:rFonts w:asciiTheme="majorBidi" w:hAnsiTheme="majorBidi" w:cstheme="majorBidi"/>
        </w:rPr>
      </w:pPr>
      <w:proofErr w:type="gramStart"/>
      <w:r w:rsidRPr="00667B89">
        <w:rPr>
          <w:rFonts w:asciiTheme="majorBidi" w:hAnsiTheme="majorBidi" w:cstheme="majorBidi"/>
        </w:rPr>
        <w:t>Lucas, A.</w:t>
      </w:r>
      <w:proofErr w:type="gramEnd"/>
      <w:r w:rsidRPr="00667B89">
        <w:rPr>
          <w:rFonts w:asciiTheme="majorBidi" w:hAnsiTheme="majorBidi" w:cstheme="majorBidi"/>
        </w:rPr>
        <w:t xml:space="preserve">  Morley, R.  Cole, T. J.  1998.  Randomised trial of early diet in preterm babies and later intelligence quotient.  </w:t>
      </w:r>
      <w:r w:rsidRPr="00667B89">
        <w:rPr>
          <w:rFonts w:asciiTheme="majorBidi" w:hAnsiTheme="majorBidi" w:cstheme="majorBidi"/>
          <w:i/>
          <w:iCs/>
        </w:rPr>
        <w:t xml:space="preserve">British Medical Journal </w:t>
      </w:r>
      <w:r w:rsidRPr="00667B89">
        <w:rPr>
          <w:rFonts w:asciiTheme="majorBidi" w:hAnsiTheme="majorBidi" w:cstheme="majorBidi"/>
        </w:rPr>
        <w:t>317: 1481-1487.</w:t>
      </w:r>
    </w:p>
    <w:p w:rsidR="00A35CA0" w:rsidRDefault="00CC3C93" w:rsidP="00CA5FBB">
      <w:pPr>
        <w:tabs>
          <w:tab w:val="left" w:pos="360"/>
        </w:tabs>
        <w:spacing w:before="120" w:line="240" w:lineRule="auto"/>
        <w:jc w:val="left"/>
        <w:rPr>
          <w:rFonts w:asciiTheme="majorBidi" w:hAnsiTheme="majorBidi" w:cstheme="majorBidi"/>
          <w:noProof/>
        </w:rPr>
      </w:pPr>
      <w:r w:rsidRPr="00652522">
        <w:rPr>
          <w:rFonts w:asciiTheme="majorBidi" w:hAnsiTheme="majorBidi" w:cstheme="majorBidi"/>
          <w:lang w:val="pt-PT"/>
        </w:rPr>
        <w:t xml:space="preserve">de Magalhães, J.P.  Church, G.M.  </w:t>
      </w:r>
      <w:r w:rsidRPr="003E1D8A">
        <w:rPr>
          <w:rFonts w:asciiTheme="majorBidi" w:hAnsiTheme="majorBidi" w:cstheme="majorBidi"/>
          <w:lang w:val="en-GB"/>
        </w:rPr>
        <w:t xml:space="preserve">2007.  </w:t>
      </w:r>
      <w:proofErr w:type="gramStart"/>
      <w:r w:rsidRPr="003E1D8A">
        <w:rPr>
          <w:rFonts w:asciiTheme="majorBidi" w:hAnsiTheme="majorBidi" w:cstheme="majorBidi"/>
          <w:lang w:val="en-GB"/>
        </w:rPr>
        <w:t xml:space="preserve">Analyses of </w:t>
      </w:r>
      <w:r w:rsidRPr="003E1D8A">
        <w:rPr>
          <w:rStyle w:val="nbapihighlight"/>
          <w:rFonts w:asciiTheme="majorBidi" w:hAnsiTheme="majorBidi" w:cstheme="majorBidi"/>
        </w:rPr>
        <w:t>human</w:t>
      </w:r>
      <w:r w:rsidRPr="003E1D8A">
        <w:rPr>
          <w:rFonts w:asciiTheme="majorBidi" w:hAnsiTheme="majorBidi" w:cstheme="majorBidi"/>
        </w:rPr>
        <w:t>–chimpanzee orthologous gene pairs to explore evolutionary hypotheses of aging.</w:t>
      </w:r>
      <w:proofErr w:type="gramEnd"/>
      <w:r w:rsidRPr="003E1D8A">
        <w:rPr>
          <w:rFonts w:asciiTheme="majorBidi" w:hAnsiTheme="majorBidi" w:cstheme="majorBidi"/>
        </w:rPr>
        <w:t xml:space="preserve">  </w:t>
      </w:r>
      <w:r w:rsidRPr="003E1D8A">
        <w:rPr>
          <w:rFonts w:asciiTheme="majorBidi" w:hAnsiTheme="majorBidi" w:cstheme="majorBidi"/>
          <w:i/>
          <w:iCs/>
        </w:rPr>
        <w:t>Mechanisms of Ageing and Development</w:t>
      </w:r>
      <w:r w:rsidRPr="003E1D8A">
        <w:rPr>
          <w:rFonts w:asciiTheme="majorBidi" w:hAnsiTheme="majorBidi" w:cstheme="majorBidi"/>
        </w:rPr>
        <w:t xml:space="preserve"> 128(506): 355-364</w:t>
      </w:r>
      <w:r w:rsidR="001746EA">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667B89">
        <w:rPr>
          <w:rFonts w:asciiTheme="majorBidi" w:hAnsiTheme="majorBidi" w:cstheme="majorBidi"/>
          <w:color w:val="000000" w:themeColor="text1"/>
          <w:lang w:val="en-CA"/>
        </w:rPr>
        <w:t>Mainland, D.</w:t>
      </w:r>
      <w:proofErr w:type="gramEnd"/>
      <w:r w:rsidRPr="00667B89">
        <w:rPr>
          <w:rFonts w:asciiTheme="majorBidi" w:hAnsiTheme="majorBidi" w:cstheme="majorBidi"/>
          <w:color w:val="000000" w:themeColor="text1"/>
          <w:lang w:val="en-CA"/>
        </w:rPr>
        <w:t xml:space="preserve">  1953.  Evaluation of the skeletal age method of estimation children’s development. I.  Systematic errors in the assessment of roentgenograms. </w:t>
      </w:r>
      <w:proofErr w:type="gramStart"/>
      <w:r w:rsidRPr="00667B89">
        <w:rPr>
          <w:rFonts w:asciiTheme="majorBidi" w:hAnsiTheme="majorBidi" w:cstheme="majorBidi"/>
          <w:i/>
          <w:color w:val="000000" w:themeColor="text1"/>
          <w:lang w:val="en-CA"/>
        </w:rPr>
        <w:t xml:space="preserve">Pediatrics </w:t>
      </w:r>
      <w:r w:rsidRPr="00667B89">
        <w:rPr>
          <w:rFonts w:asciiTheme="majorBidi" w:hAnsiTheme="majorBidi" w:cstheme="majorBidi"/>
          <w:color w:val="000000" w:themeColor="text1"/>
          <w:lang w:val="en-CA"/>
        </w:rPr>
        <w:t xml:space="preserve"> 12</w:t>
      </w:r>
      <w:proofErr w:type="gramEnd"/>
      <w:r w:rsidR="00B904E1">
        <w:rPr>
          <w:rFonts w:asciiTheme="majorBidi" w:hAnsiTheme="majorBidi" w:cstheme="majorBidi"/>
          <w:color w:val="000000" w:themeColor="text1"/>
          <w:lang w:val="en-CA"/>
        </w:rPr>
        <w:t>(2)</w:t>
      </w:r>
      <w:r w:rsidRPr="00667B89">
        <w:rPr>
          <w:rFonts w:asciiTheme="majorBidi" w:hAnsiTheme="majorBidi" w:cstheme="majorBidi"/>
          <w:color w:val="000000" w:themeColor="text1"/>
          <w:lang w:val="en-CA"/>
        </w:rPr>
        <w:t>: 114-129</w:t>
      </w:r>
      <w:r w:rsidR="001746EA">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667B89">
        <w:rPr>
          <w:rFonts w:asciiTheme="majorBidi" w:hAnsiTheme="majorBidi" w:cstheme="majorBidi"/>
          <w:color w:val="000000" w:themeColor="text1"/>
          <w:lang w:val="en-CA"/>
        </w:rPr>
        <w:t>Mainland, D. 1954.</w:t>
      </w:r>
      <w:proofErr w:type="gramEnd"/>
      <w:r w:rsidRPr="00667B89">
        <w:rPr>
          <w:rFonts w:asciiTheme="majorBidi" w:hAnsiTheme="majorBidi" w:cstheme="majorBidi"/>
          <w:color w:val="000000" w:themeColor="text1"/>
          <w:lang w:val="en-CA"/>
        </w:rPr>
        <w:t xml:space="preserve">  </w:t>
      </w:r>
      <w:proofErr w:type="gramStart"/>
      <w:r w:rsidRPr="00667B89">
        <w:rPr>
          <w:rFonts w:asciiTheme="majorBidi" w:hAnsiTheme="majorBidi" w:cstheme="majorBidi"/>
          <w:color w:val="000000" w:themeColor="text1"/>
          <w:lang w:val="en-CA"/>
        </w:rPr>
        <w:t>Evaluation of the skeletal age method of estimating children’s development.</w:t>
      </w:r>
      <w:proofErr w:type="gramEnd"/>
      <w:r w:rsidRPr="00667B89">
        <w:rPr>
          <w:rFonts w:asciiTheme="majorBidi" w:hAnsiTheme="majorBidi" w:cstheme="majorBidi"/>
          <w:color w:val="000000" w:themeColor="text1"/>
          <w:lang w:val="en-CA"/>
        </w:rPr>
        <w:t xml:space="preserve"> II. Variables errors in the assessment of roentgenograms.  </w:t>
      </w:r>
      <w:r w:rsidRPr="00667B89">
        <w:rPr>
          <w:rFonts w:asciiTheme="majorBidi" w:hAnsiTheme="majorBidi" w:cstheme="majorBidi"/>
          <w:i/>
          <w:color w:val="000000" w:themeColor="text1"/>
          <w:lang w:val="en-CA"/>
        </w:rPr>
        <w:t>Pediatrics</w:t>
      </w:r>
      <w:r w:rsidRPr="00667B89">
        <w:rPr>
          <w:rFonts w:asciiTheme="majorBidi" w:hAnsiTheme="majorBidi" w:cstheme="majorBidi"/>
          <w:color w:val="000000" w:themeColor="text1"/>
          <w:lang w:val="en-CA"/>
        </w:rPr>
        <w:t xml:space="preserve"> 13</w:t>
      </w:r>
      <w:r w:rsidR="00B904E1">
        <w:rPr>
          <w:rFonts w:asciiTheme="majorBidi" w:hAnsiTheme="majorBidi" w:cstheme="majorBidi"/>
          <w:color w:val="000000" w:themeColor="text1"/>
          <w:lang w:val="en-CA"/>
        </w:rPr>
        <w:t>(2)</w:t>
      </w:r>
      <w:r w:rsidRPr="00667B89">
        <w:rPr>
          <w:rFonts w:asciiTheme="majorBidi" w:hAnsiTheme="majorBidi" w:cstheme="majorBidi"/>
          <w:color w:val="000000" w:themeColor="text1"/>
          <w:lang w:val="en-CA"/>
        </w:rPr>
        <w:t>: 165-173</w:t>
      </w:r>
      <w:r w:rsidR="009A455F">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667B89">
        <w:rPr>
          <w:rFonts w:asciiTheme="majorBidi" w:hAnsiTheme="majorBidi" w:cstheme="majorBidi"/>
          <w:color w:val="000000" w:themeColor="text1"/>
          <w:lang w:val="en-CA"/>
        </w:rPr>
        <w:t>Mainland, D.</w:t>
      </w:r>
      <w:proofErr w:type="gramEnd"/>
      <w:r w:rsidRPr="00667B89">
        <w:rPr>
          <w:rFonts w:asciiTheme="majorBidi" w:hAnsiTheme="majorBidi" w:cstheme="majorBidi"/>
          <w:color w:val="000000" w:themeColor="text1"/>
          <w:lang w:val="en-CA"/>
        </w:rPr>
        <w:t xml:space="preserve">  1957.  Evaluation of the skeletal age method of estimating children’s development. III</w:t>
      </w:r>
      <w:proofErr w:type="gramStart"/>
      <w:r w:rsidRPr="00667B89">
        <w:rPr>
          <w:rFonts w:asciiTheme="majorBidi" w:hAnsiTheme="majorBidi" w:cstheme="majorBidi"/>
          <w:color w:val="000000" w:themeColor="text1"/>
          <w:lang w:val="en-CA"/>
        </w:rPr>
        <w:t>.  Comparison</w:t>
      </w:r>
      <w:proofErr w:type="gramEnd"/>
      <w:r w:rsidRPr="00667B89">
        <w:rPr>
          <w:rFonts w:asciiTheme="majorBidi" w:hAnsiTheme="majorBidi" w:cstheme="majorBidi"/>
          <w:color w:val="000000" w:themeColor="text1"/>
          <w:lang w:val="en-CA"/>
        </w:rPr>
        <w:t xml:space="preserve"> of methods and inspection in the assessment of roentgenograms.  </w:t>
      </w:r>
      <w:r w:rsidRPr="00667B89">
        <w:rPr>
          <w:rFonts w:asciiTheme="majorBidi" w:hAnsiTheme="majorBidi" w:cstheme="majorBidi"/>
          <w:i/>
          <w:color w:val="000000" w:themeColor="text1"/>
          <w:lang w:val="en-CA"/>
        </w:rPr>
        <w:t xml:space="preserve">Pediatrics </w:t>
      </w:r>
      <w:r w:rsidRPr="00667B89">
        <w:rPr>
          <w:rFonts w:asciiTheme="majorBidi" w:hAnsiTheme="majorBidi" w:cstheme="majorBidi"/>
          <w:color w:val="000000" w:themeColor="text1"/>
          <w:lang w:val="en-CA"/>
        </w:rPr>
        <w:t>20</w:t>
      </w:r>
      <w:r w:rsidR="003C5261">
        <w:rPr>
          <w:rFonts w:asciiTheme="majorBidi" w:hAnsiTheme="majorBidi" w:cstheme="majorBidi"/>
          <w:color w:val="000000" w:themeColor="text1"/>
          <w:lang w:val="en-CA"/>
        </w:rPr>
        <w:t>(6)</w:t>
      </w:r>
      <w:r w:rsidRPr="00667B89">
        <w:rPr>
          <w:rFonts w:asciiTheme="majorBidi" w:hAnsiTheme="majorBidi" w:cstheme="majorBidi"/>
          <w:color w:val="000000" w:themeColor="text1"/>
          <w:lang w:val="en-CA"/>
        </w:rPr>
        <w:t>: 979-992</w:t>
      </w:r>
      <w:r w:rsidR="009A455F">
        <w:rPr>
          <w:rFonts w:asciiTheme="majorBidi" w:hAnsiTheme="majorBidi" w:cstheme="majorBidi"/>
          <w:color w:val="000000" w:themeColor="text1"/>
          <w:lang w:val="en-CA"/>
        </w:rPr>
        <w:t>.</w:t>
      </w:r>
    </w:p>
    <w:p w:rsidR="00A35CA0" w:rsidRDefault="00CC3C93" w:rsidP="00CA5FBB">
      <w:pPr>
        <w:spacing w:before="120" w:line="240" w:lineRule="auto"/>
        <w:jc w:val="left"/>
        <w:rPr>
          <w:noProof/>
        </w:rPr>
      </w:pPr>
      <w:r>
        <w:rPr>
          <w:noProof/>
        </w:rPr>
        <w:t xml:space="preserve">Maresh, M.M.  1970.  Measurement from roentgenograms.  </w:t>
      </w:r>
      <w:r w:rsidRPr="007054EF">
        <w:rPr>
          <w:noProof/>
        </w:rPr>
        <w:t>In</w:t>
      </w:r>
      <w:r>
        <w:rPr>
          <w:noProof/>
        </w:rPr>
        <w:t xml:space="preserve">: McCammon, R.W.  ed.  </w:t>
      </w:r>
      <w:r>
        <w:rPr>
          <w:i/>
          <w:noProof/>
        </w:rPr>
        <w:t>Human Growth and Development</w:t>
      </w:r>
      <w:r>
        <w:rPr>
          <w:noProof/>
        </w:rPr>
        <w:t>. Thomas</w:t>
      </w:r>
      <w:r w:rsidR="0005463B">
        <w:rPr>
          <w:noProof/>
        </w:rPr>
        <w:t>:</w:t>
      </w:r>
      <w:r>
        <w:rPr>
          <w:noProof/>
        </w:rPr>
        <w:t xml:space="preserve"> Springfield.  pp. 157-200</w:t>
      </w:r>
      <w:r w:rsidR="00146750">
        <w:rPr>
          <w:noProof/>
        </w:rPr>
        <w:t>.</w:t>
      </w:r>
    </w:p>
    <w:p w:rsidR="00A35CA0" w:rsidRDefault="00CC3C93" w:rsidP="00CA5FBB">
      <w:pPr>
        <w:spacing w:before="120" w:line="240" w:lineRule="auto"/>
        <w:jc w:val="left"/>
        <w:rPr>
          <w:noProof/>
        </w:rPr>
      </w:pPr>
      <w:r>
        <w:rPr>
          <w:noProof/>
        </w:rPr>
        <w:t xml:space="preserve">Martin, R.D.  1990.  </w:t>
      </w:r>
      <w:r>
        <w:rPr>
          <w:i/>
          <w:noProof/>
        </w:rPr>
        <w:t>Primate Origins and Evolution</w:t>
      </w:r>
      <w:r>
        <w:rPr>
          <w:noProof/>
        </w:rPr>
        <w:t xml:space="preserve"> Princeton University Press</w:t>
      </w:r>
      <w:r w:rsidR="00D73F2B">
        <w:rPr>
          <w:noProof/>
        </w:rPr>
        <w:t>:</w:t>
      </w:r>
      <w:r>
        <w:rPr>
          <w:noProof/>
        </w:rPr>
        <w:t xml:space="preserve"> Princeton</w:t>
      </w:r>
      <w:r w:rsidR="00146750">
        <w:rPr>
          <w:noProof/>
        </w:rPr>
        <w:t>.</w:t>
      </w:r>
    </w:p>
    <w:p w:rsidR="00A35CA0" w:rsidRDefault="00CC3C93" w:rsidP="00CA5FBB">
      <w:pPr>
        <w:tabs>
          <w:tab w:val="left" w:pos="360"/>
        </w:tabs>
        <w:spacing w:before="120" w:line="240" w:lineRule="auto"/>
        <w:jc w:val="left"/>
        <w:rPr>
          <w:noProof/>
          <w:color w:val="000000" w:themeColor="text1"/>
        </w:rPr>
      </w:pPr>
      <w:r w:rsidRPr="00EF47FF">
        <w:rPr>
          <w:noProof/>
          <w:color w:val="000000" w:themeColor="text1"/>
        </w:rPr>
        <w:t>Martin-de las Heras, S</w:t>
      </w:r>
      <w:r>
        <w:rPr>
          <w:noProof/>
          <w:color w:val="000000" w:themeColor="text1"/>
        </w:rPr>
        <w:t xml:space="preserve">. </w:t>
      </w:r>
      <w:r w:rsidRPr="00EF47FF">
        <w:rPr>
          <w:noProof/>
          <w:color w:val="000000" w:themeColor="text1"/>
        </w:rPr>
        <w:t>García-Fortea, P</w:t>
      </w:r>
      <w:r>
        <w:rPr>
          <w:noProof/>
          <w:color w:val="000000" w:themeColor="text1"/>
        </w:rPr>
        <w:t xml:space="preserve">. </w:t>
      </w:r>
      <w:r w:rsidRPr="00EF47FF">
        <w:rPr>
          <w:noProof/>
          <w:color w:val="000000" w:themeColor="text1"/>
        </w:rPr>
        <w:t>Ortega, A</w:t>
      </w:r>
      <w:r>
        <w:rPr>
          <w:noProof/>
          <w:color w:val="000000" w:themeColor="text1"/>
        </w:rPr>
        <w:t xml:space="preserve">. </w:t>
      </w:r>
      <w:r w:rsidRPr="00EF47FF">
        <w:rPr>
          <w:noProof/>
          <w:color w:val="000000" w:themeColor="text1"/>
        </w:rPr>
        <w:t>Zodocovich,</w:t>
      </w:r>
      <w:r>
        <w:rPr>
          <w:noProof/>
          <w:color w:val="000000" w:themeColor="text1"/>
        </w:rPr>
        <w:t xml:space="preserve"> S.</w:t>
      </w:r>
      <w:r w:rsidRPr="00EF47FF">
        <w:rPr>
          <w:noProof/>
          <w:color w:val="000000" w:themeColor="text1"/>
        </w:rPr>
        <w:t xml:space="preserve"> Valenzuela</w:t>
      </w:r>
      <w:r>
        <w:rPr>
          <w:noProof/>
          <w:color w:val="000000" w:themeColor="text1"/>
        </w:rPr>
        <w:t xml:space="preserve">, A.  2008.  </w:t>
      </w:r>
      <w:r w:rsidRPr="00EF47FF">
        <w:rPr>
          <w:noProof/>
          <w:color w:val="000000" w:themeColor="text1"/>
        </w:rPr>
        <w:t>Third molar development according to chronological age in populations fr</w:t>
      </w:r>
      <w:r>
        <w:rPr>
          <w:noProof/>
          <w:color w:val="000000" w:themeColor="text1"/>
        </w:rPr>
        <w:t xml:space="preserve">om Spanish and Magrebian origin.  </w:t>
      </w:r>
      <w:r w:rsidRPr="00EF47FF">
        <w:rPr>
          <w:i/>
          <w:noProof/>
          <w:color w:val="000000" w:themeColor="text1"/>
        </w:rPr>
        <w:t>Forensic Science International</w:t>
      </w:r>
      <w:r>
        <w:rPr>
          <w:noProof/>
          <w:color w:val="000000" w:themeColor="text1"/>
        </w:rPr>
        <w:t xml:space="preserve"> </w:t>
      </w:r>
      <w:r w:rsidRPr="00EF47FF">
        <w:rPr>
          <w:noProof/>
          <w:color w:val="000000" w:themeColor="text1"/>
        </w:rPr>
        <w:t>174</w:t>
      </w:r>
      <w:r>
        <w:rPr>
          <w:noProof/>
          <w:color w:val="000000" w:themeColor="text1"/>
        </w:rPr>
        <w:t>(</w:t>
      </w:r>
      <w:r w:rsidRPr="00EF47FF">
        <w:rPr>
          <w:noProof/>
          <w:color w:val="000000" w:themeColor="text1"/>
        </w:rPr>
        <w:t>1</w:t>
      </w:r>
      <w:r>
        <w:rPr>
          <w:noProof/>
          <w:color w:val="000000" w:themeColor="text1"/>
        </w:rPr>
        <w:t>):</w:t>
      </w:r>
      <w:r w:rsidRPr="00EF47FF">
        <w:rPr>
          <w:noProof/>
          <w:color w:val="000000" w:themeColor="text1"/>
        </w:rPr>
        <w:t xml:space="preserve"> 47-53</w:t>
      </w:r>
      <w:r w:rsidR="00146750">
        <w:rPr>
          <w:noProof/>
          <w:color w:val="000000" w:themeColor="text1"/>
        </w:rPr>
        <w:t>.</w:t>
      </w:r>
    </w:p>
    <w:p w:rsidR="00A35CA0" w:rsidRDefault="00CC3C93" w:rsidP="00CA5FBB">
      <w:pPr>
        <w:tabs>
          <w:tab w:val="left" w:pos="360"/>
        </w:tabs>
        <w:spacing w:before="120" w:line="240" w:lineRule="auto"/>
        <w:jc w:val="left"/>
        <w:rPr>
          <w:noProof/>
          <w:color w:val="000000" w:themeColor="text1"/>
        </w:rPr>
      </w:pPr>
      <w:r w:rsidRPr="008A4988">
        <w:rPr>
          <w:noProof/>
          <w:color w:val="000000" w:themeColor="text1"/>
        </w:rPr>
        <w:lastRenderedPageBreak/>
        <w:t>M</w:t>
      </w:r>
      <w:r>
        <w:rPr>
          <w:noProof/>
          <w:color w:val="000000" w:themeColor="text1"/>
        </w:rPr>
        <w:t>atsuzawa</w:t>
      </w:r>
      <w:r w:rsidRPr="008A4988">
        <w:rPr>
          <w:noProof/>
          <w:color w:val="000000" w:themeColor="text1"/>
        </w:rPr>
        <w:t>, T.</w:t>
      </w:r>
      <w:r>
        <w:rPr>
          <w:noProof/>
          <w:color w:val="000000" w:themeColor="text1"/>
        </w:rPr>
        <w:t xml:space="preserve"> </w:t>
      </w:r>
      <w:r w:rsidRPr="008A4988">
        <w:rPr>
          <w:noProof/>
          <w:color w:val="000000" w:themeColor="text1"/>
        </w:rPr>
        <w:t xml:space="preserve"> S</w:t>
      </w:r>
      <w:r>
        <w:rPr>
          <w:noProof/>
          <w:color w:val="000000" w:themeColor="text1"/>
        </w:rPr>
        <w:t>akura</w:t>
      </w:r>
      <w:r w:rsidRPr="008A4988">
        <w:rPr>
          <w:noProof/>
          <w:color w:val="000000" w:themeColor="text1"/>
        </w:rPr>
        <w:t>, O.</w:t>
      </w:r>
      <w:r>
        <w:rPr>
          <w:noProof/>
          <w:color w:val="000000" w:themeColor="text1"/>
        </w:rPr>
        <w:t xml:space="preserve"> </w:t>
      </w:r>
      <w:r w:rsidRPr="008A4988">
        <w:rPr>
          <w:noProof/>
          <w:color w:val="000000" w:themeColor="text1"/>
        </w:rPr>
        <w:t xml:space="preserve"> K</w:t>
      </w:r>
      <w:r>
        <w:rPr>
          <w:noProof/>
          <w:color w:val="000000" w:themeColor="text1"/>
        </w:rPr>
        <w:t>imura</w:t>
      </w:r>
      <w:r w:rsidRPr="008A4988">
        <w:rPr>
          <w:noProof/>
          <w:color w:val="000000" w:themeColor="text1"/>
        </w:rPr>
        <w:t>, Z.</w:t>
      </w:r>
      <w:r>
        <w:rPr>
          <w:noProof/>
          <w:color w:val="000000" w:themeColor="text1"/>
        </w:rPr>
        <w:t xml:space="preserve"> </w:t>
      </w:r>
      <w:r w:rsidRPr="008A4988">
        <w:rPr>
          <w:noProof/>
          <w:color w:val="000000" w:themeColor="text1"/>
        </w:rPr>
        <w:t xml:space="preserve"> H</w:t>
      </w:r>
      <w:r>
        <w:rPr>
          <w:noProof/>
          <w:color w:val="000000" w:themeColor="text1"/>
        </w:rPr>
        <w:t>amada</w:t>
      </w:r>
      <w:r w:rsidRPr="008A4988">
        <w:rPr>
          <w:noProof/>
          <w:color w:val="000000" w:themeColor="text1"/>
        </w:rPr>
        <w:t>, Y.</w:t>
      </w:r>
      <w:r>
        <w:rPr>
          <w:noProof/>
          <w:color w:val="000000" w:themeColor="text1"/>
        </w:rPr>
        <w:t xml:space="preserve"> </w:t>
      </w:r>
      <w:r w:rsidRPr="008A4988">
        <w:rPr>
          <w:noProof/>
          <w:color w:val="000000" w:themeColor="text1"/>
        </w:rPr>
        <w:t xml:space="preserve"> S</w:t>
      </w:r>
      <w:r>
        <w:rPr>
          <w:noProof/>
          <w:color w:val="000000" w:themeColor="text1"/>
        </w:rPr>
        <w:t>ugiyama</w:t>
      </w:r>
      <w:r w:rsidRPr="008A4988">
        <w:rPr>
          <w:noProof/>
          <w:color w:val="000000" w:themeColor="text1"/>
        </w:rPr>
        <w:t xml:space="preserve">, Y. </w:t>
      </w:r>
      <w:r>
        <w:rPr>
          <w:noProof/>
          <w:color w:val="000000" w:themeColor="text1"/>
        </w:rPr>
        <w:t xml:space="preserve"> </w:t>
      </w:r>
      <w:r w:rsidRPr="008A4988">
        <w:rPr>
          <w:noProof/>
          <w:color w:val="000000" w:themeColor="text1"/>
        </w:rPr>
        <w:t xml:space="preserve">1990. </w:t>
      </w:r>
      <w:r>
        <w:rPr>
          <w:noProof/>
          <w:color w:val="000000" w:themeColor="text1"/>
        </w:rPr>
        <w:t xml:space="preserve"> Case report on the death</w:t>
      </w:r>
    </w:p>
    <w:p w:rsidR="00A35CA0" w:rsidRDefault="00CC3C93" w:rsidP="00CA5FBB">
      <w:pPr>
        <w:tabs>
          <w:tab w:val="left" w:pos="360"/>
        </w:tabs>
        <w:spacing w:before="120" w:line="240" w:lineRule="auto"/>
        <w:jc w:val="left"/>
        <w:rPr>
          <w:noProof/>
          <w:color w:val="000000" w:themeColor="text1"/>
        </w:rPr>
      </w:pPr>
      <w:r w:rsidRPr="008A4988">
        <w:rPr>
          <w:noProof/>
          <w:color w:val="000000" w:themeColor="text1"/>
        </w:rPr>
        <w:t>of a wild chimpanzee (</w:t>
      </w:r>
      <w:r w:rsidRPr="008A4988">
        <w:rPr>
          <w:i/>
          <w:noProof/>
          <w:color w:val="000000" w:themeColor="text1"/>
        </w:rPr>
        <w:t>Pan troglodytes verus</w:t>
      </w:r>
      <w:r w:rsidRPr="008A4988">
        <w:rPr>
          <w:noProof/>
          <w:color w:val="000000" w:themeColor="text1"/>
        </w:rPr>
        <w:t xml:space="preserve">). </w:t>
      </w:r>
      <w:r>
        <w:rPr>
          <w:noProof/>
          <w:color w:val="000000" w:themeColor="text1"/>
        </w:rPr>
        <w:t xml:space="preserve"> </w:t>
      </w:r>
      <w:r w:rsidRPr="008A4988">
        <w:rPr>
          <w:i/>
          <w:noProof/>
          <w:color w:val="000000" w:themeColor="text1"/>
        </w:rPr>
        <w:t>Primates</w:t>
      </w:r>
      <w:r>
        <w:rPr>
          <w:noProof/>
          <w:color w:val="000000" w:themeColor="text1"/>
        </w:rPr>
        <w:t xml:space="preserve"> 31</w:t>
      </w:r>
      <w:r w:rsidR="00AB3C1F">
        <w:rPr>
          <w:noProof/>
          <w:color w:val="000000" w:themeColor="text1"/>
        </w:rPr>
        <w:t>(4)</w:t>
      </w:r>
      <w:r>
        <w:rPr>
          <w:noProof/>
          <w:color w:val="000000" w:themeColor="text1"/>
        </w:rPr>
        <w:t>: 635-641</w:t>
      </w:r>
      <w:r w:rsidR="00146750">
        <w:rPr>
          <w:noProof/>
          <w:color w:val="000000" w:themeColor="text1"/>
        </w:rPr>
        <w:t>.</w:t>
      </w:r>
    </w:p>
    <w:p w:rsidR="00A35CA0" w:rsidRDefault="00CC3C93" w:rsidP="00CA5FBB">
      <w:pPr>
        <w:spacing w:before="120" w:line="240" w:lineRule="auto"/>
        <w:jc w:val="left"/>
      </w:pPr>
      <w:r w:rsidRPr="00D03B3E">
        <w:rPr>
          <w:color w:val="000000"/>
          <w:lang w:val="en-CA"/>
        </w:rPr>
        <w:t xml:space="preserve">McHenry, H.M.  Coffing, K.  2000.  </w:t>
      </w:r>
      <w:r w:rsidRPr="00D67878">
        <w:rPr>
          <w:i/>
        </w:rPr>
        <w:t>Australopithecus</w:t>
      </w:r>
      <w:r w:rsidRPr="00D03B3E">
        <w:t xml:space="preserve"> to </w:t>
      </w:r>
      <w:r w:rsidRPr="00D67878">
        <w:rPr>
          <w:i/>
        </w:rPr>
        <w:t>Homo</w:t>
      </w:r>
      <w:r w:rsidRPr="00D03B3E">
        <w:t xml:space="preserve">: Transformations in Body and Mind.  </w:t>
      </w:r>
      <w:r w:rsidRPr="00D03B3E">
        <w:rPr>
          <w:i/>
        </w:rPr>
        <w:t>Annual Review of Anthropology:</w:t>
      </w:r>
      <w:r w:rsidRPr="00D03B3E">
        <w:t xml:space="preserve"> 125-146</w:t>
      </w:r>
      <w:r w:rsidR="00D67878">
        <w:t>.</w:t>
      </w:r>
    </w:p>
    <w:p w:rsidR="00A35CA0" w:rsidRDefault="00CC3C93" w:rsidP="00CA5FBB">
      <w:pPr>
        <w:spacing w:before="120" w:line="240" w:lineRule="auto"/>
        <w:jc w:val="left"/>
        <w:rPr>
          <w:color w:val="000000" w:themeColor="text1"/>
          <w:lang w:val="en-CA"/>
        </w:rPr>
      </w:pPr>
      <w:r w:rsidRPr="00D03B3E">
        <w:rPr>
          <w:color w:val="000000" w:themeColor="text1"/>
          <w:lang w:val="de-DE"/>
        </w:rPr>
        <w:t xml:space="preserve">McKern, T.W.  Stewart, T.D.  </w:t>
      </w:r>
      <w:r w:rsidRPr="00D03B3E">
        <w:rPr>
          <w:color w:val="000000" w:themeColor="text1"/>
          <w:lang w:val="en-CA"/>
        </w:rPr>
        <w:t xml:space="preserve">1957.  Skeletal age changes in young American males, analysis from the standpoint of age identification.  </w:t>
      </w:r>
      <w:r w:rsidRPr="00D03B3E">
        <w:rPr>
          <w:i/>
          <w:color w:val="000000" w:themeColor="text1"/>
          <w:lang w:val="en-CA"/>
        </w:rPr>
        <w:t xml:space="preserve">Headquarters Quartermaster Research and Development </w:t>
      </w:r>
      <w:r w:rsidRPr="00D57B7C">
        <w:rPr>
          <w:i/>
          <w:color w:val="000000" w:themeColor="text1"/>
          <w:lang w:val="en-CA"/>
        </w:rPr>
        <w:t>Command,</w:t>
      </w:r>
      <w:r w:rsidRPr="00D57B7C">
        <w:rPr>
          <w:color w:val="000000" w:themeColor="text1"/>
          <w:lang w:val="en-CA"/>
        </w:rPr>
        <w:t xml:space="preserve"> Technical Report EP-45</w:t>
      </w:r>
      <w:r w:rsidR="004F4E43">
        <w:rPr>
          <w:color w:val="000000" w:themeColor="text1"/>
          <w:lang w:val="en-CA"/>
        </w:rPr>
        <w:t>:</w:t>
      </w:r>
      <w:r w:rsidRPr="00D57B7C">
        <w:rPr>
          <w:color w:val="000000" w:themeColor="text1"/>
          <w:lang w:val="en-CA"/>
        </w:rPr>
        <w:t xml:space="preserve"> Natick MA.</w:t>
      </w:r>
    </w:p>
    <w:p w:rsidR="00A35CA0" w:rsidRPr="00CA5FBB" w:rsidRDefault="008943E4" w:rsidP="00CA5FBB">
      <w:pPr>
        <w:tabs>
          <w:tab w:val="left" w:pos="360"/>
        </w:tabs>
        <w:spacing w:before="120" w:line="240" w:lineRule="auto"/>
        <w:jc w:val="left"/>
        <w:rPr>
          <w:noProof/>
          <w:color w:val="000000" w:themeColor="text1"/>
        </w:rPr>
      </w:pPr>
      <w:r w:rsidRPr="00CA5FBB">
        <w:rPr>
          <w:noProof/>
          <w:color w:val="000000" w:themeColor="text1"/>
        </w:rPr>
        <w:t xml:space="preserve">McNamara, K.J. 2002.  </w:t>
      </w:r>
      <w:r w:rsidRPr="00CA5FBB">
        <w:rPr>
          <w:i/>
          <w:noProof/>
          <w:color w:val="000000" w:themeColor="text1"/>
        </w:rPr>
        <w:t>What is Hetereochrony</w:t>
      </w:r>
      <w:r w:rsidRPr="00CA5FBB">
        <w:rPr>
          <w:noProof/>
          <w:color w:val="000000" w:themeColor="text1"/>
        </w:rPr>
        <w:t>?  Minugh-Purvis, N.  McNamara, K.J.  (eds.). Human Evolution through Developmental Change. John Hopkins Univers</w:t>
      </w:r>
      <w:r w:rsidR="00D57B7C">
        <w:rPr>
          <w:noProof/>
          <w:color w:val="000000" w:themeColor="text1"/>
        </w:rPr>
        <w:t>ity Press, Baltimore.  pp.1-4.</w:t>
      </w:r>
    </w:p>
    <w:p w:rsidR="00A35CA0" w:rsidRPr="00CA5FBB" w:rsidRDefault="008943E4" w:rsidP="00CA5FBB">
      <w:pPr>
        <w:spacing w:before="120" w:line="240" w:lineRule="auto"/>
        <w:jc w:val="left"/>
        <w:rPr>
          <w:rFonts w:asciiTheme="majorBidi" w:hAnsiTheme="majorBidi" w:cstheme="majorBidi"/>
          <w:color w:val="000000" w:themeColor="text1"/>
          <w:lang w:val="en-CA"/>
        </w:rPr>
      </w:pPr>
      <w:r w:rsidRPr="00CA5FBB">
        <w:rPr>
          <w:color w:val="000000" w:themeColor="text1"/>
        </w:rPr>
        <w:t>Meindl, R.S.  Lovejoy, C.O.  1985.  Ectocranial suture closure: A revised method for the determination of skeletal age at death</w:t>
      </w:r>
      <w:r w:rsidRPr="00CA5FBB">
        <w:rPr>
          <w:rFonts w:asciiTheme="majorBidi" w:hAnsiTheme="majorBidi" w:cstheme="majorBidi"/>
          <w:color w:val="000000" w:themeColor="text1"/>
        </w:rPr>
        <w:t xml:space="preserve"> based on the lateral-anterior sutures.  </w:t>
      </w:r>
      <w:r w:rsidRPr="00CA5FBB">
        <w:rPr>
          <w:rFonts w:asciiTheme="majorBidi" w:hAnsiTheme="majorBidi" w:cstheme="majorBidi"/>
          <w:i/>
          <w:color w:val="000000" w:themeColor="text1"/>
        </w:rPr>
        <w:t>American Journal of Physical Anthropology</w:t>
      </w:r>
      <w:r w:rsidRPr="00CA5FBB">
        <w:rPr>
          <w:rFonts w:asciiTheme="majorBidi" w:hAnsiTheme="majorBidi" w:cstheme="majorBidi"/>
          <w:color w:val="000000" w:themeColor="text1"/>
        </w:rPr>
        <w:t xml:space="preserve"> 68(1):</w:t>
      </w:r>
      <w:r w:rsidR="00423405">
        <w:rPr>
          <w:rFonts w:asciiTheme="majorBidi" w:hAnsiTheme="majorBidi" w:cstheme="majorBidi"/>
          <w:color w:val="000000" w:themeColor="text1"/>
        </w:rPr>
        <w:t xml:space="preserve"> </w:t>
      </w:r>
      <w:r w:rsidRPr="00CA5FBB">
        <w:rPr>
          <w:rFonts w:asciiTheme="majorBidi" w:hAnsiTheme="majorBidi" w:cstheme="majorBidi"/>
          <w:color w:val="000000" w:themeColor="text1"/>
        </w:rPr>
        <w:t>57-66</w:t>
      </w:r>
      <w:r w:rsidR="00423405">
        <w:rPr>
          <w:rFonts w:asciiTheme="majorBidi" w:hAnsiTheme="majorBidi" w:cstheme="majorBidi"/>
          <w:color w:val="000000" w:themeColor="text1"/>
        </w:rPr>
        <w:t>.</w:t>
      </w:r>
    </w:p>
    <w:p w:rsidR="00A35CA0" w:rsidRDefault="00CC3C93" w:rsidP="00CA5FBB">
      <w:pPr>
        <w:tabs>
          <w:tab w:val="left" w:pos="360"/>
        </w:tabs>
        <w:spacing w:before="120" w:line="240" w:lineRule="auto"/>
        <w:jc w:val="left"/>
        <w:rPr>
          <w:noProof/>
          <w:color w:val="000000" w:themeColor="text1"/>
        </w:rPr>
      </w:pPr>
      <w:r w:rsidRPr="00D57B7C">
        <w:rPr>
          <w:noProof/>
          <w:color w:val="000000" w:themeColor="text1"/>
        </w:rPr>
        <w:t xml:space="preserve">Meinl, A.  Tangl, S.  Huber, C.  Maurer, B.  Watzek, G.  2007.  The chronology of third molar mineralization in the Austrian population—a contribution to forensic age estimation.  </w:t>
      </w:r>
      <w:r w:rsidRPr="00D57B7C">
        <w:rPr>
          <w:i/>
          <w:noProof/>
          <w:color w:val="000000" w:themeColor="text1"/>
        </w:rPr>
        <w:t>Forensic Science International</w:t>
      </w:r>
      <w:r w:rsidRPr="00D57B7C">
        <w:rPr>
          <w:noProof/>
          <w:color w:val="000000" w:themeColor="text1"/>
        </w:rPr>
        <w:t xml:space="preserve"> 169(2-3): 161–167</w:t>
      </w:r>
      <w:r w:rsidR="005022D4">
        <w:rPr>
          <w:noProof/>
          <w:color w:val="000000" w:themeColor="text1"/>
        </w:rPr>
        <w:t>.</w:t>
      </w:r>
    </w:p>
    <w:p w:rsidR="00A35CA0" w:rsidRDefault="00CC3C93" w:rsidP="00CA5FBB">
      <w:pPr>
        <w:pStyle w:val="ListParagraph"/>
        <w:spacing w:before="120" w:line="240" w:lineRule="auto"/>
        <w:ind w:left="0"/>
        <w:jc w:val="left"/>
        <w:rPr>
          <w:noProof/>
        </w:rPr>
      </w:pPr>
      <w:r>
        <w:rPr>
          <w:noProof/>
        </w:rPr>
        <w:t xml:space="preserve">Mensforth, R.P.  1985.  </w:t>
      </w:r>
      <w:r w:rsidRPr="00144EBB">
        <w:rPr>
          <w:noProof/>
        </w:rPr>
        <w:t>Relative tibia long bone growth in the Libben and Bt-5 prehistoric skeletal populations</w:t>
      </w:r>
      <w:r>
        <w:rPr>
          <w:noProof/>
        </w:rPr>
        <w:t xml:space="preserve">.  </w:t>
      </w:r>
      <w:r>
        <w:rPr>
          <w:i/>
          <w:noProof/>
        </w:rPr>
        <w:t xml:space="preserve">American Journal of Physical Anthropology </w:t>
      </w:r>
      <w:r>
        <w:rPr>
          <w:noProof/>
        </w:rPr>
        <w:t>68(2):</w:t>
      </w:r>
      <w:r w:rsidR="005022D4">
        <w:rPr>
          <w:noProof/>
        </w:rPr>
        <w:t xml:space="preserve"> </w:t>
      </w:r>
      <w:r>
        <w:rPr>
          <w:noProof/>
        </w:rPr>
        <w:t>247-262</w:t>
      </w:r>
      <w:r w:rsidR="005022D4">
        <w:rPr>
          <w:noProof/>
        </w:rPr>
        <w:t>.</w:t>
      </w:r>
    </w:p>
    <w:p w:rsidR="00A35CA0" w:rsidRDefault="00CC3C93" w:rsidP="00CA5FBB">
      <w:pPr>
        <w:spacing w:before="120" w:line="240" w:lineRule="auto"/>
        <w:jc w:val="left"/>
        <w:rPr>
          <w:rFonts w:asciiTheme="majorBidi" w:hAnsiTheme="majorBidi" w:cstheme="majorBidi"/>
          <w:color w:val="000000"/>
          <w:lang w:val="de-DE"/>
        </w:rPr>
      </w:pPr>
      <w:r w:rsidRPr="00667B89">
        <w:rPr>
          <w:rFonts w:asciiTheme="majorBidi" w:hAnsiTheme="majorBidi" w:cstheme="majorBidi"/>
          <w:color w:val="000000"/>
          <w:lang w:val="en-CA"/>
        </w:rPr>
        <w:t xml:space="preserve">Michejda, M.  1987.  Skeletal development of the wrist and hand in </w:t>
      </w:r>
      <w:r w:rsidRPr="00667B89">
        <w:rPr>
          <w:rFonts w:asciiTheme="majorBidi" w:hAnsiTheme="majorBidi" w:cstheme="majorBidi"/>
          <w:i/>
          <w:color w:val="000000"/>
          <w:lang w:val="en-CA"/>
        </w:rPr>
        <w:t>Macaca mulatta</w:t>
      </w:r>
      <w:r w:rsidRPr="00667B89">
        <w:rPr>
          <w:rFonts w:asciiTheme="majorBidi" w:hAnsiTheme="majorBidi" w:cstheme="majorBidi"/>
          <w:color w:val="000000"/>
          <w:lang w:val="en-CA"/>
        </w:rPr>
        <w:t xml:space="preserve"> and man.  </w:t>
      </w:r>
      <w:r w:rsidRPr="00667B89">
        <w:rPr>
          <w:rFonts w:asciiTheme="majorBidi" w:hAnsiTheme="majorBidi" w:cstheme="majorBidi"/>
          <w:i/>
          <w:color w:val="000000"/>
          <w:lang w:val="de-DE"/>
        </w:rPr>
        <w:t>T Roentgenographic atlas</w:t>
      </w:r>
      <w:r w:rsidRPr="00667B89">
        <w:rPr>
          <w:rFonts w:asciiTheme="majorBidi" w:hAnsiTheme="majorBidi" w:cstheme="majorBidi"/>
          <w:color w:val="000000"/>
          <w:lang w:val="de-DE"/>
        </w:rPr>
        <w:t>.  Karger</w:t>
      </w:r>
      <w:r w:rsidR="005022D4">
        <w:rPr>
          <w:rFonts w:asciiTheme="majorBidi" w:hAnsiTheme="majorBidi" w:cstheme="majorBidi"/>
          <w:color w:val="000000"/>
          <w:lang w:val="de-DE"/>
        </w:rPr>
        <w:t>:</w:t>
      </w:r>
      <w:r w:rsidRPr="00667B89">
        <w:rPr>
          <w:rFonts w:asciiTheme="majorBidi" w:hAnsiTheme="majorBidi" w:cstheme="majorBidi"/>
          <w:color w:val="000000"/>
          <w:lang w:val="de-DE"/>
        </w:rPr>
        <w:t xml:space="preserve"> Basel</w:t>
      </w:r>
      <w:r w:rsidR="00D33317">
        <w:rPr>
          <w:rFonts w:asciiTheme="majorBidi" w:hAnsiTheme="majorBidi" w:cstheme="majorBidi"/>
          <w:color w:val="000000"/>
          <w:lang w:val="de-DE"/>
        </w:rPr>
        <w:t>.</w:t>
      </w:r>
    </w:p>
    <w:p w:rsidR="00A35CA0" w:rsidRDefault="00CC3C93" w:rsidP="00CA5FBB">
      <w:pPr>
        <w:pStyle w:val="ListParagraph"/>
        <w:spacing w:before="120" w:line="240" w:lineRule="auto"/>
        <w:ind w:left="0"/>
        <w:jc w:val="left"/>
        <w:rPr>
          <w:noProof/>
        </w:rPr>
      </w:pPr>
      <w:r>
        <w:rPr>
          <w:noProof/>
        </w:rPr>
        <w:t>Miles</w:t>
      </w:r>
      <w:r w:rsidRPr="007A1D07">
        <w:rPr>
          <w:noProof/>
        </w:rPr>
        <w:t xml:space="preserve">, A. E. W. </w:t>
      </w:r>
      <w:r>
        <w:rPr>
          <w:noProof/>
        </w:rPr>
        <w:t xml:space="preserve"> </w:t>
      </w:r>
      <w:r w:rsidRPr="007A1D07">
        <w:rPr>
          <w:noProof/>
        </w:rPr>
        <w:t>Bulman</w:t>
      </w:r>
      <w:r>
        <w:rPr>
          <w:noProof/>
        </w:rPr>
        <w:t>,</w:t>
      </w:r>
      <w:r w:rsidRPr="007A1D07">
        <w:rPr>
          <w:noProof/>
        </w:rPr>
        <w:t xml:space="preserve"> J. S.</w:t>
      </w:r>
      <w:r>
        <w:rPr>
          <w:noProof/>
        </w:rPr>
        <w:t xml:space="preserve">  1994.  G</w:t>
      </w:r>
      <w:r w:rsidRPr="007A1D07">
        <w:rPr>
          <w:noProof/>
        </w:rPr>
        <w:t>rowth curves of immature bones from a Scottish island population of sixteenth to mid-nineteenth century: Limb-bone diaphyses and some bones of the hand and foot</w:t>
      </w:r>
      <w:r>
        <w:rPr>
          <w:noProof/>
        </w:rPr>
        <w:t xml:space="preserve">.  </w:t>
      </w:r>
      <w:r w:rsidRPr="007A1D07">
        <w:rPr>
          <w:i/>
          <w:noProof/>
        </w:rPr>
        <w:t>International Journal of Osteoarchaeology</w:t>
      </w:r>
      <w:r>
        <w:rPr>
          <w:noProof/>
        </w:rPr>
        <w:t xml:space="preserve"> 4(2):121-136</w:t>
      </w:r>
      <w:r w:rsidR="00D33317">
        <w:rPr>
          <w:noProof/>
        </w:rPr>
        <w:t>.</w:t>
      </w:r>
    </w:p>
    <w:p w:rsidR="00A35CA0" w:rsidRDefault="00CC3C93" w:rsidP="00CA5FBB">
      <w:pPr>
        <w:tabs>
          <w:tab w:val="left" w:pos="360"/>
        </w:tabs>
        <w:spacing w:before="120" w:line="240" w:lineRule="auto"/>
        <w:jc w:val="left"/>
        <w:rPr>
          <w:noProof/>
          <w:color w:val="000000"/>
        </w:rPr>
      </w:pPr>
      <w:r>
        <w:rPr>
          <w:noProof/>
          <w:color w:val="000000"/>
        </w:rPr>
        <w:t xml:space="preserve">Mitteroecker, P.  Gunza, P.  Bernhard, M.  Schaefer, K.  2004.  Comparison of cranial ontogenetic trajectories among great apes and humans.  </w:t>
      </w:r>
      <w:r>
        <w:rPr>
          <w:i/>
          <w:noProof/>
          <w:color w:val="000000"/>
        </w:rPr>
        <w:t>Journal of Human Evolution</w:t>
      </w:r>
      <w:r>
        <w:rPr>
          <w:noProof/>
          <w:color w:val="000000"/>
        </w:rPr>
        <w:t xml:space="preserve"> 46</w:t>
      </w:r>
      <w:r w:rsidR="00D33317">
        <w:rPr>
          <w:noProof/>
          <w:color w:val="000000"/>
        </w:rPr>
        <w:t>(6)</w:t>
      </w:r>
      <w:r>
        <w:rPr>
          <w:noProof/>
          <w:color w:val="000000"/>
        </w:rPr>
        <w:t>: 679–698</w:t>
      </w:r>
      <w:r w:rsidR="00D33317">
        <w:rPr>
          <w:noProof/>
          <w:color w:val="000000"/>
        </w:rPr>
        <w:t>.</w:t>
      </w:r>
    </w:p>
    <w:p w:rsidR="00A35CA0" w:rsidRDefault="00CC3C93" w:rsidP="00CA5FBB">
      <w:pPr>
        <w:spacing w:before="120" w:line="240" w:lineRule="auto"/>
        <w:jc w:val="left"/>
        <w:rPr>
          <w:rFonts w:asciiTheme="majorBidi" w:hAnsiTheme="majorBidi" w:cstheme="majorBidi"/>
          <w:i/>
          <w:color w:val="000000"/>
        </w:rPr>
      </w:pPr>
      <w:r w:rsidRPr="00667B89">
        <w:rPr>
          <w:rFonts w:asciiTheme="majorBidi" w:hAnsiTheme="majorBidi" w:cstheme="majorBidi"/>
          <w:color w:val="000000"/>
          <w:lang w:val="de-DE"/>
        </w:rPr>
        <w:t xml:space="preserve">Mitteroecker, P.  Gunz, P.  Bookstein, F.L.  </w:t>
      </w:r>
      <w:r w:rsidRPr="00667B89">
        <w:rPr>
          <w:rFonts w:asciiTheme="majorBidi" w:hAnsiTheme="majorBidi" w:cstheme="majorBidi"/>
          <w:color w:val="000000"/>
        </w:rPr>
        <w:t xml:space="preserve">2005.  Heterochrony and geometric morphometrics: a comparison of cranial growth in </w:t>
      </w:r>
      <w:r w:rsidRPr="00667B89">
        <w:rPr>
          <w:rStyle w:val="i3"/>
          <w:rFonts w:asciiTheme="majorBidi" w:hAnsiTheme="majorBidi" w:cstheme="majorBidi"/>
          <w:color w:val="000000"/>
        </w:rPr>
        <w:t xml:space="preserve">Pan </w:t>
      </w:r>
      <w:proofErr w:type="gramStart"/>
      <w:r w:rsidRPr="00667B89">
        <w:rPr>
          <w:rStyle w:val="i3"/>
          <w:rFonts w:asciiTheme="majorBidi" w:hAnsiTheme="majorBidi" w:cstheme="majorBidi"/>
          <w:color w:val="000000"/>
        </w:rPr>
        <w:t>paniscus</w:t>
      </w:r>
      <w:proofErr w:type="gramEnd"/>
      <w:r w:rsidRPr="00667B89">
        <w:rPr>
          <w:rFonts w:asciiTheme="majorBidi" w:hAnsiTheme="majorBidi" w:cstheme="majorBidi"/>
          <w:color w:val="000000"/>
        </w:rPr>
        <w:t xml:space="preserve"> versus </w:t>
      </w:r>
      <w:r w:rsidRPr="00667B89">
        <w:rPr>
          <w:rStyle w:val="i3"/>
          <w:rFonts w:asciiTheme="majorBidi" w:hAnsiTheme="majorBidi" w:cstheme="majorBidi"/>
          <w:color w:val="000000"/>
        </w:rPr>
        <w:t xml:space="preserve">Pan troglodytes.  Evolution and Development </w:t>
      </w:r>
      <w:r w:rsidRPr="00D33317">
        <w:rPr>
          <w:rStyle w:val="i3"/>
          <w:rFonts w:asciiTheme="majorBidi" w:hAnsiTheme="majorBidi" w:cstheme="majorBidi"/>
          <w:i w:val="0"/>
          <w:color w:val="000000"/>
        </w:rPr>
        <w:t>7</w:t>
      </w:r>
      <w:r w:rsidR="00D33317">
        <w:rPr>
          <w:rStyle w:val="i3"/>
          <w:rFonts w:asciiTheme="majorBidi" w:hAnsiTheme="majorBidi" w:cstheme="majorBidi"/>
          <w:i w:val="0"/>
          <w:color w:val="000000"/>
        </w:rPr>
        <w:t>(</w:t>
      </w:r>
      <w:r w:rsidRPr="00D33317">
        <w:rPr>
          <w:rStyle w:val="i3"/>
          <w:rFonts w:asciiTheme="majorBidi" w:hAnsiTheme="majorBidi" w:cstheme="majorBidi"/>
          <w:i w:val="0"/>
          <w:color w:val="000000"/>
        </w:rPr>
        <w:t>3</w:t>
      </w:r>
      <w:r w:rsidR="00D33317">
        <w:rPr>
          <w:rStyle w:val="i3"/>
          <w:rFonts w:asciiTheme="majorBidi" w:hAnsiTheme="majorBidi" w:cstheme="majorBidi"/>
          <w:i w:val="0"/>
          <w:color w:val="000000"/>
        </w:rPr>
        <w:t>)</w:t>
      </w:r>
      <w:r w:rsidRPr="00D33317">
        <w:rPr>
          <w:rStyle w:val="i3"/>
          <w:rFonts w:asciiTheme="majorBidi" w:hAnsiTheme="majorBidi" w:cstheme="majorBidi"/>
          <w:i w:val="0"/>
          <w:color w:val="000000"/>
        </w:rPr>
        <w:t>: 244-258</w:t>
      </w:r>
      <w:r w:rsidR="00D33317">
        <w:rPr>
          <w:rStyle w:val="i3"/>
          <w:rFonts w:asciiTheme="majorBidi" w:hAnsiTheme="majorBidi" w:cstheme="majorBidi"/>
          <w:i w:val="0"/>
          <w:color w:val="000000"/>
        </w:rPr>
        <w:t>.</w:t>
      </w:r>
    </w:p>
    <w:p w:rsidR="00A35CA0" w:rsidRDefault="00CC3C93" w:rsidP="00CA5FBB">
      <w:pPr>
        <w:spacing w:before="120" w:line="240" w:lineRule="auto"/>
        <w:jc w:val="left"/>
        <w:rPr>
          <w:noProof/>
          <w:color w:val="000000"/>
        </w:rPr>
      </w:pPr>
      <w:r w:rsidRPr="00351FF6">
        <w:rPr>
          <w:noProof/>
          <w:color w:val="000000"/>
        </w:rPr>
        <w:t>Monge, J.  Mann,</w:t>
      </w:r>
      <w:r w:rsidR="00FA44CD">
        <w:rPr>
          <w:noProof/>
          <w:color w:val="000000"/>
        </w:rPr>
        <w:t xml:space="preserve"> </w:t>
      </w:r>
      <w:r w:rsidRPr="00351FF6">
        <w:rPr>
          <w:noProof/>
          <w:color w:val="000000"/>
        </w:rPr>
        <w:t>A</w:t>
      </w:r>
      <w:r w:rsidR="00FA44CD">
        <w:rPr>
          <w:noProof/>
          <w:color w:val="000000"/>
        </w:rPr>
        <w:t>.</w:t>
      </w:r>
      <w:r w:rsidRPr="00351FF6">
        <w:rPr>
          <w:noProof/>
          <w:color w:val="000000"/>
        </w:rPr>
        <w:t xml:space="preserve">  Stout, A.  Rog</w:t>
      </w:r>
      <w:r w:rsidRPr="00351FF6">
        <w:rPr>
          <w:lang w:val="en-GB" w:eastAsia="en-GB"/>
        </w:rPr>
        <w:t>è</w:t>
      </w:r>
      <w:r w:rsidRPr="00351FF6">
        <w:rPr>
          <w:noProof/>
          <w:color w:val="000000"/>
        </w:rPr>
        <w:t xml:space="preserve">r, J. Wadenya, R.  2007.  </w:t>
      </w:r>
      <w:r w:rsidRPr="00351FF6">
        <w:rPr>
          <w:i/>
          <w:noProof/>
          <w:color w:val="000000"/>
        </w:rPr>
        <w:t>Dental calcification stages of the permanent M1 and M2 in U.S. children of African-American and European-American ancestry born in the 1990s</w:t>
      </w:r>
      <w:r w:rsidRPr="00351FF6">
        <w:rPr>
          <w:noProof/>
          <w:color w:val="000000"/>
        </w:rPr>
        <w:t>. In: Dental Perspectives on Human Evolution.  Bailey, S.W.  Hublin,m J.J. (eds).  Spring: Netherlands. pp. 263-274</w:t>
      </w:r>
      <w:r w:rsidR="00DB7C17">
        <w:rPr>
          <w:noProof/>
          <w:color w:val="000000"/>
        </w:rPr>
        <w:t>.</w:t>
      </w:r>
    </w:p>
    <w:p w:rsidR="00A35CA0" w:rsidRDefault="00CC3C93" w:rsidP="00CA5FBB">
      <w:pPr>
        <w:spacing w:before="120" w:line="240" w:lineRule="auto"/>
        <w:jc w:val="left"/>
        <w:rPr>
          <w:noProof/>
          <w:color w:val="000000"/>
        </w:rPr>
      </w:pPr>
      <w:r w:rsidRPr="00BD79BD">
        <w:rPr>
          <w:noProof/>
          <w:color w:val="000000"/>
        </w:rPr>
        <w:t xml:space="preserve">Morbeck, M.E.  Zihlman, A.L.  1989.  Body size and proportions in chimpanzees, with special reference to </w:t>
      </w:r>
      <w:r w:rsidRPr="00BD79BD">
        <w:rPr>
          <w:i/>
          <w:noProof/>
          <w:color w:val="000000"/>
        </w:rPr>
        <w:t>Pan troglodytes schweinfurthii</w:t>
      </w:r>
      <w:r w:rsidRPr="00BD79BD">
        <w:rPr>
          <w:noProof/>
          <w:color w:val="000000"/>
        </w:rPr>
        <w:t xml:space="preserve"> from Gombe National Park, Tanzania.  </w:t>
      </w:r>
      <w:r w:rsidRPr="00BD79BD">
        <w:rPr>
          <w:i/>
          <w:noProof/>
          <w:color w:val="000000"/>
        </w:rPr>
        <w:t xml:space="preserve">Primates </w:t>
      </w:r>
      <w:r w:rsidRPr="00BD79BD">
        <w:rPr>
          <w:noProof/>
          <w:color w:val="000000"/>
        </w:rPr>
        <w:t>30(3): 369-382</w:t>
      </w:r>
      <w:r w:rsidR="00DB7C17">
        <w:rPr>
          <w:noProof/>
          <w:color w:val="000000"/>
        </w:rPr>
        <w:t>.</w:t>
      </w:r>
    </w:p>
    <w:p w:rsidR="00A35CA0" w:rsidRDefault="00CC3C93" w:rsidP="00CA5FBB">
      <w:pPr>
        <w:spacing w:before="120" w:line="240" w:lineRule="auto"/>
        <w:jc w:val="left"/>
        <w:rPr>
          <w:rFonts w:asciiTheme="majorBidi" w:hAnsiTheme="majorBidi" w:cstheme="majorBidi"/>
        </w:rPr>
      </w:pPr>
      <w:r>
        <w:rPr>
          <w:rFonts w:asciiTheme="majorBidi" w:hAnsiTheme="majorBidi" w:cstheme="majorBidi"/>
        </w:rPr>
        <w:t xml:space="preserve">Moorrees, C.  </w:t>
      </w:r>
      <w:proofErr w:type="gramStart"/>
      <w:r>
        <w:rPr>
          <w:rFonts w:asciiTheme="majorBidi" w:hAnsiTheme="majorBidi" w:cstheme="majorBidi"/>
        </w:rPr>
        <w:t>Fanning, E.</w:t>
      </w:r>
      <w:proofErr w:type="gramEnd"/>
      <w:r>
        <w:rPr>
          <w:rFonts w:asciiTheme="majorBidi" w:hAnsiTheme="majorBidi" w:cstheme="majorBidi"/>
        </w:rPr>
        <w:t xml:space="preserve">  </w:t>
      </w:r>
      <w:proofErr w:type="gramStart"/>
      <w:r>
        <w:rPr>
          <w:rFonts w:asciiTheme="majorBidi" w:hAnsiTheme="majorBidi" w:cstheme="majorBidi"/>
        </w:rPr>
        <w:t>Hunt, E.</w:t>
      </w:r>
      <w:proofErr w:type="gramEnd"/>
      <w:r>
        <w:rPr>
          <w:rFonts w:asciiTheme="majorBidi" w:hAnsiTheme="majorBidi" w:cstheme="majorBidi"/>
        </w:rPr>
        <w:t xml:space="preserve">  1963.  Age variation of formation stages for ten permanent teeth.  </w:t>
      </w:r>
      <w:r>
        <w:rPr>
          <w:rFonts w:asciiTheme="majorBidi" w:hAnsiTheme="majorBidi" w:cstheme="majorBidi"/>
          <w:i/>
        </w:rPr>
        <w:t>Dental Research</w:t>
      </w:r>
      <w:r>
        <w:rPr>
          <w:rFonts w:asciiTheme="majorBidi" w:hAnsiTheme="majorBidi" w:cstheme="majorBidi"/>
        </w:rPr>
        <w:t xml:space="preserve"> 42(6): 1490-1502.</w:t>
      </w:r>
    </w:p>
    <w:p w:rsidR="00A35CA0" w:rsidRDefault="00CC3C93" w:rsidP="00CA5FBB">
      <w:pPr>
        <w:spacing w:before="120" w:line="240" w:lineRule="auto"/>
        <w:jc w:val="left"/>
        <w:rPr>
          <w:rFonts w:asciiTheme="majorBidi" w:hAnsiTheme="majorBidi" w:cstheme="majorBidi"/>
        </w:rPr>
      </w:pPr>
      <w:proofErr w:type="gramStart"/>
      <w:r w:rsidRPr="00667B89">
        <w:rPr>
          <w:rFonts w:asciiTheme="majorBidi" w:hAnsiTheme="majorBidi" w:cstheme="majorBidi"/>
        </w:rPr>
        <w:t>Morriss-Kay, G.M.</w:t>
      </w:r>
      <w:proofErr w:type="gramEnd"/>
      <w:r w:rsidRPr="00667B89">
        <w:rPr>
          <w:rFonts w:asciiTheme="majorBidi" w:hAnsiTheme="majorBidi" w:cstheme="majorBidi"/>
        </w:rPr>
        <w:t xml:space="preserve">  2001.  Derivation of the mammalian skull vault.  </w:t>
      </w:r>
      <w:r w:rsidRPr="00667B89">
        <w:rPr>
          <w:rFonts w:asciiTheme="majorBidi" w:hAnsiTheme="majorBidi" w:cstheme="majorBidi"/>
          <w:i/>
        </w:rPr>
        <w:t>Journal of Anatomy</w:t>
      </w:r>
      <w:r w:rsidRPr="00667B89">
        <w:rPr>
          <w:rFonts w:asciiTheme="majorBidi" w:hAnsiTheme="majorBidi" w:cstheme="majorBidi"/>
        </w:rPr>
        <w:t xml:space="preserve"> 199</w:t>
      </w:r>
      <w:r w:rsidR="00DB7C17">
        <w:rPr>
          <w:rFonts w:asciiTheme="majorBidi" w:hAnsiTheme="majorBidi" w:cstheme="majorBidi"/>
        </w:rPr>
        <w:t>(1-2)</w:t>
      </w:r>
      <w:r w:rsidRPr="00667B89">
        <w:rPr>
          <w:rFonts w:asciiTheme="majorBidi" w:hAnsiTheme="majorBidi" w:cstheme="majorBidi"/>
        </w:rPr>
        <w:t>:</w:t>
      </w:r>
      <w:r w:rsidR="001A4264">
        <w:rPr>
          <w:rFonts w:asciiTheme="majorBidi" w:hAnsiTheme="majorBidi" w:cstheme="majorBidi"/>
        </w:rPr>
        <w:t xml:space="preserve"> </w:t>
      </w:r>
      <w:r w:rsidRPr="00667B89">
        <w:rPr>
          <w:rFonts w:asciiTheme="majorBidi" w:hAnsiTheme="majorBidi" w:cstheme="majorBidi"/>
        </w:rPr>
        <w:t>143-151</w:t>
      </w:r>
      <w:r w:rsidR="00DB7C17">
        <w:rPr>
          <w:rFonts w:asciiTheme="majorBidi" w:hAnsiTheme="majorBidi" w:cstheme="majorBidi"/>
        </w:rPr>
        <w:t>.</w:t>
      </w:r>
    </w:p>
    <w:p w:rsidR="00A35CA0" w:rsidRDefault="00CC3C93" w:rsidP="00CA5FBB">
      <w:pPr>
        <w:spacing w:before="120" w:line="240" w:lineRule="auto"/>
        <w:jc w:val="left"/>
        <w:rPr>
          <w:noProof/>
          <w:color w:val="000000"/>
        </w:rPr>
      </w:pPr>
      <w:r>
        <w:rPr>
          <w:noProof/>
          <w:color w:val="000000"/>
        </w:rPr>
        <w:t>Myatt</w:t>
      </w:r>
      <w:r w:rsidRPr="004666AB">
        <w:rPr>
          <w:noProof/>
          <w:color w:val="000000"/>
        </w:rPr>
        <w:t>,</w:t>
      </w:r>
      <w:r>
        <w:rPr>
          <w:noProof/>
          <w:color w:val="000000"/>
        </w:rPr>
        <w:t xml:space="preserve"> J.P.  Crompton</w:t>
      </w:r>
      <w:r w:rsidRPr="004666AB">
        <w:rPr>
          <w:noProof/>
          <w:color w:val="000000"/>
        </w:rPr>
        <w:t>,</w:t>
      </w:r>
      <w:r>
        <w:rPr>
          <w:noProof/>
          <w:color w:val="000000"/>
        </w:rPr>
        <w:t xml:space="preserve"> R.H.  Susannah K. S. Thorpe, S.K.S.  2011.  </w:t>
      </w:r>
      <w:r w:rsidRPr="004666AB">
        <w:rPr>
          <w:noProof/>
          <w:color w:val="000000"/>
        </w:rPr>
        <w:t>Hindlimb muscle architecture in non-human great apes and a comparison of methods for analysing inter-species variation</w:t>
      </w:r>
      <w:r>
        <w:rPr>
          <w:noProof/>
          <w:color w:val="000000"/>
        </w:rPr>
        <w:t xml:space="preserve">.  </w:t>
      </w:r>
      <w:r w:rsidRPr="004666AB">
        <w:rPr>
          <w:i/>
          <w:noProof/>
          <w:color w:val="000000"/>
        </w:rPr>
        <w:t>Journal of Anatomy</w:t>
      </w:r>
      <w:r>
        <w:rPr>
          <w:noProof/>
          <w:color w:val="000000"/>
        </w:rPr>
        <w:t xml:space="preserve"> </w:t>
      </w:r>
      <w:r w:rsidRPr="004666AB">
        <w:rPr>
          <w:noProof/>
          <w:color w:val="000000"/>
        </w:rPr>
        <w:t>219</w:t>
      </w:r>
      <w:r>
        <w:rPr>
          <w:noProof/>
          <w:color w:val="000000"/>
        </w:rPr>
        <w:t>(</w:t>
      </w:r>
      <w:r w:rsidRPr="004666AB">
        <w:rPr>
          <w:noProof/>
          <w:color w:val="000000"/>
        </w:rPr>
        <w:t>2</w:t>
      </w:r>
      <w:r>
        <w:rPr>
          <w:noProof/>
          <w:color w:val="000000"/>
        </w:rPr>
        <w:t xml:space="preserve">): </w:t>
      </w:r>
      <w:r w:rsidRPr="004666AB">
        <w:rPr>
          <w:noProof/>
          <w:color w:val="000000"/>
        </w:rPr>
        <w:t>150–166</w:t>
      </w:r>
      <w:r w:rsidR="001A4264">
        <w:rPr>
          <w:noProof/>
          <w:color w:val="000000"/>
        </w:rPr>
        <w:t>.</w:t>
      </w:r>
    </w:p>
    <w:p w:rsidR="00A35CA0" w:rsidRDefault="00CC3C93" w:rsidP="00CA5FBB">
      <w:pPr>
        <w:spacing w:before="120" w:line="240" w:lineRule="auto"/>
        <w:jc w:val="left"/>
        <w:rPr>
          <w:noProof/>
        </w:rPr>
      </w:pPr>
      <w:r w:rsidRPr="00C24926">
        <w:rPr>
          <w:noProof/>
        </w:rPr>
        <w:t xml:space="preserve">Nass, G.  1977.  Intra-group variations in dental eruption sequence of  Macacu fuscata fuscata.  </w:t>
      </w:r>
      <w:r w:rsidRPr="00C24926">
        <w:rPr>
          <w:i/>
          <w:noProof/>
        </w:rPr>
        <w:t>Folia Primatological</w:t>
      </w:r>
      <w:r w:rsidRPr="00C24926">
        <w:rPr>
          <w:noProof/>
        </w:rPr>
        <w:t xml:space="preserve">  28</w:t>
      </w:r>
      <w:r w:rsidR="001A52D3">
        <w:rPr>
          <w:noProof/>
        </w:rPr>
        <w:t>(4)</w:t>
      </w:r>
      <w:r w:rsidRPr="00C24926">
        <w:rPr>
          <w:noProof/>
        </w:rPr>
        <w:t>:</w:t>
      </w:r>
      <w:r w:rsidR="001A52D3">
        <w:rPr>
          <w:noProof/>
        </w:rPr>
        <w:t xml:space="preserve"> </w:t>
      </w:r>
      <w:r w:rsidRPr="00C24926">
        <w:rPr>
          <w:noProof/>
        </w:rPr>
        <w:t>306-314</w:t>
      </w:r>
      <w:r w:rsidR="001A4264">
        <w:rPr>
          <w:noProof/>
        </w:rPr>
        <w:t>.</w:t>
      </w:r>
    </w:p>
    <w:p w:rsidR="00A35CA0" w:rsidRDefault="00CC3C93" w:rsidP="00CA5FBB">
      <w:pPr>
        <w:spacing w:before="120" w:line="240" w:lineRule="auto"/>
        <w:jc w:val="left"/>
        <w:rPr>
          <w:rFonts w:asciiTheme="majorBidi" w:hAnsiTheme="majorBidi" w:cstheme="majorBidi"/>
          <w:color w:val="000000"/>
          <w:lang w:val="en-CA"/>
        </w:rPr>
      </w:pPr>
      <w:proofErr w:type="gramStart"/>
      <w:r w:rsidRPr="00667B89">
        <w:rPr>
          <w:rFonts w:asciiTheme="majorBidi" w:hAnsiTheme="majorBidi" w:cstheme="majorBidi"/>
          <w:color w:val="000000"/>
          <w:lang w:val="en-CA"/>
        </w:rPr>
        <w:lastRenderedPageBreak/>
        <w:t>Newell-Morris, L.</w:t>
      </w:r>
      <w:proofErr w:type="gramEnd"/>
      <w:r w:rsidRPr="00667B89">
        <w:rPr>
          <w:rFonts w:asciiTheme="majorBidi" w:hAnsiTheme="majorBidi" w:cstheme="majorBidi"/>
          <w:color w:val="000000"/>
          <w:lang w:val="en-CA"/>
        </w:rPr>
        <w:t xml:space="preserve">  Tarrant, L.H.  1978.  Ossification in the hand and foot of the macaque </w:t>
      </w:r>
      <w:r w:rsidRPr="00122C9C">
        <w:rPr>
          <w:rFonts w:asciiTheme="majorBidi" w:hAnsiTheme="majorBidi" w:cstheme="majorBidi"/>
          <w:color w:val="000000"/>
          <w:lang w:val="en-CA"/>
        </w:rPr>
        <w:t>(</w:t>
      </w:r>
      <w:r w:rsidRPr="00667B89">
        <w:rPr>
          <w:rFonts w:asciiTheme="majorBidi" w:hAnsiTheme="majorBidi" w:cstheme="majorBidi"/>
          <w:i/>
          <w:color w:val="000000"/>
          <w:lang w:val="en-CA"/>
        </w:rPr>
        <w:t>Macaca nemestrina</w:t>
      </w:r>
      <w:r w:rsidRPr="00667B89">
        <w:rPr>
          <w:rFonts w:asciiTheme="majorBidi" w:hAnsiTheme="majorBidi" w:cstheme="majorBidi"/>
          <w:color w:val="000000"/>
          <w:lang w:val="en-CA"/>
        </w:rPr>
        <w:t xml:space="preserve">).  </w:t>
      </w:r>
      <w:proofErr w:type="gramStart"/>
      <w:r w:rsidRPr="00667B89">
        <w:rPr>
          <w:rFonts w:asciiTheme="majorBidi" w:hAnsiTheme="majorBidi" w:cstheme="majorBidi"/>
          <w:i/>
          <w:color w:val="000000"/>
          <w:lang w:val="en-CA"/>
        </w:rPr>
        <w:t>American  Journal</w:t>
      </w:r>
      <w:proofErr w:type="gramEnd"/>
      <w:r w:rsidRPr="00667B89">
        <w:rPr>
          <w:rFonts w:asciiTheme="majorBidi" w:hAnsiTheme="majorBidi" w:cstheme="majorBidi"/>
          <w:i/>
          <w:color w:val="000000"/>
          <w:lang w:val="en-CA"/>
        </w:rPr>
        <w:t xml:space="preserve"> of Physical Anthropology</w:t>
      </w:r>
      <w:r w:rsidRPr="00667B89">
        <w:rPr>
          <w:rFonts w:asciiTheme="majorBidi" w:hAnsiTheme="majorBidi" w:cstheme="majorBidi"/>
          <w:color w:val="000000"/>
          <w:lang w:val="en-CA"/>
        </w:rPr>
        <w:t xml:space="preserve"> 48</w:t>
      </w:r>
      <w:r w:rsidR="008A77A1">
        <w:rPr>
          <w:rFonts w:asciiTheme="majorBidi" w:hAnsiTheme="majorBidi" w:cstheme="majorBidi"/>
          <w:color w:val="000000"/>
          <w:lang w:val="en-CA"/>
        </w:rPr>
        <w:t>(4)</w:t>
      </w:r>
      <w:r w:rsidRPr="00667B89">
        <w:rPr>
          <w:rFonts w:asciiTheme="majorBidi" w:hAnsiTheme="majorBidi" w:cstheme="majorBidi"/>
          <w:color w:val="000000"/>
          <w:lang w:val="en-CA"/>
        </w:rPr>
        <w:t>:</w:t>
      </w:r>
      <w:r w:rsidR="008A77A1">
        <w:rPr>
          <w:rFonts w:asciiTheme="majorBidi" w:hAnsiTheme="majorBidi" w:cstheme="majorBidi"/>
          <w:color w:val="000000"/>
          <w:lang w:val="en-CA"/>
        </w:rPr>
        <w:t xml:space="preserve"> </w:t>
      </w:r>
      <w:r w:rsidRPr="00667B89">
        <w:rPr>
          <w:rFonts w:asciiTheme="majorBidi" w:hAnsiTheme="majorBidi" w:cstheme="majorBidi"/>
          <w:color w:val="000000"/>
          <w:lang w:val="en-CA"/>
        </w:rPr>
        <w:t>441-454</w:t>
      </w:r>
      <w:r w:rsidR="008A77A1">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proofErr w:type="gramStart"/>
      <w:r w:rsidRPr="00667B89">
        <w:rPr>
          <w:rFonts w:asciiTheme="majorBidi" w:hAnsiTheme="majorBidi" w:cstheme="majorBidi"/>
          <w:color w:val="000000"/>
          <w:lang w:val="en-CA"/>
        </w:rPr>
        <w:t>Newell-Morris, L.</w:t>
      </w:r>
      <w:proofErr w:type="gramEnd"/>
      <w:r w:rsidRPr="00667B89">
        <w:rPr>
          <w:rFonts w:asciiTheme="majorBidi" w:hAnsiTheme="majorBidi" w:cstheme="majorBidi"/>
          <w:color w:val="000000"/>
          <w:lang w:val="en-CA"/>
        </w:rPr>
        <w:t xml:space="preserve">  Tarrant, L.H.  </w:t>
      </w:r>
      <w:r w:rsidRPr="00667B89">
        <w:rPr>
          <w:rFonts w:asciiTheme="majorBidi" w:hAnsiTheme="majorBidi" w:cstheme="majorBidi"/>
          <w:color w:val="000000"/>
          <w:lang w:val="sv-SE"/>
        </w:rPr>
        <w:t xml:space="preserve">Farenbach, C.E.  Sackett, G.P.  </w:t>
      </w:r>
      <w:r w:rsidRPr="00667B89">
        <w:rPr>
          <w:rFonts w:asciiTheme="majorBidi" w:hAnsiTheme="majorBidi" w:cstheme="majorBidi"/>
          <w:color w:val="000000"/>
          <w:lang w:val="en-CA"/>
        </w:rPr>
        <w:t xml:space="preserve">1980.  </w:t>
      </w:r>
      <w:proofErr w:type="gramStart"/>
      <w:r w:rsidRPr="00667B89">
        <w:rPr>
          <w:rFonts w:asciiTheme="majorBidi" w:hAnsiTheme="majorBidi" w:cstheme="majorBidi"/>
          <w:color w:val="000000"/>
          <w:lang w:val="en-CA"/>
        </w:rPr>
        <w:t>Ossification in the hand of the pigtail macaque (</w:t>
      </w:r>
      <w:r w:rsidRPr="00667B89">
        <w:rPr>
          <w:rFonts w:asciiTheme="majorBidi" w:hAnsiTheme="majorBidi" w:cstheme="majorBidi"/>
          <w:i/>
          <w:color w:val="000000"/>
          <w:lang w:val="en-CA"/>
        </w:rPr>
        <w:t>Macaca nemestrina</w:t>
      </w:r>
      <w:r w:rsidRPr="00667B89">
        <w:rPr>
          <w:rFonts w:asciiTheme="majorBidi" w:hAnsiTheme="majorBidi" w:cstheme="majorBidi"/>
          <w:color w:val="000000"/>
          <w:lang w:val="en-CA"/>
        </w:rPr>
        <w:t>) 2.</w:t>
      </w:r>
      <w:proofErr w:type="gramEnd"/>
      <w:r w:rsidRPr="00667B89">
        <w:rPr>
          <w:rFonts w:asciiTheme="majorBidi" w:hAnsiTheme="majorBidi" w:cstheme="majorBidi"/>
          <w:color w:val="000000"/>
          <w:lang w:val="en-CA"/>
        </w:rPr>
        <w:t xml:space="preserve">  </w:t>
      </w:r>
      <w:proofErr w:type="gramStart"/>
      <w:r w:rsidRPr="00667B89">
        <w:rPr>
          <w:rFonts w:asciiTheme="majorBidi" w:hAnsiTheme="majorBidi" w:cstheme="majorBidi"/>
          <w:color w:val="000000"/>
          <w:lang w:val="en-CA"/>
        </w:rPr>
        <w:t>Order of appearance of centers and variability in sequence.</w:t>
      </w:r>
      <w:proofErr w:type="gramEnd"/>
      <w:r w:rsidRPr="00667B89">
        <w:rPr>
          <w:rFonts w:asciiTheme="majorBidi" w:hAnsiTheme="majorBidi" w:cstheme="majorBidi"/>
          <w:color w:val="000000"/>
          <w:lang w:val="en-CA"/>
        </w:rPr>
        <w:t xml:space="preserve">  </w:t>
      </w:r>
      <w:r w:rsidRPr="00667B89">
        <w:rPr>
          <w:rFonts w:asciiTheme="majorBidi" w:hAnsiTheme="majorBidi" w:cstheme="majorBidi"/>
          <w:i/>
          <w:color w:val="000000"/>
          <w:lang w:val="en-CA"/>
        </w:rPr>
        <w:t>American Journal of Physical Anthropology</w:t>
      </w:r>
      <w:r w:rsidRPr="00667B89">
        <w:rPr>
          <w:rFonts w:asciiTheme="majorBidi" w:hAnsiTheme="majorBidi" w:cstheme="majorBidi"/>
          <w:color w:val="000000"/>
          <w:lang w:val="en-CA"/>
        </w:rPr>
        <w:t xml:space="preserve"> 53</w:t>
      </w:r>
      <w:r w:rsidR="00717FAC">
        <w:rPr>
          <w:rFonts w:asciiTheme="majorBidi" w:hAnsiTheme="majorBidi" w:cstheme="majorBidi"/>
          <w:color w:val="000000"/>
          <w:lang w:val="en-CA"/>
        </w:rPr>
        <w:t>(3)</w:t>
      </w:r>
      <w:r w:rsidRPr="00667B89">
        <w:rPr>
          <w:rFonts w:asciiTheme="majorBidi" w:hAnsiTheme="majorBidi" w:cstheme="majorBidi"/>
          <w:color w:val="000000"/>
          <w:lang w:val="en-CA"/>
        </w:rPr>
        <w:t>:</w:t>
      </w:r>
      <w:r w:rsidR="00717FAC">
        <w:rPr>
          <w:rFonts w:asciiTheme="majorBidi" w:hAnsiTheme="majorBidi" w:cstheme="majorBidi"/>
          <w:color w:val="000000"/>
          <w:lang w:val="en-CA"/>
        </w:rPr>
        <w:t xml:space="preserve"> </w:t>
      </w:r>
      <w:r w:rsidRPr="00667B89">
        <w:rPr>
          <w:rFonts w:asciiTheme="majorBidi" w:hAnsiTheme="majorBidi" w:cstheme="majorBidi"/>
          <w:color w:val="000000"/>
          <w:lang w:val="en-CA"/>
        </w:rPr>
        <w:t>423-439</w:t>
      </w:r>
      <w:r w:rsidR="00717FAC">
        <w:rPr>
          <w:rFonts w:asciiTheme="majorBidi" w:hAnsiTheme="majorBidi" w:cstheme="majorBidi"/>
          <w:color w:val="000000"/>
          <w:lang w:val="en-CA"/>
        </w:rPr>
        <w:t>.</w:t>
      </w:r>
    </w:p>
    <w:p w:rsidR="00A35CA0" w:rsidRDefault="00CC3C93" w:rsidP="00CA5FBB">
      <w:pPr>
        <w:pStyle w:val="ListParagraph"/>
        <w:spacing w:before="120" w:line="240" w:lineRule="auto"/>
        <w:ind w:left="0"/>
        <w:jc w:val="left"/>
        <w:rPr>
          <w:noProof/>
        </w:rPr>
      </w:pPr>
      <w:r w:rsidRPr="007E7EBF">
        <w:rPr>
          <w:noProof/>
        </w:rPr>
        <w:t xml:space="preserve">Newman, M.T.  1953.  The Application of Ecological Rules to the Racial Anthropology of the Aboriginal New World.  </w:t>
      </w:r>
      <w:r w:rsidRPr="007E7EBF">
        <w:rPr>
          <w:i/>
          <w:noProof/>
        </w:rPr>
        <w:t>American Anthropologist</w:t>
      </w:r>
      <w:r w:rsidRPr="007E7EBF">
        <w:rPr>
          <w:noProof/>
        </w:rPr>
        <w:t xml:space="preserve"> 55(3): 311–327</w:t>
      </w:r>
      <w:r w:rsidR="0036261B">
        <w:rPr>
          <w:noProof/>
        </w:rPr>
        <w:t>.</w:t>
      </w:r>
    </w:p>
    <w:p w:rsidR="00A35CA0" w:rsidRDefault="00CC3C93" w:rsidP="00CA5FBB">
      <w:pPr>
        <w:spacing w:before="120" w:line="240" w:lineRule="auto"/>
        <w:jc w:val="left"/>
        <w:rPr>
          <w:rFonts w:asciiTheme="majorBidi" w:hAnsiTheme="majorBidi" w:cstheme="majorBidi"/>
        </w:rPr>
      </w:pPr>
      <w:r w:rsidRPr="00667B89">
        <w:rPr>
          <w:rFonts w:asciiTheme="majorBidi" w:hAnsiTheme="majorBidi" w:cstheme="majorBidi"/>
        </w:rPr>
        <w:t xml:space="preserve">Nilsson, O.  </w:t>
      </w:r>
      <w:proofErr w:type="gramStart"/>
      <w:r w:rsidRPr="00667B89">
        <w:rPr>
          <w:rFonts w:asciiTheme="majorBidi" w:hAnsiTheme="majorBidi" w:cstheme="majorBidi"/>
        </w:rPr>
        <w:t>Baron, J.</w:t>
      </w:r>
      <w:proofErr w:type="gramEnd"/>
      <w:r w:rsidRPr="00667B89">
        <w:rPr>
          <w:rFonts w:asciiTheme="majorBidi" w:hAnsiTheme="majorBidi" w:cstheme="majorBidi"/>
        </w:rPr>
        <w:t xml:space="preserve">  2004.  Fundamental limits on longitudinal bone growth: growth plate senescence and epiphyseal fusion.  </w:t>
      </w:r>
      <w:proofErr w:type="gramStart"/>
      <w:r w:rsidRPr="00667B89">
        <w:rPr>
          <w:rFonts w:asciiTheme="majorBidi" w:hAnsiTheme="majorBidi" w:cstheme="majorBidi"/>
          <w:i/>
        </w:rPr>
        <w:t>Trends in Endocrinology and Metabolism.</w:t>
      </w:r>
      <w:proofErr w:type="gramEnd"/>
      <w:r w:rsidRPr="00667B89">
        <w:rPr>
          <w:rFonts w:asciiTheme="majorBidi" w:hAnsiTheme="majorBidi" w:cstheme="majorBidi"/>
          <w:i/>
        </w:rPr>
        <w:t xml:space="preserve">  </w:t>
      </w:r>
      <w:r w:rsidRPr="00667B89">
        <w:rPr>
          <w:rFonts w:asciiTheme="majorBidi" w:hAnsiTheme="majorBidi" w:cstheme="majorBidi"/>
        </w:rPr>
        <w:t>15</w:t>
      </w:r>
      <w:r w:rsidR="0036261B">
        <w:rPr>
          <w:rFonts w:asciiTheme="majorBidi" w:hAnsiTheme="majorBidi" w:cstheme="majorBidi"/>
        </w:rPr>
        <w:t>(</w:t>
      </w:r>
      <w:r w:rsidRPr="00667B89">
        <w:rPr>
          <w:rFonts w:asciiTheme="majorBidi" w:hAnsiTheme="majorBidi" w:cstheme="majorBidi"/>
        </w:rPr>
        <w:t>8</w:t>
      </w:r>
      <w:r w:rsidR="0036261B">
        <w:rPr>
          <w:rFonts w:asciiTheme="majorBidi" w:hAnsiTheme="majorBidi" w:cstheme="majorBidi"/>
        </w:rPr>
        <w:t>)</w:t>
      </w:r>
      <w:r w:rsidRPr="00667B89">
        <w:rPr>
          <w:rFonts w:asciiTheme="majorBidi" w:hAnsiTheme="majorBidi" w:cstheme="majorBidi"/>
        </w:rPr>
        <w:t>: 370-374</w:t>
      </w:r>
      <w:r w:rsidR="0036261B">
        <w:rPr>
          <w:rFonts w:asciiTheme="majorBidi" w:hAnsiTheme="majorBidi" w:cstheme="majorBidi"/>
        </w:rPr>
        <w:t>.</w:t>
      </w:r>
    </w:p>
    <w:p w:rsidR="00A35CA0" w:rsidRDefault="00CC3C93" w:rsidP="00CA5FBB">
      <w:pPr>
        <w:spacing w:before="120" w:line="240" w:lineRule="auto"/>
        <w:jc w:val="left"/>
        <w:rPr>
          <w:noProof/>
        </w:rPr>
      </w:pPr>
      <w:r w:rsidRPr="00CC44BF">
        <w:rPr>
          <w:noProof/>
        </w:rPr>
        <w:t>Nishida</w:t>
      </w:r>
      <w:r>
        <w:rPr>
          <w:noProof/>
        </w:rPr>
        <w:t>,</w:t>
      </w:r>
      <w:r w:rsidRPr="00CC44BF">
        <w:rPr>
          <w:noProof/>
        </w:rPr>
        <w:t xml:space="preserve"> T</w:t>
      </w:r>
      <w:r>
        <w:rPr>
          <w:noProof/>
        </w:rPr>
        <w:t>.</w:t>
      </w:r>
      <w:r w:rsidRPr="00CC44BF">
        <w:rPr>
          <w:noProof/>
        </w:rPr>
        <w:t xml:space="preserve"> </w:t>
      </w:r>
      <w:r>
        <w:rPr>
          <w:noProof/>
        </w:rPr>
        <w:t xml:space="preserve"> </w:t>
      </w:r>
      <w:r w:rsidRPr="00CC44BF">
        <w:rPr>
          <w:noProof/>
        </w:rPr>
        <w:t>Corp</w:t>
      </w:r>
      <w:r>
        <w:rPr>
          <w:noProof/>
        </w:rPr>
        <w:t>,</w:t>
      </w:r>
      <w:r w:rsidRPr="00CC44BF">
        <w:rPr>
          <w:noProof/>
        </w:rPr>
        <w:t xml:space="preserve"> N</w:t>
      </w:r>
      <w:r>
        <w:rPr>
          <w:noProof/>
        </w:rPr>
        <w:t>.  Hamai, M.  Hasegawa, M.  Hiraiwa-</w:t>
      </w:r>
      <w:r w:rsidRPr="00CC44BF">
        <w:rPr>
          <w:noProof/>
        </w:rPr>
        <w:t>Hasegawa</w:t>
      </w:r>
      <w:r>
        <w:rPr>
          <w:noProof/>
        </w:rPr>
        <w:t>,</w:t>
      </w:r>
      <w:r w:rsidRPr="00CC44BF">
        <w:rPr>
          <w:noProof/>
        </w:rPr>
        <w:t xml:space="preserve"> </w:t>
      </w:r>
      <w:r>
        <w:rPr>
          <w:noProof/>
        </w:rPr>
        <w:t xml:space="preserve"> </w:t>
      </w:r>
      <w:r w:rsidRPr="00CC44BF">
        <w:rPr>
          <w:noProof/>
        </w:rPr>
        <w:t>H</w:t>
      </w:r>
      <w:r>
        <w:rPr>
          <w:noProof/>
        </w:rPr>
        <w:t>.</w:t>
      </w:r>
      <w:r w:rsidRPr="00CC44BF">
        <w:rPr>
          <w:noProof/>
        </w:rPr>
        <w:t xml:space="preserve"> Hosaka</w:t>
      </w:r>
      <w:r>
        <w:rPr>
          <w:noProof/>
        </w:rPr>
        <w:t>,</w:t>
      </w:r>
      <w:r w:rsidRPr="00CC44BF">
        <w:rPr>
          <w:noProof/>
        </w:rPr>
        <w:t xml:space="preserve"> </w:t>
      </w:r>
      <w:r>
        <w:rPr>
          <w:noProof/>
        </w:rPr>
        <w:t xml:space="preserve">K.  Hunt, K.D.  Itoh, N.  Kawanaka, K.  </w:t>
      </w:r>
      <w:r w:rsidRPr="00CC44BF">
        <w:rPr>
          <w:noProof/>
        </w:rPr>
        <w:t>Matsumoto-Oda</w:t>
      </w:r>
      <w:r>
        <w:rPr>
          <w:noProof/>
        </w:rPr>
        <w:t>,</w:t>
      </w:r>
      <w:r w:rsidRPr="00CC44BF">
        <w:rPr>
          <w:noProof/>
        </w:rPr>
        <w:t xml:space="preserve"> A</w:t>
      </w:r>
      <w:r>
        <w:rPr>
          <w:noProof/>
        </w:rPr>
        <w:t>.</w:t>
      </w:r>
      <w:r w:rsidRPr="00CC44BF">
        <w:rPr>
          <w:noProof/>
        </w:rPr>
        <w:t xml:space="preserve"> </w:t>
      </w:r>
      <w:r>
        <w:rPr>
          <w:noProof/>
        </w:rPr>
        <w:t xml:space="preserve"> </w:t>
      </w:r>
      <w:r w:rsidRPr="00CC44BF">
        <w:rPr>
          <w:noProof/>
        </w:rPr>
        <w:t>Mita</w:t>
      </w:r>
      <w:r>
        <w:rPr>
          <w:noProof/>
        </w:rPr>
        <w:t xml:space="preserve">ni, J.G.  Nakamura, M.  Norikoshi, K.  </w:t>
      </w:r>
      <w:r w:rsidRPr="00CC44BF">
        <w:rPr>
          <w:noProof/>
        </w:rPr>
        <w:t>Sakamaki</w:t>
      </w:r>
      <w:r>
        <w:rPr>
          <w:noProof/>
        </w:rPr>
        <w:t>,</w:t>
      </w:r>
      <w:r w:rsidRPr="00CC44BF">
        <w:rPr>
          <w:noProof/>
        </w:rPr>
        <w:t xml:space="preserve"> T</w:t>
      </w:r>
      <w:r>
        <w:rPr>
          <w:noProof/>
        </w:rPr>
        <w:t>.</w:t>
      </w:r>
      <w:r w:rsidRPr="00CC44BF">
        <w:rPr>
          <w:noProof/>
        </w:rPr>
        <w:t xml:space="preserve"> </w:t>
      </w:r>
      <w:r>
        <w:rPr>
          <w:noProof/>
        </w:rPr>
        <w:t xml:space="preserve"> </w:t>
      </w:r>
      <w:r w:rsidRPr="00CC44BF">
        <w:rPr>
          <w:noProof/>
        </w:rPr>
        <w:t>Turner</w:t>
      </w:r>
      <w:r>
        <w:rPr>
          <w:noProof/>
        </w:rPr>
        <w:t>,</w:t>
      </w:r>
      <w:r w:rsidRPr="00CC44BF">
        <w:rPr>
          <w:noProof/>
        </w:rPr>
        <w:t xml:space="preserve"> L</w:t>
      </w:r>
      <w:r>
        <w:rPr>
          <w:noProof/>
        </w:rPr>
        <w:t>.</w:t>
      </w:r>
      <w:r w:rsidRPr="00CC44BF">
        <w:rPr>
          <w:noProof/>
        </w:rPr>
        <w:t xml:space="preserve"> Uehara</w:t>
      </w:r>
      <w:r>
        <w:rPr>
          <w:noProof/>
        </w:rPr>
        <w:t>,</w:t>
      </w:r>
      <w:r w:rsidRPr="00CC44BF">
        <w:rPr>
          <w:noProof/>
        </w:rPr>
        <w:t xml:space="preserve"> S</w:t>
      </w:r>
      <w:r>
        <w:rPr>
          <w:noProof/>
        </w:rPr>
        <w:t>.</w:t>
      </w:r>
      <w:r w:rsidRPr="00CC44BF">
        <w:rPr>
          <w:noProof/>
        </w:rPr>
        <w:t xml:space="preserve"> </w:t>
      </w:r>
      <w:r>
        <w:rPr>
          <w:noProof/>
        </w:rPr>
        <w:t xml:space="preserve"> </w:t>
      </w:r>
      <w:r w:rsidRPr="00CC44BF">
        <w:rPr>
          <w:noProof/>
        </w:rPr>
        <w:t>Zam</w:t>
      </w:r>
      <w:r>
        <w:rPr>
          <w:noProof/>
        </w:rPr>
        <w:t xml:space="preserve">ma, K.  2003. </w:t>
      </w:r>
      <w:r w:rsidRPr="00CC44BF">
        <w:rPr>
          <w:noProof/>
        </w:rPr>
        <w:t>Demography, female life his</w:t>
      </w:r>
      <w:r>
        <w:rPr>
          <w:noProof/>
        </w:rPr>
        <w:t xml:space="preserve">tory, and reproductive profiles </w:t>
      </w:r>
      <w:r w:rsidRPr="00CC44BF">
        <w:rPr>
          <w:noProof/>
        </w:rPr>
        <w:t>among the chimp</w:t>
      </w:r>
      <w:r>
        <w:rPr>
          <w:noProof/>
        </w:rPr>
        <w:t xml:space="preserve">anzees of Mahale.  </w:t>
      </w:r>
      <w:r w:rsidRPr="00671134">
        <w:rPr>
          <w:i/>
          <w:noProof/>
        </w:rPr>
        <w:t>American Journal of Primatology</w:t>
      </w:r>
      <w:r>
        <w:rPr>
          <w:noProof/>
        </w:rPr>
        <w:t xml:space="preserve"> </w:t>
      </w:r>
      <w:r w:rsidRPr="00CC44BF">
        <w:rPr>
          <w:noProof/>
        </w:rPr>
        <w:t>59</w:t>
      </w:r>
      <w:r>
        <w:rPr>
          <w:noProof/>
        </w:rPr>
        <w:t>(3)</w:t>
      </w:r>
      <w:r w:rsidRPr="00CC44BF">
        <w:rPr>
          <w:noProof/>
        </w:rPr>
        <w:t>:</w:t>
      </w:r>
      <w:r>
        <w:rPr>
          <w:noProof/>
        </w:rPr>
        <w:t xml:space="preserve"> </w:t>
      </w:r>
      <w:r w:rsidRPr="00CC44BF">
        <w:rPr>
          <w:noProof/>
        </w:rPr>
        <w:t>99–121.</w:t>
      </w:r>
    </w:p>
    <w:p w:rsidR="00A35CA0" w:rsidRDefault="00CC3C93" w:rsidP="00CA5FBB">
      <w:pPr>
        <w:spacing w:before="120" w:line="240" w:lineRule="auto"/>
        <w:jc w:val="left"/>
        <w:rPr>
          <w:rFonts w:asciiTheme="majorBidi" w:hAnsiTheme="majorBidi" w:cstheme="majorBidi"/>
          <w:color w:val="000000"/>
          <w:lang w:val="en-CA"/>
        </w:rPr>
      </w:pPr>
      <w:r w:rsidRPr="00652522">
        <w:rPr>
          <w:rFonts w:asciiTheme="majorBidi" w:hAnsiTheme="majorBidi" w:cstheme="majorBidi"/>
          <w:color w:val="000000"/>
          <w:lang w:val="de-DE"/>
        </w:rPr>
        <w:t xml:space="preserve">Nissen, H.W. &amp; Riesen, A.H.  </w:t>
      </w:r>
      <w:r w:rsidRPr="00667B89">
        <w:rPr>
          <w:rFonts w:asciiTheme="majorBidi" w:hAnsiTheme="majorBidi" w:cstheme="majorBidi"/>
          <w:color w:val="000000"/>
          <w:lang w:val="en-CA"/>
        </w:rPr>
        <w:t xml:space="preserve">1949a.  Retardation in onset of ossification in chimpanzee related to various environmental and physiological factors. </w:t>
      </w:r>
      <w:r w:rsidRPr="00667B89">
        <w:rPr>
          <w:rFonts w:asciiTheme="majorBidi" w:hAnsiTheme="majorBidi" w:cstheme="majorBidi"/>
          <w:i/>
          <w:color w:val="000000"/>
          <w:lang w:val="en-CA"/>
        </w:rPr>
        <w:t>The Anatomical Record</w:t>
      </w:r>
      <w:r w:rsidRPr="00667B89">
        <w:rPr>
          <w:rFonts w:asciiTheme="majorBidi" w:hAnsiTheme="majorBidi" w:cstheme="majorBidi"/>
          <w:color w:val="000000"/>
          <w:lang w:val="en-CA"/>
        </w:rPr>
        <w:t xml:space="preserve"> 105(4)</w:t>
      </w:r>
      <w:r w:rsidR="00317DF3">
        <w:rPr>
          <w:rFonts w:asciiTheme="majorBidi" w:hAnsiTheme="majorBidi" w:cstheme="majorBidi"/>
          <w:color w:val="000000"/>
          <w:lang w:val="en-CA"/>
        </w:rPr>
        <w:t>:</w:t>
      </w:r>
      <w:r w:rsidRPr="00667B89">
        <w:rPr>
          <w:rFonts w:asciiTheme="majorBidi" w:hAnsiTheme="majorBidi" w:cstheme="majorBidi"/>
          <w:color w:val="000000"/>
          <w:lang w:val="en-CA"/>
        </w:rPr>
        <w:t xml:space="preserve"> 665-675</w:t>
      </w:r>
      <w:r w:rsidR="00317DF3">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sidRPr="00011C31">
        <w:rPr>
          <w:rFonts w:asciiTheme="majorBidi" w:hAnsiTheme="majorBidi" w:cstheme="majorBidi"/>
          <w:color w:val="000000"/>
          <w:lang w:val="de-DE"/>
        </w:rPr>
        <w:t xml:space="preserve">Nissen, H.W. &amp; Riesen, A.H.   </w:t>
      </w:r>
      <w:r w:rsidRPr="00667B89">
        <w:rPr>
          <w:rFonts w:asciiTheme="majorBidi" w:hAnsiTheme="majorBidi" w:cstheme="majorBidi"/>
          <w:color w:val="000000"/>
          <w:lang w:val="en-CA"/>
        </w:rPr>
        <w:t xml:space="preserve">1949b.  </w:t>
      </w:r>
      <w:proofErr w:type="gramStart"/>
      <w:r w:rsidRPr="00667B89">
        <w:rPr>
          <w:rFonts w:asciiTheme="majorBidi" w:hAnsiTheme="majorBidi" w:cstheme="majorBidi"/>
          <w:color w:val="000000"/>
          <w:lang w:val="en-CA"/>
        </w:rPr>
        <w:t>Onset of ossification in the epiphyses and short bones of the extremities in chimpanzee.</w:t>
      </w:r>
      <w:proofErr w:type="gramEnd"/>
      <w:r w:rsidRPr="00667B89">
        <w:rPr>
          <w:rFonts w:asciiTheme="majorBidi" w:hAnsiTheme="majorBidi" w:cstheme="majorBidi"/>
          <w:color w:val="000000"/>
          <w:lang w:val="en-CA"/>
        </w:rPr>
        <w:t xml:space="preserve">  </w:t>
      </w:r>
      <w:r w:rsidRPr="00667B89">
        <w:rPr>
          <w:rFonts w:asciiTheme="majorBidi" w:hAnsiTheme="majorBidi" w:cstheme="majorBidi"/>
          <w:i/>
          <w:color w:val="000000"/>
          <w:lang w:val="en-CA"/>
        </w:rPr>
        <w:t>Growth</w:t>
      </w:r>
      <w:r w:rsidRPr="00667B89">
        <w:rPr>
          <w:rFonts w:asciiTheme="majorBidi" w:hAnsiTheme="majorBidi" w:cstheme="majorBidi"/>
          <w:color w:val="000000"/>
          <w:lang w:val="en-CA"/>
        </w:rPr>
        <w:t xml:space="preserve"> 13</w:t>
      </w:r>
      <w:r w:rsidR="00AF2C43">
        <w:rPr>
          <w:rFonts w:asciiTheme="majorBidi" w:hAnsiTheme="majorBidi" w:cstheme="majorBidi"/>
          <w:color w:val="000000"/>
          <w:lang w:val="en-CA"/>
        </w:rPr>
        <w:t>:</w:t>
      </w:r>
      <w:r w:rsidRPr="00667B89">
        <w:rPr>
          <w:rFonts w:asciiTheme="majorBidi" w:hAnsiTheme="majorBidi" w:cstheme="majorBidi"/>
          <w:color w:val="000000"/>
          <w:lang w:val="en-CA"/>
        </w:rPr>
        <w:t xml:space="preserve"> 45-70</w:t>
      </w:r>
      <w:r w:rsidR="00AF2C43">
        <w:rPr>
          <w:rFonts w:asciiTheme="majorBidi" w:hAnsiTheme="majorBidi" w:cstheme="majorBidi"/>
          <w:color w:val="000000"/>
          <w:lang w:val="en-CA"/>
        </w:rPr>
        <w:t>.</w:t>
      </w:r>
    </w:p>
    <w:p w:rsidR="00A35CA0" w:rsidRDefault="00CC3C93" w:rsidP="00CA5FBB">
      <w:pPr>
        <w:autoSpaceDE w:val="0"/>
        <w:autoSpaceDN w:val="0"/>
        <w:adjustRightInd w:val="0"/>
        <w:spacing w:before="120" w:line="240" w:lineRule="auto"/>
        <w:jc w:val="left"/>
        <w:rPr>
          <w:lang w:val="en-GB" w:eastAsia="en-GB"/>
        </w:rPr>
      </w:pPr>
      <w:r w:rsidRPr="00117FF5">
        <w:rPr>
          <w:lang w:val="en-GB" w:eastAsia="en-GB"/>
        </w:rPr>
        <w:t>Nissen</w:t>
      </w:r>
      <w:r>
        <w:rPr>
          <w:lang w:val="en-GB" w:eastAsia="en-GB"/>
        </w:rPr>
        <w:t>,</w:t>
      </w:r>
      <w:r w:rsidRPr="00117FF5">
        <w:rPr>
          <w:lang w:val="en-GB" w:eastAsia="en-GB"/>
        </w:rPr>
        <w:t xml:space="preserve"> H</w:t>
      </w:r>
      <w:r>
        <w:rPr>
          <w:lang w:val="en-GB" w:eastAsia="en-GB"/>
        </w:rPr>
        <w:t>.</w:t>
      </w:r>
      <w:r w:rsidRPr="00117FF5">
        <w:rPr>
          <w:lang w:val="en-GB" w:eastAsia="en-GB"/>
        </w:rPr>
        <w:t>W</w:t>
      </w:r>
      <w:r>
        <w:rPr>
          <w:lang w:val="en-GB" w:eastAsia="en-GB"/>
        </w:rPr>
        <w:t>.</w:t>
      </w:r>
      <w:r w:rsidRPr="00117FF5">
        <w:rPr>
          <w:lang w:val="en-GB" w:eastAsia="en-GB"/>
        </w:rPr>
        <w:t xml:space="preserve"> </w:t>
      </w:r>
      <w:r>
        <w:rPr>
          <w:lang w:val="en-GB" w:eastAsia="en-GB"/>
        </w:rPr>
        <w:t xml:space="preserve"> </w:t>
      </w:r>
      <w:r w:rsidRPr="00117FF5">
        <w:rPr>
          <w:lang w:val="en-GB" w:eastAsia="en-GB"/>
        </w:rPr>
        <w:t>Riesen</w:t>
      </w:r>
      <w:r>
        <w:rPr>
          <w:lang w:val="en-GB" w:eastAsia="en-GB"/>
        </w:rPr>
        <w:t>,</w:t>
      </w:r>
      <w:r w:rsidRPr="00117FF5">
        <w:rPr>
          <w:lang w:val="en-GB" w:eastAsia="en-GB"/>
        </w:rPr>
        <w:t xml:space="preserve"> A</w:t>
      </w:r>
      <w:r>
        <w:rPr>
          <w:lang w:val="en-GB" w:eastAsia="en-GB"/>
        </w:rPr>
        <w:t>.</w:t>
      </w:r>
      <w:r w:rsidRPr="00117FF5">
        <w:rPr>
          <w:lang w:val="en-GB" w:eastAsia="en-GB"/>
        </w:rPr>
        <w:t>H</w:t>
      </w:r>
      <w:r>
        <w:rPr>
          <w:lang w:val="en-GB" w:eastAsia="en-GB"/>
        </w:rPr>
        <w:t>.</w:t>
      </w:r>
      <w:r w:rsidRPr="00117FF5">
        <w:rPr>
          <w:lang w:val="en-GB" w:eastAsia="en-GB"/>
        </w:rPr>
        <w:t xml:space="preserve"> </w:t>
      </w:r>
      <w:r>
        <w:rPr>
          <w:lang w:val="en-GB" w:eastAsia="en-GB"/>
        </w:rPr>
        <w:t xml:space="preserve"> </w:t>
      </w:r>
      <w:r w:rsidRPr="00117FF5">
        <w:rPr>
          <w:lang w:val="en-GB" w:eastAsia="en-GB"/>
        </w:rPr>
        <w:t>1964</w:t>
      </w:r>
      <w:r>
        <w:rPr>
          <w:lang w:val="en-GB" w:eastAsia="en-GB"/>
        </w:rPr>
        <w:t>.</w:t>
      </w:r>
      <w:r w:rsidRPr="00117FF5">
        <w:rPr>
          <w:lang w:val="en-GB" w:eastAsia="en-GB"/>
        </w:rPr>
        <w:t xml:space="preserve"> </w:t>
      </w:r>
      <w:r>
        <w:rPr>
          <w:lang w:val="en-GB" w:eastAsia="en-GB"/>
        </w:rPr>
        <w:t xml:space="preserve"> </w:t>
      </w:r>
      <w:r w:rsidRPr="00117FF5">
        <w:rPr>
          <w:lang w:val="en-GB" w:eastAsia="en-GB"/>
        </w:rPr>
        <w:t>The eruption of the permanent dentition of</w:t>
      </w:r>
      <w:r>
        <w:rPr>
          <w:lang w:val="en-GB" w:eastAsia="en-GB"/>
        </w:rPr>
        <w:t xml:space="preserve"> </w:t>
      </w:r>
      <w:r w:rsidRPr="00117FF5">
        <w:rPr>
          <w:lang w:val="en-GB" w:eastAsia="en-GB"/>
        </w:rPr>
        <w:t xml:space="preserve">chimpanzees. </w:t>
      </w:r>
      <w:r>
        <w:rPr>
          <w:lang w:val="en-GB" w:eastAsia="en-GB"/>
        </w:rPr>
        <w:t xml:space="preserve"> </w:t>
      </w:r>
      <w:r w:rsidRPr="00117FF5">
        <w:rPr>
          <w:i/>
          <w:lang w:val="en-GB" w:eastAsia="en-GB"/>
        </w:rPr>
        <w:t>Am</w:t>
      </w:r>
      <w:r>
        <w:rPr>
          <w:i/>
          <w:lang w:val="en-GB" w:eastAsia="en-GB"/>
        </w:rPr>
        <w:t>erican</w:t>
      </w:r>
      <w:r w:rsidRPr="00117FF5">
        <w:rPr>
          <w:i/>
          <w:lang w:val="en-GB" w:eastAsia="en-GB"/>
        </w:rPr>
        <w:t xml:space="preserve"> J</w:t>
      </w:r>
      <w:r>
        <w:rPr>
          <w:i/>
          <w:lang w:val="en-GB" w:eastAsia="en-GB"/>
        </w:rPr>
        <w:t>ournal of</w:t>
      </w:r>
      <w:r w:rsidRPr="00117FF5">
        <w:rPr>
          <w:i/>
          <w:lang w:val="en-GB" w:eastAsia="en-GB"/>
        </w:rPr>
        <w:t xml:space="preserve"> Phys</w:t>
      </w:r>
      <w:r>
        <w:rPr>
          <w:i/>
          <w:lang w:val="en-GB" w:eastAsia="en-GB"/>
        </w:rPr>
        <w:t>ical</w:t>
      </w:r>
      <w:r w:rsidRPr="00117FF5">
        <w:rPr>
          <w:i/>
          <w:lang w:val="en-GB" w:eastAsia="en-GB"/>
        </w:rPr>
        <w:t xml:space="preserve"> Anthropol</w:t>
      </w:r>
      <w:r>
        <w:rPr>
          <w:i/>
          <w:lang w:val="en-GB" w:eastAsia="en-GB"/>
        </w:rPr>
        <w:t>ogy</w:t>
      </w:r>
      <w:r w:rsidRPr="00117FF5">
        <w:rPr>
          <w:lang w:val="en-GB" w:eastAsia="en-GB"/>
        </w:rPr>
        <w:t xml:space="preserve"> 22</w:t>
      </w:r>
      <w:r w:rsidR="00AF2C43">
        <w:rPr>
          <w:lang w:val="en-GB" w:eastAsia="en-GB"/>
        </w:rPr>
        <w:t>(3)</w:t>
      </w:r>
      <w:r w:rsidRPr="00117FF5">
        <w:rPr>
          <w:lang w:val="en-GB" w:eastAsia="en-GB"/>
        </w:rPr>
        <w:t>:</w:t>
      </w:r>
      <w:r w:rsidR="00AF2C43">
        <w:rPr>
          <w:lang w:val="en-GB" w:eastAsia="en-GB"/>
        </w:rPr>
        <w:t xml:space="preserve"> </w:t>
      </w:r>
      <w:r w:rsidRPr="00117FF5">
        <w:rPr>
          <w:lang w:val="en-GB" w:eastAsia="en-GB"/>
        </w:rPr>
        <w:t>285–</w:t>
      </w:r>
      <w:r>
        <w:rPr>
          <w:lang w:val="en-GB" w:eastAsia="en-GB"/>
        </w:rPr>
        <w:t>294</w:t>
      </w:r>
      <w:r w:rsidR="00AF2C43">
        <w:rPr>
          <w:lang w:val="en-GB" w:eastAsia="en-GB"/>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sidRPr="00667B89">
        <w:rPr>
          <w:rFonts w:asciiTheme="majorBidi" w:hAnsiTheme="majorBidi" w:cstheme="majorBidi"/>
          <w:noProof/>
          <w:color w:val="000000"/>
        </w:rPr>
        <w:t xml:space="preserve">Noddle, B.  1974.  Ages of epiphyseal closure in feral and domestic goats and ages of dental eruption.  </w:t>
      </w:r>
      <w:r w:rsidRPr="00667B89">
        <w:rPr>
          <w:rFonts w:asciiTheme="majorBidi" w:hAnsiTheme="majorBidi" w:cstheme="majorBidi"/>
          <w:i/>
          <w:noProof/>
          <w:color w:val="000000"/>
        </w:rPr>
        <w:t>Journal of Archaeological Science</w:t>
      </w:r>
      <w:r w:rsidRPr="00667B89">
        <w:rPr>
          <w:rFonts w:asciiTheme="majorBidi" w:hAnsiTheme="majorBidi" w:cstheme="majorBidi"/>
          <w:noProof/>
          <w:color w:val="000000"/>
        </w:rPr>
        <w:t xml:space="preserve"> 1</w:t>
      </w:r>
      <w:r w:rsidR="00904871">
        <w:rPr>
          <w:rFonts w:asciiTheme="majorBidi" w:hAnsiTheme="majorBidi" w:cstheme="majorBidi"/>
          <w:noProof/>
          <w:color w:val="000000"/>
        </w:rPr>
        <w:t>(</w:t>
      </w:r>
      <w:r w:rsidRPr="00667B89">
        <w:rPr>
          <w:rFonts w:asciiTheme="majorBidi" w:hAnsiTheme="majorBidi" w:cstheme="majorBidi"/>
          <w:noProof/>
          <w:color w:val="000000"/>
        </w:rPr>
        <w:t>2</w:t>
      </w:r>
      <w:r w:rsidR="00904871">
        <w:rPr>
          <w:rFonts w:asciiTheme="majorBidi" w:hAnsiTheme="majorBidi" w:cstheme="majorBidi"/>
          <w:noProof/>
          <w:color w:val="000000"/>
        </w:rPr>
        <w:t>)</w:t>
      </w:r>
      <w:r w:rsidRPr="00667B89">
        <w:rPr>
          <w:rFonts w:asciiTheme="majorBidi" w:hAnsiTheme="majorBidi" w:cstheme="majorBidi"/>
          <w:noProof/>
          <w:color w:val="000000"/>
        </w:rPr>
        <w:t>: 195-204</w:t>
      </w:r>
      <w:r w:rsidR="00904871">
        <w:rPr>
          <w:rFonts w:asciiTheme="majorBidi" w:hAnsiTheme="majorBidi" w:cstheme="majorBidi"/>
          <w:noProof/>
          <w:color w:val="000000"/>
        </w:rPr>
        <w:t>.</w:t>
      </w:r>
    </w:p>
    <w:p w:rsidR="00A35CA0" w:rsidRDefault="00CC3C93" w:rsidP="00CA5FBB">
      <w:pPr>
        <w:spacing w:before="120" w:line="240" w:lineRule="auto"/>
        <w:jc w:val="left"/>
        <w:rPr>
          <w:noProof/>
          <w:color w:val="000000"/>
        </w:rPr>
      </w:pPr>
      <w:r w:rsidRPr="00543354">
        <w:rPr>
          <w:noProof/>
          <w:color w:val="000000"/>
        </w:rPr>
        <w:t xml:space="preserve">Nonaka, K.  Ichiki, A.  Muira, T.  1990.  Changes in the eruption order of the first permanent tooth and their relation to season of birth in Japan.  </w:t>
      </w:r>
      <w:r w:rsidRPr="00543354">
        <w:rPr>
          <w:i/>
          <w:noProof/>
          <w:color w:val="000000"/>
        </w:rPr>
        <w:t>American Journal of Physical Anthropology</w:t>
      </w:r>
      <w:r w:rsidRPr="00543354">
        <w:rPr>
          <w:noProof/>
          <w:color w:val="000000"/>
        </w:rPr>
        <w:t xml:space="preserve"> 82(2): 191-198</w:t>
      </w:r>
      <w:r w:rsidR="00537922">
        <w:rPr>
          <w:noProof/>
          <w:color w:val="000000"/>
        </w:rPr>
        <w:t>.</w:t>
      </w:r>
    </w:p>
    <w:p w:rsidR="00A35CA0" w:rsidRDefault="00CC3C93" w:rsidP="00CA5FBB">
      <w:pPr>
        <w:tabs>
          <w:tab w:val="left" w:pos="360"/>
        </w:tabs>
        <w:spacing w:before="120" w:line="240" w:lineRule="auto"/>
        <w:jc w:val="left"/>
        <w:rPr>
          <w:noProof/>
        </w:rPr>
      </w:pPr>
      <w:r>
        <w:rPr>
          <w:noProof/>
        </w:rPr>
        <w:t>Norman, G.  2010.</w:t>
      </w:r>
      <w:r w:rsidRPr="00C562CE">
        <w:rPr>
          <w:noProof/>
        </w:rPr>
        <w:t xml:space="preserve"> </w:t>
      </w:r>
      <w:r>
        <w:rPr>
          <w:noProof/>
        </w:rPr>
        <w:t xml:space="preserve"> </w:t>
      </w:r>
      <w:r w:rsidRPr="00C562CE">
        <w:rPr>
          <w:noProof/>
        </w:rPr>
        <w:t>Likert scales, levels of measurement and the “laws” of statistics</w:t>
      </w:r>
      <w:r>
        <w:rPr>
          <w:noProof/>
        </w:rPr>
        <w:t>.</w:t>
      </w:r>
      <w:r w:rsidRPr="00C562CE">
        <w:rPr>
          <w:noProof/>
        </w:rPr>
        <w:t xml:space="preserve"> </w:t>
      </w:r>
      <w:r>
        <w:rPr>
          <w:noProof/>
        </w:rPr>
        <w:t xml:space="preserve"> </w:t>
      </w:r>
      <w:r w:rsidRPr="0091053A">
        <w:rPr>
          <w:i/>
          <w:noProof/>
        </w:rPr>
        <w:t>Advances in Health Sciences Education</w:t>
      </w:r>
      <w:r>
        <w:rPr>
          <w:noProof/>
        </w:rPr>
        <w:t xml:space="preserve"> </w:t>
      </w:r>
      <w:r w:rsidRPr="00C562CE">
        <w:rPr>
          <w:noProof/>
        </w:rPr>
        <w:t>15</w:t>
      </w:r>
      <w:r>
        <w:rPr>
          <w:noProof/>
        </w:rPr>
        <w:t>(</w:t>
      </w:r>
      <w:r w:rsidRPr="00C562CE">
        <w:rPr>
          <w:noProof/>
        </w:rPr>
        <w:t>5</w:t>
      </w:r>
      <w:r>
        <w:rPr>
          <w:noProof/>
        </w:rPr>
        <w:t>):</w:t>
      </w:r>
      <w:r w:rsidRPr="00C562CE">
        <w:rPr>
          <w:noProof/>
        </w:rPr>
        <w:t xml:space="preserve"> 625-632</w:t>
      </w:r>
      <w:r w:rsidR="00537922">
        <w:rPr>
          <w:noProof/>
        </w:rPr>
        <w:t>.</w:t>
      </w:r>
    </w:p>
    <w:p w:rsidR="00A35CA0" w:rsidRDefault="00CC3C93" w:rsidP="00CA5FBB">
      <w:pPr>
        <w:autoSpaceDE w:val="0"/>
        <w:autoSpaceDN w:val="0"/>
        <w:adjustRightInd w:val="0"/>
        <w:spacing w:before="120" w:line="240" w:lineRule="auto"/>
        <w:jc w:val="left"/>
        <w:rPr>
          <w:rFonts w:asciiTheme="majorBidi" w:hAnsiTheme="majorBidi" w:cstheme="majorBidi"/>
        </w:rPr>
      </w:pPr>
      <w:proofErr w:type="gramStart"/>
      <w:r w:rsidRPr="00667B89">
        <w:rPr>
          <w:rFonts w:asciiTheme="majorBidi" w:hAnsiTheme="majorBidi" w:cstheme="majorBidi"/>
        </w:rPr>
        <w:t>Nunn, C. L. &amp; Smith, K. K.</w:t>
      </w:r>
      <w:proofErr w:type="gramEnd"/>
      <w:r w:rsidRPr="00667B89">
        <w:rPr>
          <w:rFonts w:asciiTheme="majorBidi" w:hAnsiTheme="majorBidi" w:cstheme="majorBidi"/>
        </w:rPr>
        <w:t xml:space="preserve">  1998. Statistical analyses of developmental sequences: the craniofacial region in marsupial and placental mammals. </w:t>
      </w:r>
      <w:r w:rsidRPr="00667B89">
        <w:rPr>
          <w:rFonts w:asciiTheme="majorBidi" w:hAnsiTheme="majorBidi" w:cstheme="majorBidi"/>
          <w:i/>
        </w:rPr>
        <w:t>The American Naturalist</w:t>
      </w:r>
      <w:r w:rsidRPr="00667B89">
        <w:rPr>
          <w:rFonts w:asciiTheme="majorBidi" w:hAnsiTheme="majorBidi" w:cstheme="majorBidi"/>
        </w:rPr>
        <w:t xml:space="preserve"> 152</w:t>
      </w:r>
      <w:r w:rsidR="00537922">
        <w:rPr>
          <w:rFonts w:asciiTheme="majorBidi" w:hAnsiTheme="majorBidi" w:cstheme="majorBidi"/>
        </w:rPr>
        <w:t>(</w:t>
      </w:r>
      <w:r w:rsidRPr="00667B89">
        <w:rPr>
          <w:rFonts w:asciiTheme="majorBidi" w:hAnsiTheme="majorBidi" w:cstheme="majorBidi"/>
        </w:rPr>
        <w:t>1</w:t>
      </w:r>
      <w:r w:rsidR="00537922">
        <w:rPr>
          <w:rFonts w:asciiTheme="majorBidi" w:hAnsiTheme="majorBidi" w:cstheme="majorBidi"/>
        </w:rPr>
        <w:t>)</w:t>
      </w:r>
      <w:r w:rsidRPr="00667B89">
        <w:rPr>
          <w:rFonts w:asciiTheme="majorBidi" w:hAnsiTheme="majorBidi" w:cstheme="majorBidi"/>
        </w:rPr>
        <w:t>: 82–101</w:t>
      </w:r>
      <w:r w:rsidR="00537922">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i/>
          <w:lang w:val="en-CA"/>
        </w:rPr>
      </w:pPr>
      <w:r>
        <w:rPr>
          <w:rFonts w:asciiTheme="majorBidi" w:hAnsiTheme="majorBidi" w:cstheme="majorBidi"/>
          <w:lang w:val="en-CA"/>
        </w:rPr>
        <w:t>Nykänen, R. Espeland</w:t>
      </w:r>
      <w:r w:rsidRPr="00C05045">
        <w:rPr>
          <w:rFonts w:asciiTheme="majorBidi" w:hAnsiTheme="majorBidi" w:cstheme="majorBidi"/>
          <w:lang w:val="en-CA"/>
        </w:rPr>
        <w:t>,</w:t>
      </w:r>
      <w:r>
        <w:rPr>
          <w:rFonts w:asciiTheme="majorBidi" w:hAnsiTheme="majorBidi" w:cstheme="majorBidi"/>
          <w:lang w:val="en-CA"/>
        </w:rPr>
        <w:t xml:space="preserve"> L. </w:t>
      </w:r>
      <w:r w:rsidRPr="00C05045">
        <w:rPr>
          <w:rFonts w:asciiTheme="majorBidi" w:hAnsiTheme="majorBidi" w:cstheme="majorBidi"/>
          <w:lang w:val="en-CA"/>
        </w:rPr>
        <w:t xml:space="preserve"> </w:t>
      </w:r>
      <w:r>
        <w:rPr>
          <w:rFonts w:asciiTheme="majorBidi" w:hAnsiTheme="majorBidi" w:cstheme="majorBidi"/>
          <w:lang w:val="en-CA"/>
        </w:rPr>
        <w:t xml:space="preserve">Kvaal, S.I.  Krogstad, O.  1998.  </w:t>
      </w:r>
      <w:r w:rsidRPr="00C05045">
        <w:rPr>
          <w:rFonts w:asciiTheme="majorBidi" w:hAnsiTheme="majorBidi" w:cstheme="majorBidi"/>
          <w:lang w:val="en-CA"/>
        </w:rPr>
        <w:t>Validity of the Demirjian method for dental age estimation whe</w:t>
      </w:r>
      <w:r>
        <w:rPr>
          <w:rFonts w:asciiTheme="majorBidi" w:hAnsiTheme="majorBidi" w:cstheme="majorBidi"/>
          <w:lang w:val="en-CA"/>
        </w:rPr>
        <w:t xml:space="preserve">n applied to Norwegian children.  </w:t>
      </w:r>
      <w:r w:rsidRPr="00C05045">
        <w:rPr>
          <w:rFonts w:asciiTheme="majorBidi" w:hAnsiTheme="majorBidi" w:cstheme="majorBidi"/>
          <w:i/>
          <w:lang w:val="en-CA"/>
        </w:rPr>
        <w:t>Acta Odontologica Scandinavica</w:t>
      </w:r>
      <w:r>
        <w:rPr>
          <w:rFonts w:asciiTheme="majorBidi" w:hAnsiTheme="majorBidi" w:cstheme="majorBidi"/>
          <w:i/>
          <w:lang w:val="en-CA"/>
        </w:rPr>
        <w:t xml:space="preserve"> </w:t>
      </w:r>
      <w:r w:rsidRPr="00C05045">
        <w:rPr>
          <w:rFonts w:asciiTheme="majorBidi" w:hAnsiTheme="majorBidi" w:cstheme="majorBidi"/>
          <w:lang w:val="en-CA"/>
        </w:rPr>
        <w:t>56</w:t>
      </w:r>
      <w:r>
        <w:rPr>
          <w:rFonts w:asciiTheme="majorBidi" w:hAnsiTheme="majorBidi" w:cstheme="majorBidi"/>
          <w:lang w:val="en-CA"/>
        </w:rPr>
        <w:t>(</w:t>
      </w:r>
      <w:r w:rsidRPr="00C05045">
        <w:rPr>
          <w:rFonts w:asciiTheme="majorBidi" w:hAnsiTheme="majorBidi" w:cstheme="majorBidi"/>
          <w:lang w:val="en-CA"/>
        </w:rPr>
        <w:t>4</w:t>
      </w:r>
      <w:r>
        <w:rPr>
          <w:rFonts w:asciiTheme="majorBidi" w:hAnsiTheme="majorBidi" w:cstheme="majorBidi"/>
          <w:lang w:val="en-CA"/>
        </w:rPr>
        <w:t>):</w:t>
      </w:r>
      <w:r w:rsidRPr="00C05045">
        <w:rPr>
          <w:rFonts w:asciiTheme="majorBidi" w:hAnsiTheme="majorBidi" w:cstheme="majorBidi"/>
          <w:lang w:val="en-CA"/>
        </w:rPr>
        <w:t xml:space="preserve"> 238-244</w:t>
      </w:r>
      <w:r w:rsidR="00537922">
        <w:rPr>
          <w:rFonts w:asciiTheme="majorBidi" w:hAnsiTheme="majorBidi" w:cstheme="majorBidi"/>
          <w:lang w:val="en-CA"/>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Ogden, J.A.  1979.  The development and growth of the musculo-skeletal system. In:</w:t>
      </w:r>
      <w:r w:rsidRPr="00667B89">
        <w:rPr>
          <w:rFonts w:asciiTheme="majorBidi" w:hAnsiTheme="majorBidi" w:cstheme="majorBidi"/>
          <w:i/>
        </w:rPr>
        <w:t xml:space="preserve"> Scientific Basis of </w:t>
      </w:r>
      <w:r w:rsidRPr="00667B89">
        <w:rPr>
          <w:rFonts w:asciiTheme="majorBidi" w:hAnsiTheme="majorBidi" w:cstheme="majorBidi"/>
          <w:i/>
          <w:color w:val="000000" w:themeColor="text1"/>
        </w:rPr>
        <w:t xml:space="preserve">Orthopaedics </w:t>
      </w:r>
      <w:r w:rsidRPr="00667B89">
        <w:rPr>
          <w:rFonts w:asciiTheme="majorBidi" w:hAnsiTheme="majorBidi" w:cstheme="majorBidi"/>
          <w:color w:val="000000" w:themeColor="text1"/>
        </w:rPr>
        <w:t>(J.A. Albright and R. Brands Eds.) Appleton-Century-Crofts: New York pp.41-103</w:t>
      </w:r>
      <w:r w:rsidR="00B958FC">
        <w:rPr>
          <w:rFonts w:asciiTheme="majorBidi" w:hAnsiTheme="majorBidi" w:cstheme="majorBidi"/>
          <w:color w:val="000000" w:themeColor="text1"/>
        </w:rPr>
        <w:t>.</w:t>
      </w:r>
    </w:p>
    <w:p w:rsidR="00A35CA0" w:rsidRDefault="00CC3C93" w:rsidP="00CA5FBB">
      <w:pPr>
        <w:autoSpaceDE w:val="0"/>
        <w:autoSpaceDN w:val="0"/>
        <w:adjustRightInd w:val="0"/>
        <w:spacing w:before="120" w:line="240" w:lineRule="auto"/>
        <w:jc w:val="left"/>
        <w:rPr>
          <w:rFonts w:asciiTheme="majorBidi" w:hAnsiTheme="majorBidi" w:cstheme="majorBidi"/>
          <w:color w:val="000000"/>
        </w:rPr>
      </w:pPr>
      <w:r w:rsidRPr="00667B89">
        <w:rPr>
          <w:rFonts w:asciiTheme="majorBidi" w:hAnsiTheme="majorBidi" w:cstheme="majorBidi"/>
          <w:color w:val="000000" w:themeColor="text1"/>
        </w:rPr>
        <w:t xml:space="preserve">Ogden, J.A.  Conlogue, G.J. Rhodin, A.G.J. 1981.  Roentgenographic Indicators of Skeletal Maturity in </w:t>
      </w:r>
      <w:r w:rsidRPr="00667B89">
        <w:rPr>
          <w:rFonts w:asciiTheme="majorBidi" w:hAnsiTheme="majorBidi" w:cstheme="majorBidi"/>
          <w:color w:val="000000"/>
        </w:rPr>
        <w:t xml:space="preserve">Marine Mammals </w:t>
      </w:r>
      <w:r w:rsidRPr="00923DB9">
        <w:rPr>
          <w:rFonts w:asciiTheme="majorBidi" w:hAnsiTheme="majorBidi" w:cstheme="majorBidi"/>
          <w:color w:val="000000"/>
        </w:rPr>
        <w:t>(</w:t>
      </w:r>
      <w:r w:rsidRPr="00667B89">
        <w:rPr>
          <w:rFonts w:asciiTheme="majorBidi" w:hAnsiTheme="majorBidi" w:cstheme="majorBidi"/>
          <w:i/>
          <w:color w:val="000000"/>
        </w:rPr>
        <w:t>Cetacea</w:t>
      </w:r>
      <w:r w:rsidRPr="00923DB9">
        <w:rPr>
          <w:rFonts w:asciiTheme="majorBidi" w:hAnsiTheme="majorBidi" w:cstheme="majorBidi"/>
          <w:color w:val="000000"/>
        </w:rPr>
        <w:t>)</w:t>
      </w:r>
      <w:r w:rsidRPr="00667B89">
        <w:rPr>
          <w:rFonts w:asciiTheme="majorBidi" w:hAnsiTheme="majorBidi" w:cstheme="majorBidi"/>
          <w:noProof/>
          <w:color w:val="000000"/>
        </w:rPr>
        <w:t xml:space="preserve"> </w:t>
      </w:r>
      <w:r w:rsidRPr="00667B89">
        <w:rPr>
          <w:rFonts w:asciiTheme="majorBidi" w:hAnsiTheme="majorBidi" w:cstheme="majorBidi"/>
          <w:color w:val="000000"/>
        </w:rPr>
        <w:t>Skeletal Radio1</w:t>
      </w:r>
      <w:r w:rsidR="001825E3">
        <w:rPr>
          <w:rFonts w:asciiTheme="majorBidi" w:hAnsiTheme="majorBidi" w:cstheme="majorBidi"/>
          <w:color w:val="000000"/>
        </w:rPr>
        <w:t>o</w:t>
      </w:r>
      <w:r w:rsidRPr="00667B89">
        <w:rPr>
          <w:rFonts w:asciiTheme="majorBidi" w:hAnsiTheme="majorBidi" w:cstheme="majorBidi"/>
          <w:color w:val="000000"/>
        </w:rPr>
        <w:t>gy 7</w:t>
      </w:r>
      <w:r w:rsidR="00923DB9">
        <w:rPr>
          <w:rFonts w:asciiTheme="majorBidi" w:hAnsiTheme="majorBidi" w:cstheme="majorBidi"/>
          <w:color w:val="000000"/>
        </w:rPr>
        <w:t>(2)</w:t>
      </w:r>
      <w:r w:rsidRPr="00667B89">
        <w:rPr>
          <w:rFonts w:asciiTheme="majorBidi" w:hAnsiTheme="majorBidi" w:cstheme="majorBidi"/>
          <w:color w:val="000000"/>
        </w:rPr>
        <w:t>:</w:t>
      </w:r>
      <w:r w:rsidR="002E2747">
        <w:rPr>
          <w:rFonts w:asciiTheme="majorBidi" w:hAnsiTheme="majorBidi" w:cstheme="majorBidi"/>
          <w:color w:val="000000"/>
        </w:rPr>
        <w:t xml:space="preserve"> </w:t>
      </w:r>
      <w:r w:rsidRPr="00667B89">
        <w:rPr>
          <w:rFonts w:asciiTheme="majorBidi" w:hAnsiTheme="majorBidi" w:cstheme="majorBidi"/>
          <w:color w:val="000000"/>
        </w:rPr>
        <w:t>119 123</w:t>
      </w:r>
      <w:r w:rsidR="00923DB9">
        <w:rPr>
          <w:rFonts w:asciiTheme="majorBidi" w:hAnsiTheme="majorBidi" w:cstheme="majorBidi"/>
          <w:color w:val="000000"/>
        </w:rPr>
        <w:t>.</w:t>
      </w:r>
    </w:p>
    <w:p w:rsidR="00A35CA0" w:rsidRDefault="00CC3C93" w:rsidP="00CA5FBB">
      <w:pPr>
        <w:tabs>
          <w:tab w:val="left" w:pos="360"/>
        </w:tabs>
        <w:spacing w:before="120" w:line="240" w:lineRule="auto"/>
        <w:jc w:val="left"/>
        <w:rPr>
          <w:noProof/>
          <w:color w:val="000000" w:themeColor="text1"/>
        </w:rPr>
      </w:pPr>
      <w:r>
        <w:rPr>
          <w:noProof/>
          <w:color w:val="000000" w:themeColor="text1"/>
        </w:rPr>
        <w:t xml:space="preserve">Olze, A.  Taniguchi, M.  Schmeling, A.  Zhu, B.L.  Yamada, Y.  Maeda, M.  Geserick, G.  2004.  Studies on the chronology of third molar mineralization in a Japanese population.  </w:t>
      </w:r>
      <w:r>
        <w:rPr>
          <w:i/>
          <w:noProof/>
          <w:color w:val="000000" w:themeColor="text1"/>
        </w:rPr>
        <w:t>Legal Medicine</w:t>
      </w:r>
      <w:r>
        <w:rPr>
          <w:noProof/>
          <w:color w:val="000000" w:themeColor="text1"/>
        </w:rPr>
        <w:t xml:space="preserve"> 6(2):</w:t>
      </w:r>
      <w:r w:rsidR="002E2747">
        <w:rPr>
          <w:noProof/>
          <w:color w:val="000000" w:themeColor="text1"/>
        </w:rPr>
        <w:t xml:space="preserve"> </w:t>
      </w:r>
      <w:r>
        <w:rPr>
          <w:noProof/>
          <w:color w:val="000000" w:themeColor="text1"/>
        </w:rPr>
        <w:t>73-79</w:t>
      </w:r>
      <w:r w:rsidR="002E2747">
        <w:rPr>
          <w:noProof/>
          <w:color w:val="000000" w:themeColor="text1"/>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Pr>
          <w:rFonts w:asciiTheme="majorBidi" w:hAnsiTheme="majorBidi" w:cstheme="majorBidi"/>
          <w:noProof/>
          <w:color w:val="000000"/>
        </w:rPr>
        <w:t xml:space="preserve">Palmer, A.R.  Strobeck, C.  1986.  Fluctuating asymmetry: measurement, analysis, patterns.  </w:t>
      </w:r>
      <w:r w:rsidRPr="00B55BEC">
        <w:rPr>
          <w:rFonts w:asciiTheme="majorBidi" w:hAnsiTheme="majorBidi" w:cstheme="majorBidi"/>
          <w:i/>
          <w:noProof/>
          <w:color w:val="000000"/>
        </w:rPr>
        <w:t>Annual Review of Ecology and Systematics</w:t>
      </w:r>
      <w:r w:rsidRPr="00B55BEC">
        <w:rPr>
          <w:rFonts w:asciiTheme="majorBidi" w:hAnsiTheme="majorBidi" w:cstheme="majorBidi"/>
          <w:noProof/>
          <w:color w:val="000000"/>
        </w:rPr>
        <w:t xml:space="preserve"> </w:t>
      </w:r>
      <w:r>
        <w:rPr>
          <w:rFonts w:asciiTheme="majorBidi" w:hAnsiTheme="majorBidi" w:cstheme="majorBidi"/>
          <w:noProof/>
          <w:color w:val="000000"/>
        </w:rPr>
        <w:t>17:</w:t>
      </w:r>
      <w:r w:rsidR="00756276">
        <w:rPr>
          <w:rFonts w:asciiTheme="majorBidi" w:hAnsiTheme="majorBidi" w:cstheme="majorBidi"/>
          <w:noProof/>
          <w:color w:val="000000"/>
        </w:rPr>
        <w:t xml:space="preserve"> </w:t>
      </w:r>
      <w:r>
        <w:rPr>
          <w:rFonts w:asciiTheme="majorBidi" w:hAnsiTheme="majorBidi" w:cstheme="majorBidi"/>
          <w:noProof/>
          <w:color w:val="000000"/>
        </w:rPr>
        <w:t>391-421</w:t>
      </w:r>
      <w:r w:rsidR="00756276">
        <w:rPr>
          <w:rFonts w:asciiTheme="majorBidi" w:hAnsiTheme="majorBidi" w:cstheme="majorBidi"/>
          <w:noProof/>
          <w:color w:val="000000"/>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Pr>
          <w:rFonts w:asciiTheme="majorBidi" w:hAnsiTheme="majorBidi" w:cstheme="majorBidi"/>
          <w:noProof/>
          <w:color w:val="000000"/>
        </w:rPr>
        <w:t>Palmer,</w:t>
      </w:r>
      <w:r w:rsidRPr="003215AD">
        <w:rPr>
          <w:rFonts w:asciiTheme="majorBidi" w:hAnsiTheme="majorBidi" w:cstheme="majorBidi"/>
          <w:noProof/>
          <w:color w:val="000000"/>
        </w:rPr>
        <w:t xml:space="preserve"> </w:t>
      </w:r>
      <w:r>
        <w:rPr>
          <w:rFonts w:asciiTheme="majorBidi" w:hAnsiTheme="majorBidi" w:cstheme="majorBidi"/>
          <w:noProof/>
          <w:color w:val="000000"/>
        </w:rPr>
        <w:t xml:space="preserve">A.R.  Strobeck, C.  1992.  Fluctuating assymetry as a measure of developmental stability: Impications of non-normal distributions and power of statistical tests.  </w:t>
      </w:r>
      <w:r w:rsidRPr="009352DB">
        <w:rPr>
          <w:rFonts w:asciiTheme="majorBidi" w:hAnsiTheme="majorBidi" w:cstheme="majorBidi"/>
          <w:i/>
          <w:noProof/>
          <w:color w:val="000000"/>
        </w:rPr>
        <w:t>Acta Zoologica Fennica</w:t>
      </w:r>
      <w:r>
        <w:rPr>
          <w:rFonts w:asciiTheme="majorBidi" w:hAnsiTheme="majorBidi" w:cstheme="majorBidi"/>
          <w:noProof/>
          <w:color w:val="000000"/>
        </w:rPr>
        <w:t xml:space="preserve"> 191:</w:t>
      </w:r>
      <w:r w:rsidR="00756276">
        <w:rPr>
          <w:rFonts w:asciiTheme="majorBidi" w:hAnsiTheme="majorBidi" w:cstheme="majorBidi"/>
          <w:noProof/>
          <w:color w:val="000000"/>
        </w:rPr>
        <w:t xml:space="preserve"> </w:t>
      </w:r>
      <w:r>
        <w:rPr>
          <w:rFonts w:asciiTheme="majorBidi" w:hAnsiTheme="majorBidi" w:cstheme="majorBidi"/>
          <w:noProof/>
          <w:color w:val="000000"/>
        </w:rPr>
        <w:t>57-72</w:t>
      </w:r>
      <w:r w:rsidR="00756276">
        <w:rPr>
          <w:rFonts w:asciiTheme="majorBidi" w:hAnsiTheme="majorBidi" w:cstheme="majorBidi"/>
          <w:noProof/>
          <w:color w:val="000000"/>
        </w:rPr>
        <w:t>.</w:t>
      </w:r>
    </w:p>
    <w:p w:rsidR="00A35CA0" w:rsidRDefault="00CC3C93" w:rsidP="00CA5FBB">
      <w:pPr>
        <w:tabs>
          <w:tab w:val="left" w:pos="360"/>
        </w:tabs>
        <w:spacing w:before="120" w:line="240" w:lineRule="auto"/>
        <w:jc w:val="left"/>
        <w:rPr>
          <w:noProof/>
          <w:color w:val="000000"/>
        </w:rPr>
      </w:pPr>
      <w:r w:rsidRPr="003507E9">
        <w:rPr>
          <w:noProof/>
          <w:color w:val="000000"/>
        </w:rPr>
        <w:lastRenderedPageBreak/>
        <w:t xml:space="preserve">Parker, S.T.  1996.  </w:t>
      </w:r>
      <w:r w:rsidRPr="003507E9">
        <w:rPr>
          <w:i/>
          <w:noProof/>
          <w:color w:val="000000"/>
        </w:rPr>
        <w:t>Using cladistic analysis of comparative data to reconstruct the evolution of cognitive development in hominids</w:t>
      </w:r>
      <w:r w:rsidRPr="003507E9">
        <w:rPr>
          <w:noProof/>
          <w:color w:val="000000"/>
        </w:rPr>
        <w:t>. In Martins, E. (ed.) Phylogenies and the Comparative Method in Animal Behavior. Oxford University Press: Oxford. pp. 433–448</w:t>
      </w:r>
      <w:r w:rsidR="00756276">
        <w:rPr>
          <w:noProof/>
          <w:color w:val="000000"/>
        </w:rPr>
        <w:t>.</w:t>
      </w:r>
    </w:p>
    <w:p w:rsidR="00A35CA0" w:rsidRDefault="00CC3C93" w:rsidP="00CA5FBB">
      <w:pPr>
        <w:pStyle w:val="ListParagraph"/>
        <w:spacing w:before="120" w:line="240" w:lineRule="auto"/>
        <w:ind w:left="0"/>
        <w:jc w:val="left"/>
        <w:rPr>
          <w:noProof/>
        </w:rPr>
      </w:pPr>
      <w:r w:rsidRPr="006A72BB">
        <w:rPr>
          <w:noProof/>
        </w:rPr>
        <w:t xml:space="preserve">Pearson, O.M.  2000.  Activity, climate, and postcranial robusticity.  </w:t>
      </w:r>
      <w:r w:rsidRPr="006A72BB">
        <w:rPr>
          <w:i/>
          <w:noProof/>
        </w:rPr>
        <w:t xml:space="preserve">Current Anthropology </w:t>
      </w:r>
      <w:r w:rsidRPr="006A72BB">
        <w:rPr>
          <w:noProof/>
        </w:rPr>
        <w:t>41(4): 569-607</w:t>
      </w:r>
      <w:r w:rsidR="00756276">
        <w:rPr>
          <w:noProof/>
        </w:rPr>
        <w:t>.</w:t>
      </w:r>
    </w:p>
    <w:p w:rsidR="00A35CA0" w:rsidRDefault="00CC3C93" w:rsidP="00CA5FBB">
      <w:pPr>
        <w:tabs>
          <w:tab w:val="left" w:pos="360"/>
        </w:tabs>
        <w:spacing w:before="120" w:line="240" w:lineRule="auto"/>
        <w:jc w:val="left"/>
        <w:rPr>
          <w:noProof/>
          <w:color w:val="000000"/>
        </w:rPr>
      </w:pPr>
      <w:r w:rsidRPr="00C744D3">
        <w:rPr>
          <w:noProof/>
          <w:color w:val="000000"/>
        </w:rPr>
        <w:t xml:space="preserve">Penin, X.  Berge, C.  Baylac, M.  2002.  Ontogenetic study of the skull in modern humans and the common chimpanzees: Neotenic hypothesis reconsidered with a tridimensional procrustes analysis.  </w:t>
      </w:r>
      <w:r w:rsidRPr="00C744D3">
        <w:rPr>
          <w:i/>
          <w:noProof/>
          <w:color w:val="000000"/>
        </w:rPr>
        <w:t>American Journal of Physical Anthropology</w:t>
      </w:r>
      <w:r w:rsidRPr="00C744D3">
        <w:rPr>
          <w:noProof/>
          <w:color w:val="000000"/>
        </w:rPr>
        <w:t xml:space="preserve"> 118(1): 50–62</w:t>
      </w:r>
      <w:r w:rsidR="005557DD">
        <w:rPr>
          <w:noProof/>
          <w:color w:val="000000"/>
        </w:rPr>
        <w:t>.</w:t>
      </w:r>
    </w:p>
    <w:p w:rsidR="00A35CA0" w:rsidRDefault="00CC3C93" w:rsidP="00CA5FBB">
      <w:pPr>
        <w:autoSpaceDE w:val="0"/>
        <w:autoSpaceDN w:val="0"/>
        <w:adjustRightInd w:val="0"/>
        <w:spacing w:before="120" w:line="240" w:lineRule="auto"/>
        <w:jc w:val="left"/>
        <w:rPr>
          <w:rFonts w:asciiTheme="majorBidi" w:eastAsiaTheme="minorHAnsi" w:hAnsiTheme="majorBidi" w:cstheme="majorBidi"/>
          <w:lang w:val="en-GB"/>
        </w:rPr>
      </w:pPr>
      <w:r w:rsidRPr="00667B89">
        <w:rPr>
          <w:rFonts w:asciiTheme="majorBidi" w:eastAsiaTheme="minorHAnsi" w:hAnsiTheme="majorBidi" w:cstheme="majorBidi"/>
          <w:lang w:val="en-GB"/>
        </w:rPr>
        <w:t xml:space="preserve">Persson, L.  Kjell, L.  </w:t>
      </w:r>
      <w:proofErr w:type="gramStart"/>
      <w:r w:rsidRPr="00667B89">
        <w:rPr>
          <w:rFonts w:asciiTheme="majorBidi" w:eastAsiaTheme="minorHAnsi" w:hAnsiTheme="majorBidi" w:cstheme="majorBidi"/>
          <w:lang w:val="en-GB"/>
        </w:rPr>
        <w:t>De Roos, A.</w:t>
      </w:r>
      <w:proofErr w:type="gramEnd"/>
      <w:r w:rsidRPr="00667B89">
        <w:rPr>
          <w:rFonts w:asciiTheme="majorBidi" w:eastAsiaTheme="minorHAnsi" w:hAnsiTheme="majorBidi" w:cstheme="majorBidi"/>
          <w:lang w:val="en-GB"/>
        </w:rPr>
        <w:t xml:space="preserve">  Gyllenberg, M.  Christensen, B.  1998.  Ontogenetic Scaling of Foraging Rates and the Dynamics of a Size-Structured Consumer-Resource Model.  </w:t>
      </w:r>
      <w:r w:rsidRPr="00667B89">
        <w:rPr>
          <w:rFonts w:asciiTheme="majorBidi" w:eastAsiaTheme="minorHAnsi" w:hAnsiTheme="majorBidi" w:cstheme="majorBidi"/>
          <w:i/>
          <w:lang w:val="en-GB"/>
        </w:rPr>
        <w:t>Theoretical Population Biology</w:t>
      </w:r>
      <w:r w:rsidRPr="00667B89">
        <w:rPr>
          <w:rFonts w:asciiTheme="majorBidi" w:eastAsiaTheme="minorHAnsi" w:hAnsiTheme="majorBidi" w:cstheme="majorBidi"/>
          <w:lang w:val="en-GB"/>
        </w:rPr>
        <w:t xml:space="preserve"> 54</w:t>
      </w:r>
      <w:r w:rsidR="00D82911">
        <w:rPr>
          <w:rFonts w:asciiTheme="majorBidi" w:eastAsiaTheme="minorHAnsi" w:hAnsiTheme="majorBidi" w:cstheme="majorBidi"/>
          <w:lang w:val="en-GB"/>
        </w:rPr>
        <w:t>(3)</w:t>
      </w:r>
      <w:r w:rsidRPr="00667B89">
        <w:rPr>
          <w:rFonts w:asciiTheme="majorBidi" w:eastAsiaTheme="minorHAnsi" w:hAnsiTheme="majorBidi" w:cstheme="majorBidi"/>
          <w:lang w:val="en-GB"/>
        </w:rPr>
        <w:t>: 270-293</w:t>
      </w:r>
      <w:r w:rsidR="005557DD">
        <w:rPr>
          <w:rFonts w:asciiTheme="majorBidi" w:eastAsiaTheme="minorHAnsi" w:hAnsiTheme="majorBidi" w:cstheme="majorBidi"/>
          <w:lang w:val="en-GB"/>
        </w:rPr>
        <w:t>.</w:t>
      </w:r>
    </w:p>
    <w:p w:rsidR="00A35CA0" w:rsidRDefault="00CC3C93" w:rsidP="00CA5FBB">
      <w:pPr>
        <w:spacing w:before="120" w:line="240" w:lineRule="auto"/>
        <w:jc w:val="left"/>
        <w:rPr>
          <w:noProof/>
        </w:rPr>
      </w:pPr>
      <w:r>
        <w:rPr>
          <w:noProof/>
        </w:rPr>
        <w:t xml:space="preserve">Phillips-Conroy, J.  Jolly, C.J.  1988.  Dental eruption schedules of wild and captive baboons.  </w:t>
      </w:r>
      <w:r>
        <w:rPr>
          <w:i/>
          <w:noProof/>
        </w:rPr>
        <w:t>American Journal of Primatology</w:t>
      </w:r>
      <w:r>
        <w:rPr>
          <w:noProof/>
        </w:rPr>
        <w:t xml:space="preserve"> 15(1):</w:t>
      </w:r>
      <w:r w:rsidR="0054394E">
        <w:rPr>
          <w:noProof/>
        </w:rPr>
        <w:t xml:space="preserve"> </w:t>
      </w:r>
      <w:r>
        <w:rPr>
          <w:noProof/>
        </w:rPr>
        <w:t>17-29</w:t>
      </w:r>
      <w:r w:rsidR="0054394E">
        <w:rPr>
          <w:noProof/>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667B89">
        <w:rPr>
          <w:rFonts w:asciiTheme="majorBidi" w:hAnsiTheme="majorBidi" w:cstheme="majorBidi"/>
          <w:color w:val="000000" w:themeColor="text1"/>
          <w:lang w:val="en-CA"/>
        </w:rPr>
        <w:t>Prakash, S.</w:t>
      </w:r>
      <w:proofErr w:type="gramEnd"/>
      <w:r w:rsidRPr="00667B89">
        <w:rPr>
          <w:rFonts w:asciiTheme="majorBidi" w:hAnsiTheme="majorBidi" w:cstheme="majorBidi"/>
          <w:color w:val="000000" w:themeColor="text1"/>
          <w:lang w:val="en-CA"/>
        </w:rPr>
        <w:t xml:space="preserve">  </w:t>
      </w:r>
      <w:proofErr w:type="gramStart"/>
      <w:r w:rsidRPr="00667B89">
        <w:rPr>
          <w:rFonts w:asciiTheme="majorBidi" w:hAnsiTheme="majorBidi" w:cstheme="majorBidi"/>
          <w:color w:val="000000" w:themeColor="text1"/>
          <w:lang w:val="en-CA"/>
        </w:rPr>
        <w:t>Cameron, N.</w:t>
      </w:r>
      <w:proofErr w:type="gramEnd"/>
      <w:r w:rsidRPr="00667B89">
        <w:rPr>
          <w:rFonts w:asciiTheme="majorBidi" w:hAnsiTheme="majorBidi" w:cstheme="majorBidi"/>
          <w:color w:val="000000" w:themeColor="text1"/>
          <w:lang w:val="en-CA"/>
        </w:rPr>
        <w:t xml:space="preserve">  1981.  Skeletal maturity of well-off children in Chandigarh, North India.  </w:t>
      </w:r>
      <w:r w:rsidRPr="00667B89">
        <w:rPr>
          <w:rFonts w:asciiTheme="majorBidi" w:hAnsiTheme="majorBidi" w:cstheme="majorBidi"/>
          <w:i/>
          <w:color w:val="000000" w:themeColor="text1"/>
          <w:lang w:val="en-CA"/>
        </w:rPr>
        <w:t>Annals of Human Biology</w:t>
      </w:r>
      <w:r w:rsidRPr="00667B89">
        <w:rPr>
          <w:rFonts w:asciiTheme="majorBidi" w:hAnsiTheme="majorBidi" w:cstheme="majorBidi"/>
          <w:color w:val="000000" w:themeColor="text1"/>
          <w:lang w:val="en-CA"/>
        </w:rPr>
        <w:t xml:space="preserve"> 8(2):</w:t>
      </w:r>
      <w:r w:rsidR="0054394E">
        <w:rPr>
          <w:rFonts w:asciiTheme="majorBidi" w:hAnsiTheme="majorBidi" w:cstheme="majorBidi"/>
          <w:color w:val="000000" w:themeColor="text1"/>
          <w:lang w:val="en-CA"/>
        </w:rPr>
        <w:t xml:space="preserve"> </w:t>
      </w:r>
      <w:r w:rsidRPr="00667B89">
        <w:rPr>
          <w:rFonts w:asciiTheme="majorBidi" w:hAnsiTheme="majorBidi" w:cstheme="majorBidi"/>
          <w:color w:val="000000" w:themeColor="text1"/>
          <w:lang w:val="en-CA"/>
        </w:rPr>
        <w:t>175-180</w:t>
      </w:r>
      <w:r w:rsidR="0054394E">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noProof/>
          <w:color w:val="000000" w:themeColor="text1"/>
        </w:rPr>
      </w:pPr>
      <w:r w:rsidRPr="00667B89">
        <w:rPr>
          <w:rFonts w:asciiTheme="majorBidi" w:hAnsiTheme="majorBidi" w:cstheme="majorBidi"/>
          <w:noProof/>
          <w:color w:val="000000" w:themeColor="text1"/>
        </w:rPr>
        <w:t xml:space="preserve">Prakash, S.  Pathamanathan, G.  1991.  Tempo-unconditional 1-year bone score velocities in well-off north-west Indian children.  </w:t>
      </w:r>
      <w:r w:rsidRPr="00667B89">
        <w:rPr>
          <w:rFonts w:asciiTheme="majorBidi" w:hAnsiTheme="majorBidi" w:cstheme="majorBidi"/>
          <w:i/>
          <w:noProof/>
          <w:color w:val="000000" w:themeColor="text1"/>
        </w:rPr>
        <w:t>Annals of Human Biology</w:t>
      </w:r>
      <w:r w:rsidRPr="00667B89">
        <w:rPr>
          <w:rFonts w:asciiTheme="majorBidi" w:hAnsiTheme="majorBidi" w:cstheme="majorBidi"/>
          <w:noProof/>
          <w:color w:val="000000" w:themeColor="text1"/>
        </w:rPr>
        <w:t xml:space="preserve"> 18</w:t>
      </w:r>
      <w:r w:rsidR="007E684D">
        <w:rPr>
          <w:rFonts w:asciiTheme="majorBidi" w:hAnsiTheme="majorBidi" w:cstheme="majorBidi"/>
          <w:noProof/>
          <w:color w:val="000000" w:themeColor="text1"/>
        </w:rPr>
        <w:t>(4)</w:t>
      </w:r>
      <w:r w:rsidRPr="00667B89">
        <w:rPr>
          <w:rFonts w:asciiTheme="majorBidi" w:hAnsiTheme="majorBidi" w:cstheme="majorBidi"/>
          <w:noProof/>
          <w:color w:val="000000" w:themeColor="text1"/>
        </w:rPr>
        <w:t>: 303-310</w:t>
      </w:r>
      <w:r w:rsidR="00070DA7">
        <w:rPr>
          <w:rFonts w:asciiTheme="majorBidi" w:hAnsiTheme="majorBidi" w:cstheme="majorBidi"/>
          <w:noProof/>
          <w:color w:val="000000" w:themeColor="text1"/>
        </w:rPr>
        <w:t>.</w:t>
      </w:r>
    </w:p>
    <w:p w:rsidR="00A35CA0" w:rsidRDefault="00CC3C93" w:rsidP="00CA5FBB">
      <w:pPr>
        <w:spacing w:before="120" w:line="240" w:lineRule="auto"/>
        <w:jc w:val="left"/>
        <w:rPr>
          <w:rFonts w:asciiTheme="majorBidi" w:hAnsiTheme="majorBidi" w:cstheme="majorBidi"/>
        </w:rPr>
      </w:pPr>
      <w:r w:rsidRPr="00667B89">
        <w:rPr>
          <w:rFonts w:asciiTheme="majorBidi" w:hAnsiTheme="majorBidi" w:cstheme="majorBidi"/>
        </w:rPr>
        <w:t xml:space="preserve">Prendergast Moore, K.  </w:t>
      </w:r>
      <w:proofErr w:type="gramStart"/>
      <w:r w:rsidRPr="00667B89">
        <w:rPr>
          <w:rFonts w:asciiTheme="majorBidi" w:hAnsiTheme="majorBidi" w:cstheme="majorBidi"/>
        </w:rPr>
        <w:t>Thorp, S.</w:t>
      </w:r>
      <w:proofErr w:type="gramEnd"/>
      <w:r w:rsidRPr="00667B89">
        <w:rPr>
          <w:rFonts w:asciiTheme="majorBidi" w:hAnsiTheme="majorBidi" w:cstheme="majorBidi"/>
        </w:rPr>
        <w:t xml:space="preserve">  Van Gerven, D.P.  1986.  Pattern of dental eruption, skeletal maturation and stress in a Medieval Population from Sudanese Nubia.  </w:t>
      </w:r>
      <w:r w:rsidRPr="00667B89">
        <w:rPr>
          <w:rFonts w:asciiTheme="majorBidi" w:hAnsiTheme="majorBidi" w:cstheme="majorBidi"/>
          <w:i/>
        </w:rPr>
        <w:t>Human Evolution</w:t>
      </w:r>
      <w:r w:rsidRPr="00667B89">
        <w:rPr>
          <w:rFonts w:asciiTheme="majorBidi" w:hAnsiTheme="majorBidi" w:cstheme="majorBidi"/>
        </w:rPr>
        <w:t xml:space="preserve"> 1(4): 325-330</w:t>
      </w:r>
      <w:r w:rsidR="00070DA7">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rPr>
      </w:pPr>
      <w:r>
        <w:rPr>
          <w:noProof/>
          <w:color w:val="000000" w:themeColor="text1"/>
        </w:rPr>
        <w:t>Prieto, J.L.</w:t>
      </w:r>
      <w:r w:rsidRPr="00EF47FF">
        <w:rPr>
          <w:noProof/>
          <w:color w:val="000000" w:themeColor="text1"/>
        </w:rPr>
        <w:t xml:space="preserve"> Barbería,</w:t>
      </w:r>
      <w:r>
        <w:rPr>
          <w:noProof/>
          <w:color w:val="000000" w:themeColor="text1"/>
        </w:rPr>
        <w:t xml:space="preserve"> E.</w:t>
      </w:r>
      <w:r w:rsidRPr="00EF47FF">
        <w:rPr>
          <w:noProof/>
          <w:color w:val="000000" w:themeColor="text1"/>
        </w:rPr>
        <w:t xml:space="preserve"> </w:t>
      </w:r>
      <w:r>
        <w:rPr>
          <w:noProof/>
          <w:color w:val="000000" w:themeColor="text1"/>
        </w:rPr>
        <w:t>O</w:t>
      </w:r>
      <w:r w:rsidRPr="00EF47FF">
        <w:rPr>
          <w:noProof/>
          <w:color w:val="000000" w:themeColor="text1"/>
        </w:rPr>
        <w:t>rtega</w:t>
      </w:r>
      <w:r>
        <w:rPr>
          <w:noProof/>
          <w:color w:val="000000" w:themeColor="text1"/>
        </w:rPr>
        <w:t xml:space="preserve">, R.  </w:t>
      </w:r>
      <w:r w:rsidRPr="00EF47FF">
        <w:rPr>
          <w:noProof/>
          <w:color w:val="000000" w:themeColor="text1"/>
        </w:rPr>
        <w:t>Magaña</w:t>
      </w:r>
      <w:r>
        <w:rPr>
          <w:noProof/>
          <w:color w:val="000000" w:themeColor="text1"/>
        </w:rPr>
        <w:t xml:space="preserve">, C.  2005.  </w:t>
      </w:r>
      <w:r w:rsidRPr="00EF47FF">
        <w:rPr>
          <w:noProof/>
          <w:color w:val="000000" w:themeColor="text1"/>
        </w:rPr>
        <w:t xml:space="preserve">Evaluation of chronological age based on third molar development in the Spanish population.  </w:t>
      </w:r>
      <w:r w:rsidRPr="00EF47FF">
        <w:rPr>
          <w:i/>
          <w:noProof/>
          <w:color w:val="000000" w:themeColor="text1"/>
        </w:rPr>
        <w:t>International Journal of Legal Medicine</w:t>
      </w:r>
      <w:r w:rsidRPr="00EF47FF">
        <w:rPr>
          <w:noProof/>
          <w:color w:val="000000" w:themeColor="text1"/>
        </w:rPr>
        <w:t xml:space="preserve"> 119(6): 349-354</w:t>
      </w:r>
      <w:r w:rsidR="00070DA7">
        <w:rPr>
          <w:noProof/>
          <w:color w:val="000000" w:themeColor="text1"/>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Pyle, S.I.  </w:t>
      </w:r>
      <w:proofErr w:type="gramStart"/>
      <w:r w:rsidRPr="00667B89">
        <w:rPr>
          <w:rFonts w:asciiTheme="majorBidi" w:hAnsiTheme="majorBidi" w:cstheme="majorBidi"/>
          <w:color w:val="000000" w:themeColor="text1"/>
          <w:lang w:val="en-CA"/>
        </w:rPr>
        <w:t>and</w:t>
      </w:r>
      <w:proofErr w:type="gramEnd"/>
      <w:r w:rsidRPr="00667B89">
        <w:rPr>
          <w:rFonts w:asciiTheme="majorBidi" w:hAnsiTheme="majorBidi" w:cstheme="majorBidi"/>
          <w:color w:val="000000" w:themeColor="text1"/>
          <w:lang w:val="en-CA"/>
        </w:rPr>
        <w:t xml:space="preserve"> Hoerr, N.L.  1955.  </w:t>
      </w:r>
      <w:r w:rsidRPr="00667B89">
        <w:rPr>
          <w:rFonts w:asciiTheme="majorBidi" w:hAnsiTheme="majorBidi" w:cstheme="majorBidi"/>
          <w:i/>
          <w:color w:val="000000" w:themeColor="text1"/>
          <w:lang w:val="en-CA"/>
        </w:rPr>
        <w:t>Radiographic Atlas of Skeletal Development of the Knee</w:t>
      </w:r>
      <w:r>
        <w:rPr>
          <w:rFonts w:asciiTheme="majorBidi" w:hAnsiTheme="majorBidi" w:cstheme="majorBidi"/>
          <w:color w:val="000000" w:themeColor="text1"/>
          <w:lang w:val="en-CA"/>
        </w:rPr>
        <w:t>.  C.C. Thomas</w:t>
      </w:r>
      <w:r w:rsidR="00076B5E">
        <w:rPr>
          <w:rFonts w:asciiTheme="majorBidi" w:hAnsiTheme="majorBidi" w:cstheme="majorBidi"/>
          <w:color w:val="000000" w:themeColor="text1"/>
          <w:lang w:val="en-CA"/>
        </w:rPr>
        <w:t>:</w:t>
      </w:r>
      <w:r w:rsidR="00076B5E" w:rsidRPr="00076B5E">
        <w:rPr>
          <w:rFonts w:asciiTheme="majorBidi" w:hAnsiTheme="majorBidi" w:cstheme="majorBidi"/>
          <w:color w:val="000000" w:themeColor="text1"/>
          <w:lang w:val="en-CA"/>
        </w:rPr>
        <w:t xml:space="preserve"> </w:t>
      </w:r>
      <w:r w:rsidR="00076B5E">
        <w:rPr>
          <w:rFonts w:asciiTheme="majorBidi" w:hAnsiTheme="majorBidi" w:cstheme="majorBidi"/>
          <w:color w:val="000000" w:themeColor="text1"/>
          <w:lang w:val="en-CA"/>
        </w:rPr>
        <w:t>Springfield.</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9F2AF6">
        <w:rPr>
          <w:rFonts w:asciiTheme="majorBidi" w:hAnsiTheme="majorBidi" w:cstheme="majorBidi"/>
          <w:color w:val="000000" w:themeColor="text1"/>
          <w:lang w:val="en-CA"/>
        </w:rPr>
        <w:t>Pyle</w:t>
      </w:r>
      <w:r>
        <w:rPr>
          <w:rFonts w:asciiTheme="majorBidi" w:hAnsiTheme="majorBidi" w:cstheme="majorBidi"/>
          <w:color w:val="000000" w:themeColor="text1"/>
          <w:lang w:val="en-CA"/>
        </w:rPr>
        <w:t>, I.</w:t>
      </w:r>
      <w:proofErr w:type="gramEnd"/>
      <w:r w:rsidRPr="009F2AF6">
        <w:rPr>
          <w:rFonts w:asciiTheme="majorBidi" w:hAnsiTheme="majorBidi" w:cstheme="majorBidi"/>
          <w:color w:val="000000" w:themeColor="text1"/>
          <w:lang w:val="en-CA"/>
        </w:rPr>
        <w:t xml:space="preserve"> </w:t>
      </w:r>
      <w:r>
        <w:rPr>
          <w:rFonts w:asciiTheme="majorBidi" w:hAnsiTheme="majorBidi" w:cstheme="majorBidi"/>
          <w:color w:val="000000" w:themeColor="text1"/>
          <w:lang w:val="en-CA"/>
        </w:rPr>
        <w:t xml:space="preserve"> </w:t>
      </w:r>
      <w:r w:rsidRPr="009F2AF6">
        <w:rPr>
          <w:rFonts w:asciiTheme="majorBidi" w:hAnsiTheme="majorBidi" w:cstheme="majorBidi"/>
          <w:color w:val="000000" w:themeColor="text1"/>
          <w:lang w:val="en-CA"/>
        </w:rPr>
        <w:t>Sontag</w:t>
      </w:r>
      <w:r>
        <w:rPr>
          <w:rFonts w:asciiTheme="majorBidi" w:hAnsiTheme="majorBidi" w:cstheme="majorBidi"/>
          <w:color w:val="000000" w:themeColor="text1"/>
          <w:lang w:val="en-CA"/>
        </w:rPr>
        <w:t>,</w:t>
      </w:r>
      <w:r w:rsidRPr="009F2AF6">
        <w:rPr>
          <w:rFonts w:asciiTheme="majorBidi" w:hAnsiTheme="majorBidi" w:cstheme="majorBidi"/>
          <w:color w:val="000000" w:themeColor="text1"/>
          <w:lang w:val="en-CA"/>
        </w:rPr>
        <w:t xml:space="preserve"> L</w:t>
      </w:r>
      <w:r>
        <w:rPr>
          <w:rFonts w:asciiTheme="majorBidi" w:hAnsiTheme="majorBidi" w:cstheme="majorBidi"/>
          <w:color w:val="000000" w:themeColor="text1"/>
          <w:lang w:val="en-CA"/>
        </w:rPr>
        <w:t>.</w:t>
      </w:r>
      <w:r w:rsidRPr="009F2AF6">
        <w:rPr>
          <w:rFonts w:asciiTheme="majorBidi" w:hAnsiTheme="majorBidi" w:cstheme="majorBidi"/>
          <w:color w:val="000000" w:themeColor="text1"/>
          <w:lang w:val="en-CA"/>
        </w:rPr>
        <w:t xml:space="preserve">W. </w:t>
      </w:r>
      <w:r>
        <w:rPr>
          <w:rFonts w:asciiTheme="majorBidi" w:hAnsiTheme="majorBidi" w:cstheme="majorBidi"/>
          <w:color w:val="000000" w:themeColor="text1"/>
          <w:lang w:val="en-CA"/>
        </w:rPr>
        <w:t xml:space="preserve"> </w:t>
      </w:r>
      <w:r w:rsidRPr="009F2AF6">
        <w:rPr>
          <w:rFonts w:asciiTheme="majorBidi" w:hAnsiTheme="majorBidi" w:cstheme="majorBidi"/>
          <w:color w:val="000000" w:themeColor="text1"/>
          <w:lang w:val="en-CA"/>
        </w:rPr>
        <w:t>1943. Variabil</w:t>
      </w:r>
      <w:r>
        <w:rPr>
          <w:rFonts w:asciiTheme="majorBidi" w:hAnsiTheme="majorBidi" w:cstheme="majorBidi"/>
          <w:color w:val="000000" w:themeColor="text1"/>
          <w:lang w:val="en-CA"/>
        </w:rPr>
        <w:t xml:space="preserve">ity in the onset of ossiﬁcation </w:t>
      </w:r>
      <w:r w:rsidRPr="009F2AF6">
        <w:rPr>
          <w:rFonts w:asciiTheme="majorBidi" w:hAnsiTheme="majorBidi" w:cstheme="majorBidi"/>
          <w:color w:val="000000" w:themeColor="text1"/>
          <w:lang w:val="en-CA"/>
        </w:rPr>
        <w:t>in the epiphyses and short bon</w:t>
      </w:r>
      <w:r>
        <w:rPr>
          <w:rFonts w:asciiTheme="majorBidi" w:hAnsiTheme="majorBidi" w:cstheme="majorBidi"/>
          <w:color w:val="000000" w:themeColor="text1"/>
          <w:lang w:val="en-CA"/>
        </w:rPr>
        <w:t>es of the extremities.</w:t>
      </w:r>
      <w:r w:rsidRPr="009F2AF6">
        <w:t xml:space="preserve"> </w:t>
      </w:r>
      <w:r>
        <w:t xml:space="preserve"> </w:t>
      </w:r>
      <w:r w:rsidRPr="009F2AF6">
        <w:rPr>
          <w:rFonts w:asciiTheme="majorBidi" w:hAnsiTheme="majorBidi" w:cstheme="majorBidi"/>
          <w:i/>
          <w:color w:val="000000" w:themeColor="text1"/>
          <w:lang w:val="en-CA"/>
        </w:rPr>
        <w:t>American Journal of Roentgenology, Radium Therapy, and Nuclear Medicine</w:t>
      </w:r>
      <w:r>
        <w:rPr>
          <w:rFonts w:asciiTheme="majorBidi" w:hAnsiTheme="majorBidi" w:cstheme="majorBidi"/>
          <w:color w:val="000000" w:themeColor="text1"/>
          <w:lang w:val="en-CA"/>
        </w:rPr>
        <w:t xml:space="preserve"> 49:</w:t>
      </w:r>
      <w:r w:rsidR="00797BC8">
        <w:rPr>
          <w:rFonts w:asciiTheme="majorBidi" w:hAnsiTheme="majorBidi" w:cstheme="majorBidi"/>
          <w:color w:val="000000" w:themeColor="text1"/>
          <w:lang w:val="en-CA"/>
        </w:rPr>
        <w:t xml:space="preserve"> </w:t>
      </w:r>
      <w:r>
        <w:rPr>
          <w:rFonts w:asciiTheme="majorBidi" w:hAnsiTheme="majorBidi" w:cstheme="majorBidi"/>
          <w:color w:val="000000" w:themeColor="text1"/>
          <w:lang w:val="en-CA"/>
        </w:rPr>
        <w:t>795–798</w:t>
      </w:r>
      <w:r w:rsidR="00AC128C">
        <w:rPr>
          <w:rFonts w:asciiTheme="majorBidi" w:hAnsiTheme="majorBidi" w:cstheme="majorBidi"/>
          <w:color w:val="000000" w:themeColor="text1"/>
          <w:lang w:val="en-CA"/>
        </w:rPr>
        <w:t>.</w:t>
      </w:r>
    </w:p>
    <w:p w:rsidR="00A35CA0" w:rsidRPr="00CA5FBB" w:rsidRDefault="00CC3C93" w:rsidP="00CA5FBB">
      <w:pPr>
        <w:tabs>
          <w:tab w:val="left" w:pos="360"/>
        </w:tabs>
        <w:spacing w:before="120" w:line="240" w:lineRule="auto"/>
        <w:jc w:val="left"/>
        <w:rPr>
          <w:rFonts w:asciiTheme="majorBidi" w:hAnsiTheme="majorBidi" w:cstheme="majorBidi"/>
          <w:noProof/>
          <w:color w:val="000000" w:themeColor="text1"/>
        </w:rPr>
      </w:pPr>
      <w:r w:rsidRPr="00667B89">
        <w:rPr>
          <w:rFonts w:asciiTheme="majorBidi" w:hAnsiTheme="majorBidi" w:cstheme="majorBidi"/>
          <w:noProof/>
        </w:rPr>
        <w:t xml:space="preserve">Raaum, R.L.  Sterner, K.N.  Noviello, C.M.  Stewart, C.B.  Disotell, T.R.  2005.  </w:t>
      </w:r>
      <w:r w:rsidRPr="00667B89">
        <w:rPr>
          <w:rFonts w:asciiTheme="majorBidi" w:hAnsiTheme="majorBidi" w:cstheme="majorBidi"/>
          <w:bCs/>
        </w:rPr>
        <w:t>Catarrhine primate divergence dates estimated from complete mitochondrial genomes: concordance with fossil and nuclear DNA e</w:t>
      </w:r>
      <w:r w:rsidR="008943E4" w:rsidRPr="00CA5FBB">
        <w:rPr>
          <w:rFonts w:asciiTheme="majorBidi" w:hAnsiTheme="majorBidi" w:cstheme="majorBidi"/>
          <w:bCs/>
          <w:color w:val="000000" w:themeColor="text1"/>
        </w:rPr>
        <w:t xml:space="preserve">vidence.  </w:t>
      </w:r>
      <w:r w:rsidR="008943E4" w:rsidRPr="00CA5FBB">
        <w:rPr>
          <w:rFonts w:asciiTheme="majorBidi" w:hAnsiTheme="majorBidi" w:cstheme="majorBidi"/>
          <w:bCs/>
          <w:i/>
          <w:color w:val="000000" w:themeColor="text1"/>
        </w:rPr>
        <w:t>Journal of Human Evolution</w:t>
      </w:r>
      <w:r w:rsidR="008943E4" w:rsidRPr="00CA5FBB">
        <w:rPr>
          <w:rFonts w:asciiTheme="majorBidi" w:hAnsiTheme="majorBidi" w:cstheme="majorBidi"/>
          <w:bCs/>
          <w:color w:val="000000" w:themeColor="text1"/>
        </w:rPr>
        <w:t xml:space="preserve"> 48(3):</w:t>
      </w:r>
      <w:r w:rsidR="00347F88">
        <w:rPr>
          <w:rFonts w:asciiTheme="majorBidi" w:hAnsiTheme="majorBidi" w:cstheme="majorBidi"/>
          <w:bCs/>
          <w:color w:val="000000" w:themeColor="text1"/>
        </w:rPr>
        <w:t xml:space="preserve"> </w:t>
      </w:r>
      <w:r w:rsidR="008943E4" w:rsidRPr="00CA5FBB">
        <w:rPr>
          <w:rFonts w:asciiTheme="majorBidi" w:hAnsiTheme="majorBidi" w:cstheme="majorBidi"/>
          <w:bCs/>
          <w:color w:val="000000" w:themeColor="text1"/>
        </w:rPr>
        <w:t>237-257</w:t>
      </w:r>
      <w:r w:rsidR="00347F88">
        <w:rPr>
          <w:rFonts w:asciiTheme="majorBidi" w:hAnsiTheme="majorBidi" w:cstheme="majorBidi"/>
          <w:bCs/>
          <w:color w:val="000000" w:themeColor="text1"/>
        </w:rPr>
        <w:t>.</w:t>
      </w:r>
    </w:p>
    <w:p w:rsidR="00A35CA0" w:rsidRPr="00CA5FBB" w:rsidRDefault="008943E4" w:rsidP="00CA5FBB">
      <w:pPr>
        <w:tabs>
          <w:tab w:val="left" w:pos="0"/>
          <w:tab w:val="left" w:pos="360"/>
        </w:tabs>
        <w:spacing w:before="120" w:line="240" w:lineRule="auto"/>
        <w:jc w:val="left"/>
        <w:rPr>
          <w:color w:val="000000" w:themeColor="text1"/>
        </w:rPr>
      </w:pPr>
      <w:r w:rsidRPr="00CA5FBB">
        <w:rPr>
          <w:color w:val="000000" w:themeColor="text1"/>
        </w:rPr>
        <w:t xml:space="preserve">Rae, T.C.  Koppe, T.  Spoor, F.  </w:t>
      </w:r>
      <w:proofErr w:type="gramStart"/>
      <w:r w:rsidRPr="00CA5FBB">
        <w:rPr>
          <w:color w:val="000000" w:themeColor="text1"/>
        </w:rPr>
        <w:t>Benefit, B.</w:t>
      </w:r>
      <w:proofErr w:type="gramEnd"/>
      <w:r w:rsidRPr="00CA5FBB">
        <w:rPr>
          <w:color w:val="000000" w:themeColor="text1"/>
        </w:rPr>
        <w:t xml:space="preserve">  McCrossin, M.  2002. Ancestral loss of the maxillary sinus in Old World monkeys and independent acquisition in Macaca.  </w:t>
      </w:r>
      <w:r w:rsidRPr="00CA5FBB">
        <w:rPr>
          <w:i/>
          <w:color w:val="000000" w:themeColor="text1"/>
        </w:rPr>
        <w:t>American Journal of Physical Anthropology</w:t>
      </w:r>
      <w:r w:rsidRPr="00CA5FBB">
        <w:rPr>
          <w:color w:val="000000" w:themeColor="text1"/>
        </w:rPr>
        <w:t xml:space="preserve"> 117(4): 293–296</w:t>
      </w:r>
      <w:r w:rsidR="00347F88">
        <w:rPr>
          <w:color w:val="000000" w:themeColor="text1"/>
        </w:rPr>
        <w:t>.</w:t>
      </w:r>
    </w:p>
    <w:p w:rsidR="00A35CA0" w:rsidRDefault="00CC3C93" w:rsidP="00CA5FBB">
      <w:pPr>
        <w:spacing w:before="120" w:line="240" w:lineRule="auto"/>
        <w:jc w:val="left"/>
        <w:rPr>
          <w:noProof/>
          <w:color w:val="000000" w:themeColor="text1"/>
        </w:rPr>
      </w:pPr>
      <w:r w:rsidRPr="00CC3C93">
        <w:rPr>
          <w:noProof/>
          <w:color w:val="000000" w:themeColor="text1"/>
        </w:rPr>
        <w:t xml:space="preserve">Ramirez Rozzi, F.  Lacruz, R.S.  2007.  Histological study of an upper incisor and molar of a bonobo (Pan paniscus) individual.  In </w:t>
      </w:r>
      <w:r w:rsidRPr="00CC3C93">
        <w:rPr>
          <w:i/>
          <w:noProof/>
          <w:color w:val="000000" w:themeColor="text1"/>
        </w:rPr>
        <w:t>Dental Perspectives on Human Evolution: State of the Art Research in Dental Paleoanthropology</w:t>
      </w:r>
      <w:r w:rsidRPr="00CC3C93">
        <w:rPr>
          <w:noProof/>
          <w:color w:val="000000" w:themeColor="text1"/>
        </w:rPr>
        <w:t>.  Bailey, S.E.  Hublin, J.J. (eds.) Spring: Netherlands pp. 163-176</w:t>
      </w:r>
      <w:r w:rsidR="00347F88">
        <w:rPr>
          <w:noProof/>
          <w:color w:val="000000" w:themeColor="text1"/>
        </w:rPr>
        <w:t>.</w:t>
      </w:r>
    </w:p>
    <w:p w:rsidR="00BE7C2C" w:rsidRDefault="008943E4" w:rsidP="00E53F3C">
      <w:pPr>
        <w:spacing w:before="120" w:line="240" w:lineRule="auto"/>
        <w:jc w:val="left"/>
        <w:rPr>
          <w:rFonts w:asciiTheme="majorBidi" w:hAnsiTheme="majorBidi" w:cstheme="majorBidi"/>
          <w:color w:val="000000" w:themeColor="text1"/>
        </w:rPr>
      </w:pPr>
      <w:r w:rsidRPr="00CA5FBB">
        <w:rPr>
          <w:bCs/>
          <w:color w:val="000000" w:themeColor="text1"/>
        </w:rPr>
        <w:t xml:space="preserve">Ravosa, M.J.  Daniel, A.N.  2010.  Ontogeny and phyletic size change in living and fossil lemurs.  </w:t>
      </w:r>
      <w:r w:rsidRPr="00CA5FBB">
        <w:rPr>
          <w:bCs/>
          <w:i/>
          <w:color w:val="000000" w:themeColor="text1"/>
        </w:rPr>
        <w:t>American Journal of Primatology</w:t>
      </w:r>
      <w:r w:rsidRPr="00CA5FBB">
        <w:rPr>
          <w:bCs/>
          <w:color w:val="000000" w:themeColor="text1"/>
        </w:rPr>
        <w:t xml:space="preserve"> 72(2): 161-172</w:t>
      </w:r>
      <w:r w:rsidR="00BE7C2C" w:rsidRPr="00BE7C2C">
        <w:t>.</w:t>
      </w:r>
    </w:p>
    <w:p w:rsidR="00A35CA0" w:rsidRDefault="00095E97" w:rsidP="00CA5FBB">
      <w:pPr>
        <w:tabs>
          <w:tab w:val="left" w:pos="360"/>
        </w:tabs>
        <w:spacing w:before="120" w:line="240" w:lineRule="auto"/>
        <w:jc w:val="left"/>
        <w:rPr>
          <w:noProof/>
        </w:rPr>
      </w:pPr>
      <w:r>
        <w:rPr>
          <w:noProof/>
        </w:rPr>
        <w:t xml:space="preserve">Reid, D.J.  Dean, M.C.  2006.  Variation in modern human enamel formation times.  </w:t>
      </w:r>
      <w:r w:rsidRPr="00095E97">
        <w:rPr>
          <w:i/>
          <w:noProof/>
        </w:rPr>
        <w:t>Journal of Hu</w:t>
      </w:r>
      <w:r>
        <w:rPr>
          <w:i/>
          <w:noProof/>
        </w:rPr>
        <w:t xml:space="preserve">man Evolution </w:t>
      </w:r>
      <w:r>
        <w:rPr>
          <w:noProof/>
        </w:rPr>
        <w:t>50(3): 329–346</w:t>
      </w:r>
    </w:p>
    <w:p w:rsidR="00E74243" w:rsidRPr="00CA5FBB" w:rsidRDefault="008943E4" w:rsidP="00E53F3C">
      <w:pPr>
        <w:tabs>
          <w:tab w:val="left" w:pos="360"/>
        </w:tabs>
        <w:spacing w:before="120" w:line="240" w:lineRule="auto"/>
        <w:jc w:val="left"/>
        <w:rPr>
          <w:rFonts w:asciiTheme="majorBidi" w:hAnsiTheme="majorBidi" w:cstheme="majorBidi"/>
          <w:color w:val="000000" w:themeColor="text1"/>
        </w:rPr>
      </w:pPr>
      <w:r w:rsidRPr="00CA5FBB">
        <w:rPr>
          <w:rFonts w:asciiTheme="majorBidi" w:hAnsiTheme="majorBidi" w:cstheme="majorBidi"/>
          <w:color w:val="000000" w:themeColor="text1"/>
        </w:rPr>
        <w:t>Reid, D.J.  Schwartz, G.T.  Chandrasekera, M.S.  1998.  A histological reconstruction of dental</w:t>
      </w:r>
    </w:p>
    <w:p w:rsidR="00A35CA0" w:rsidRPr="00CA5FBB" w:rsidRDefault="008943E4" w:rsidP="00CA5FBB">
      <w:pPr>
        <w:tabs>
          <w:tab w:val="left" w:pos="360"/>
        </w:tabs>
        <w:spacing w:before="120" w:line="240" w:lineRule="auto"/>
        <w:jc w:val="left"/>
        <w:rPr>
          <w:rFonts w:asciiTheme="majorBidi" w:hAnsiTheme="majorBidi" w:cstheme="majorBidi"/>
          <w:color w:val="000000" w:themeColor="text1"/>
        </w:rPr>
      </w:pPr>
      <w:proofErr w:type="gramStart"/>
      <w:r w:rsidRPr="00CA5FBB">
        <w:rPr>
          <w:rFonts w:asciiTheme="majorBidi" w:hAnsiTheme="majorBidi" w:cstheme="majorBidi"/>
          <w:color w:val="000000" w:themeColor="text1"/>
        </w:rPr>
        <w:lastRenderedPageBreak/>
        <w:t>development</w:t>
      </w:r>
      <w:proofErr w:type="gramEnd"/>
      <w:r w:rsidRPr="00CA5FBB">
        <w:rPr>
          <w:rFonts w:asciiTheme="majorBidi" w:hAnsiTheme="majorBidi" w:cstheme="majorBidi"/>
          <w:color w:val="000000" w:themeColor="text1"/>
        </w:rPr>
        <w:t xml:space="preserve"> in the common chimpanzee, </w:t>
      </w:r>
      <w:r w:rsidRPr="00CA5FBB">
        <w:rPr>
          <w:rFonts w:asciiTheme="majorBidi" w:hAnsiTheme="majorBidi" w:cstheme="majorBidi"/>
          <w:i/>
          <w:color w:val="000000" w:themeColor="text1"/>
        </w:rPr>
        <w:t>Pan troglodytes</w:t>
      </w:r>
      <w:r w:rsidRPr="00CA5FBB">
        <w:rPr>
          <w:rFonts w:asciiTheme="majorBidi" w:hAnsiTheme="majorBidi" w:cstheme="majorBidi"/>
          <w:color w:val="000000" w:themeColor="text1"/>
        </w:rPr>
        <w:t xml:space="preserve">. </w:t>
      </w:r>
      <w:r w:rsidRPr="00CA5FBB">
        <w:rPr>
          <w:rFonts w:asciiTheme="majorBidi" w:hAnsiTheme="majorBidi" w:cstheme="majorBidi"/>
          <w:i/>
          <w:color w:val="000000" w:themeColor="text1"/>
        </w:rPr>
        <w:t>Journal of Human Evolution</w:t>
      </w:r>
      <w:r w:rsidRPr="00CA5FBB">
        <w:rPr>
          <w:rFonts w:asciiTheme="majorBidi" w:hAnsiTheme="majorBidi" w:cstheme="majorBidi"/>
          <w:color w:val="000000" w:themeColor="text1"/>
        </w:rPr>
        <w:t xml:space="preserve"> 35(4–5):</w:t>
      </w:r>
      <w:r w:rsidR="00347F88">
        <w:rPr>
          <w:rFonts w:asciiTheme="majorBidi" w:hAnsiTheme="majorBidi" w:cstheme="majorBidi"/>
          <w:color w:val="000000" w:themeColor="text1"/>
        </w:rPr>
        <w:t xml:space="preserve"> </w:t>
      </w:r>
      <w:r w:rsidRPr="00CA5FBB">
        <w:rPr>
          <w:rFonts w:asciiTheme="majorBidi" w:hAnsiTheme="majorBidi" w:cstheme="majorBidi"/>
          <w:color w:val="000000" w:themeColor="text1"/>
        </w:rPr>
        <w:t>427-448</w:t>
      </w:r>
      <w:r w:rsidR="00347F88">
        <w:rPr>
          <w:rFonts w:asciiTheme="majorBidi" w:hAnsiTheme="majorBidi" w:cstheme="majorBidi"/>
          <w:color w:val="000000" w:themeColor="text1"/>
        </w:rPr>
        <w:t>.</w:t>
      </w:r>
    </w:p>
    <w:p w:rsidR="00A35CA0" w:rsidRPr="00CA5FBB" w:rsidRDefault="008943E4" w:rsidP="00CA5FBB">
      <w:pPr>
        <w:tabs>
          <w:tab w:val="left" w:pos="360"/>
        </w:tabs>
        <w:spacing w:before="120" w:line="240" w:lineRule="auto"/>
        <w:jc w:val="left"/>
        <w:rPr>
          <w:rFonts w:asciiTheme="majorBidi" w:hAnsiTheme="majorBidi" w:cstheme="majorBidi"/>
          <w:noProof/>
          <w:color w:val="000000" w:themeColor="text1"/>
        </w:rPr>
      </w:pPr>
      <w:r w:rsidRPr="00CA5FBB">
        <w:rPr>
          <w:rFonts w:asciiTheme="majorBidi" w:hAnsiTheme="majorBidi" w:cstheme="majorBidi"/>
          <w:color w:val="000000" w:themeColor="text1"/>
        </w:rPr>
        <w:t xml:space="preserve">Rice, S.H.  1997.  The analysis of ontogenetic trajectories: When a change in size or shape is not heterochrony.  </w:t>
      </w:r>
      <w:r w:rsidRPr="00CA5FBB">
        <w:rPr>
          <w:rFonts w:asciiTheme="majorBidi" w:hAnsiTheme="majorBidi" w:cstheme="majorBidi"/>
          <w:i/>
          <w:color w:val="000000" w:themeColor="text1"/>
        </w:rPr>
        <w:t>Proceedings of the National Academic of Sciences</w:t>
      </w:r>
      <w:r w:rsidRPr="00CA5FBB">
        <w:rPr>
          <w:rFonts w:asciiTheme="majorBidi" w:hAnsiTheme="majorBidi" w:cstheme="majorBidi"/>
          <w:color w:val="000000" w:themeColor="text1"/>
        </w:rPr>
        <w:t xml:space="preserve"> </w:t>
      </w:r>
      <w:r w:rsidR="00347F88">
        <w:rPr>
          <w:rFonts w:asciiTheme="majorBidi" w:hAnsiTheme="majorBidi" w:cstheme="majorBidi"/>
          <w:i/>
          <w:color w:val="000000" w:themeColor="text1"/>
        </w:rPr>
        <w:t>of the United States of America</w:t>
      </w:r>
      <w:r w:rsidR="00E90C34">
        <w:rPr>
          <w:rFonts w:asciiTheme="majorBidi" w:hAnsiTheme="majorBidi" w:cstheme="majorBidi"/>
          <w:i/>
          <w:color w:val="000000" w:themeColor="text1"/>
        </w:rPr>
        <w:t xml:space="preserve"> </w:t>
      </w:r>
      <w:r w:rsidRPr="00CA5FBB">
        <w:rPr>
          <w:rFonts w:asciiTheme="majorBidi" w:hAnsiTheme="majorBidi" w:cstheme="majorBidi"/>
          <w:color w:val="000000" w:themeColor="text1"/>
        </w:rPr>
        <w:t>94: 907-912</w:t>
      </w:r>
      <w:r w:rsidR="00347F88">
        <w:rPr>
          <w:rFonts w:asciiTheme="majorBidi" w:hAnsiTheme="majorBidi" w:cstheme="majorBidi"/>
          <w:color w:val="000000" w:themeColor="text1"/>
        </w:rPr>
        <w:t>.</w:t>
      </w:r>
    </w:p>
    <w:p w:rsidR="00A35CA0" w:rsidRDefault="008943E4" w:rsidP="00CA5FBB">
      <w:pPr>
        <w:autoSpaceDE w:val="0"/>
        <w:autoSpaceDN w:val="0"/>
        <w:adjustRightInd w:val="0"/>
        <w:spacing w:before="120" w:line="240" w:lineRule="auto"/>
        <w:jc w:val="left"/>
        <w:rPr>
          <w:rFonts w:asciiTheme="majorBidi" w:hAnsiTheme="majorBidi" w:cstheme="majorBidi"/>
          <w:color w:val="000000" w:themeColor="text1"/>
        </w:rPr>
      </w:pPr>
      <w:proofErr w:type="gramStart"/>
      <w:r w:rsidRPr="00CA5FBB">
        <w:rPr>
          <w:rFonts w:asciiTheme="majorBidi" w:hAnsiTheme="majorBidi" w:cstheme="majorBidi"/>
          <w:color w:val="000000" w:themeColor="text1"/>
        </w:rPr>
        <w:t>Richardson, M. K., Jeffery, J. E., Coates, M. I.</w:t>
      </w:r>
      <w:proofErr w:type="gramEnd"/>
      <w:r w:rsidRPr="00CA5FBB">
        <w:rPr>
          <w:rFonts w:asciiTheme="majorBidi" w:hAnsiTheme="majorBidi" w:cstheme="majorBidi"/>
          <w:color w:val="000000" w:themeColor="text1"/>
        </w:rPr>
        <w:t xml:space="preserve">  </w:t>
      </w:r>
      <w:r w:rsidRPr="00CA5FBB">
        <w:rPr>
          <w:rFonts w:asciiTheme="majorBidi" w:hAnsiTheme="majorBidi" w:cstheme="majorBidi"/>
          <w:color w:val="000000" w:themeColor="text1"/>
          <w:lang w:val="sv-SE"/>
        </w:rPr>
        <w:t xml:space="preserve">Bininda-Emonds, O. R. P.  </w:t>
      </w:r>
      <w:r w:rsidRPr="00CA5FBB">
        <w:rPr>
          <w:rFonts w:asciiTheme="majorBidi" w:hAnsiTheme="majorBidi" w:cstheme="majorBidi"/>
          <w:color w:val="000000" w:themeColor="text1"/>
        </w:rPr>
        <w:t xml:space="preserve">2001. Comparative methods in developmental biology. </w:t>
      </w:r>
      <w:r w:rsidRPr="00CA5FBB">
        <w:rPr>
          <w:rFonts w:asciiTheme="majorBidi" w:hAnsiTheme="majorBidi" w:cstheme="majorBidi"/>
          <w:i/>
          <w:color w:val="000000" w:themeColor="text1"/>
        </w:rPr>
        <w:t xml:space="preserve">Zoology </w:t>
      </w:r>
      <w:r w:rsidRPr="00CA5FBB">
        <w:rPr>
          <w:rFonts w:asciiTheme="majorBidi" w:hAnsiTheme="majorBidi" w:cstheme="majorBidi"/>
          <w:color w:val="000000" w:themeColor="text1"/>
        </w:rPr>
        <w:t>104</w:t>
      </w:r>
      <w:r w:rsidR="00E90C34">
        <w:rPr>
          <w:rFonts w:asciiTheme="majorBidi" w:hAnsiTheme="majorBidi" w:cstheme="majorBidi"/>
          <w:color w:val="000000" w:themeColor="text1"/>
        </w:rPr>
        <w:t>(3-4)</w:t>
      </w:r>
      <w:r w:rsidRPr="00CA5FBB">
        <w:rPr>
          <w:rFonts w:asciiTheme="majorBidi" w:hAnsiTheme="majorBidi" w:cstheme="majorBidi"/>
          <w:color w:val="000000" w:themeColor="text1"/>
        </w:rPr>
        <w:t>: 278–283</w:t>
      </w:r>
      <w:r w:rsidR="005A426F">
        <w:rPr>
          <w:rFonts w:asciiTheme="majorBidi" w:hAnsiTheme="majorBidi" w:cstheme="majorBidi"/>
          <w:color w:val="000000" w:themeColor="text1"/>
        </w:rPr>
        <w:t>.</w:t>
      </w:r>
    </w:p>
    <w:p w:rsidR="00B2467B" w:rsidRPr="00CA5FBB" w:rsidRDefault="00B2467B" w:rsidP="00B2467B">
      <w:pPr>
        <w:autoSpaceDE w:val="0"/>
        <w:autoSpaceDN w:val="0"/>
        <w:adjustRightInd w:val="0"/>
        <w:spacing w:before="120" w:line="240" w:lineRule="auto"/>
        <w:jc w:val="left"/>
        <w:rPr>
          <w:rFonts w:asciiTheme="majorBidi" w:hAnsiTheme="majorBidi" w:cstheme="majorBidi"/>
          <w:color w:val="000000" w:themeColor="text1"/>
        </w:rPr>
      </w:pPr>
      <w:r w:rsidRPr="00B2467B">
        <w:rPr>
          <w:rFonts w:asciiTheme="majorBidi" w:hAnsiTheme="majorBidi" w:cstheme="majorBidi"/>
          <w:color w:val="000000" w:themeColor="text1"/>
        </w:rPr>
        <w:t>Richmond, B.G.  Jungers, W.L.  1995.  Size variation and sexual dimorphism in Australopithecus afarensis and living hominoi</w:t>
      </w:r>
      <w:r>
        <w:rPr>
          <w:rFonts w:asciiTheme="majorBidi" w:hAnsiTheme="majorBidi" w:cstheme="majorBidi"/>
          <w:color w:val="000000" w:themeColor="text1"/>
        </w:rPr>
        <w:t xml:space="preserve">ds.  </w:t>
      </w:r>
      <w:r w:rsidRPr="00B2467B">
        <w:rPr>
          <w:rFonts w:asciiTheme="majorBidi" w:hAnsiTheme="majorBidi" w:cstheme="majorBidi"/>
          <w:i/>
          <w:color w:val="000000" w:themeColor="text1"/>
        </w:rPr>
        <w:t>Journal of Human Evolution</w:t>
      </w:r>
      <w:r w:rsidRPr="00B2467B">
        <w:rPr>
          <w:rFonts w:asciiTheme="majorBidi" w:hAnsiTheme="majorBidi" w:cstheme="majorBidi"/>
          <w:color w:val="000000" w:themeColor="text1"/>
        </w:rPr>
        <w:t xml:space="preserve"> 29(3): 229–245</w:t>
      </w:r>
      <w:r>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color w:val="000000" w:themeColor="text1"/>
        </w:rPr>
      </w:pPr>
      <w:r w:rsidRPr="00CC3C93">
        <w:rPr>
          <w:rFonts w:asciiTheme="majorBidi" w:hAnsiTheme="majorBidi" w:cstheme="majorBidi"/>
          <w:color w:val="000000" w:themeColor="text1"/>
        </w:rPr>
        <w:t xml:space="preserve">Roberts, D.F.  1981.  </w:t>
      </w:r>
      <w:r w:rsidRPr="00CC3C93">
        <w:rPr>
          <w:rFonts w:asciiTheme="majorBidi" w:hAnsiTheme="majorBidi" w:cstheme="majorBidi"/>
          <w:iCs/>
          <w:color w:val="000000" w:themeColor="text1"/>
        </w:rPr>
        <w:t>Genetics of growth</w:t>
      </w:r>
      <w:r w:rsidRPr="00CC3C93">
        <w:rPr>
          <w:rFonts w:asciiTheme="majorBidi" w:hAnsiTheme="majorBidi" w:cstheme="majorBidi"/>
          <w:i/>
          <w:iCs/>
          <w:color w:val="000000" w:themeColor="text1"/>
        </w:rPr>
        <w:t xml:space="preserve">. </w:t>
      </w:r>
      <w:r w:rsidRPr="00CC3C93">
        <w:rPr>
          <w:rFonts w:asciiTheme="majorBidi" w:hAnsiTheme="majorBidi" w:cstheme="majorBidi"/>
          <w:i/>
          <w:color w:val="000000" w:themeColor="text1"/>
        </w:rPr>
        <w:t>British Medical Bulletin</w:t>
      </w:r>
      <w:r w:rsidRPr="00CC3C93">
        <w:rPr>
          <w:rFonts w:asciiTheme="majorBidi" w:hAnsiTheme="majorBidi" w:cstheme="majorBidi"/>
          <w:color w:val="000000" w:themeColor="text1"/>
        </w:rPr>
        <w:t xml:space="preserve"> 37: 239-246.</w:t>
      </w:r>
    </w:p>
    <w:p w:rsidR="00A35CA0" w:rsidRPr="00CA5FBB" w:rsidRDefault="008943E4" w:rsidP="00CA5FBB">
      <w:pPr>
        <w:autoSpaceDE w:val="0"/>
        <w:autoSpaceDN w:val="0"/>
        <w:adjustRightInd w:val="0"/>
        <w:spacing w:before="120" w:line="240" w:lineRule="auto"/>
        <w:jc w:val="left"/>
        <w:rPr>
          <w:rFonts w:asciiTheme="majorBidi" w:hAnsiTheme="majorBidi" w:cstheme="majorBidi"/>
          <w:color w:val="000000" w:themeColor="text1"/>
          <w:lang w:val="en-CA"/>
        </w:rPr>
      </w:pPr>
      <w:r w:rsidRPr="00CA5FBB">
        <w:rPr>
          <w:rFonts w:asciiTheme="majorBidi" w:hAnsiTheme="majorBidi" w:cstheme="majorBidi"/>
          <w:color w:val="000000" w:themeColor="text1"/>
        </w:rPr>
        <w:t xml:space="preserve">Roche, A.F. </w:t>
      </w:r>
      <w:r w:rsidRPr="00CA5FBB">
        <w:rPr>
          <w:rFonts w:asciiTheme="majorBidi" w:hAnsiTheme="majorBidi" w:cstheme="majorBidi"/>
          <w:bCs/>
          <w:color w:val="000000" w:themeColor="text1"/>
        </w:rPr>
        <w:t xml:space="preserve"> 1992. </w:t>
      </w:r>
      <w:r w:rsidRPr="00CA5FBB">
        <w:rPr>
          <w:rFonts w:asciiTheme="majorBidi" w:hAnsiTheme="majorBidi" w:cstheme="majorBidi"/>
          <w:color w:val="000000" w:themeColor="text1"/>
        </w:rPr>
        <w:t xml:space="preserve">Growth, Maturation and Body Composition The Fels Longitudinal Study </w:t>
      </w:r>
      <w:r w:rsidRPr="00CA5FBB">
        <w:rPr>
          <w:rFonts w:asciiTheme="majorBidi" w:hAnsiTheme="majorBidi" w:cstheme="majorBidi"/>
          <w:bCs/>
          <w:color w:val="000000" w:themeColor="text1"/>
        </w:rPr>
        <w:t xml:space="preserve">(1929-1991) </w:t>
      </w:r>
      <w:r w:rsidRPr="00CA5FBB">
        <w:rPr>
          <w:rFonts w:asciiTheme="majorBidi" w:hAnsiTheme="majorBidi" w:cstheme="majorBidi"/>
          <w:color w:val="000000" w:themeColor="text1"/>
        </w:rPr>
        <w:t>Cambridge University Press: Cambridge</w:t>
      </w:r>
      <w:r w:rsidR="005A426F">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rPr>
      </w:pPr>
      <w:r w:rsidRPr="00667B89">
        <w:rPr>
          <w:rFonts w:asciiTheme="majorBidi" w:hAnsiTheme="majorBidi" w:cstheme="majorBidi"/>
        </w:rPr>
        <w:t xml:space="preserve">Roth, V.L.  1984.  How Elephants Grow: Heterochrony and the calibration of developmental stages in some living and fossil species. </w:t>
      </w:r>
      <w:r w:rsidR="005A426F">
        <w:rPr>
          <w:rFonts w:asciiTheme="majorBidi" w:hAnsiTheme="majorBidi" w:cstheme="majorBidi"/>
        </w:rPr>
        <w:t xml:space="preserve"> </w:t>
      </w:r>
      <w:r w:rsidRPr="005A426F">
        <w:rPr>
          <w:rFonts w:asciiTheme="majorBidi" w:hAnsiTheme="majorBidi" w:cstheme="majorBidi"/>
          <w:i/>
        </w:rPr>
        <w:t>Journal of Vertebrate Paleontology</w:t>
      </w:r>
      <w:r w:rsidRPr="00667B89">
        <w:rPr>
          <w:rFonts w:asciiTheme="majorBidi" w:hAnsiTheme="majorBidi" w:cstheme="majorBidi"/>
        </w:rPr>
        <w:t xml:space="preserve"> 4</w:t>
      </w:r>
      <w:r w:rsidR="005A426F">
        <w:rPr>
          <w:rFonts w:asciiTheme="majorBidi" w:hAnsiTheme="majorBidi" w:cstheme="majorBidi"/>
        </w:rPr>
        <w:t>(</w:t>
      </w:r>
      <w:r w:rsidRPr="00667B89">
        <w:rPr>
          <w:rFonts w:asciiTheme="majorBidi" w:hAnsiTheme="majorBidi" w:cstheme="majorBidi"/>
        </w:rPr>
        <w:t>1</w:t>
      </w:r>
      <w:r w:rsidR="005A426F">
        <w:rPr>
          <w:rFonts w:asciiTheme="majorBidi" w:hAnsiTheme="majorBidi" w:cstheme="majorBidi"/>
        </w:rPr>
        <w:t>):</w:t>
      </w:r>
      <w:r w:rsidRPr="00667B89">
        <w:rPr>
          <w:rFonts w:asciiTheme="majorBidi" w:hAnsiTheme="majorBidi" w:cstheme="majorBidi"/>
        </w:rPr>
        <w:t xml:space="preserve"> 126-145</w:t>
      </w:r>
      <w:r w:rsidR="005A426F">
        <w:rPr>
          <w:rFonts w:asciiTheme="majorBidi" w:hAnsiTheme="majorBidi" w:cstheme="majorBidi"/>
        </w:rPr>
        <w:t>.</w:t>
      </w:r>
    </w:p>
    <w:p w:rsidR="00A35CA0" w:rsidRDefault="00CC3C93" w:rsidP="00CA5FBB">
      <w:pPr>
        <w:pStyle w:val="ListParagraph"/>
        <w:spacing w:before="120" w:line="240" w:lineRule="auto"/>
        <w:ind w:left="0"/>
        <w:jc w:val="left"/>
        <w:rPr>
          <w:noProof/>
        </w:rPr>
      </w:pPr>
      <w:r w:rsidRPr="001D0708">
        <w:rPr>
          <w:noProof/>
        </w:rPr>
        <w:t xml:space="preserve">Ruff, C.B.  1994.  Morphological adaptation to climate in modern and fossil hominids.  </w:t>
      </w:r>
      <w:r w:rsidRPr="001D0708">
        <w:rPr>
          <w:i/>
          <w:noProof/>
        </w:rPr>
        <w:t>American Journal of Physical Anthropolology</w:t>
      </w:r>
      <w:r w:rsidRPr="001D0708">
        <w:rPr>
          <w:noProof/>
        </w:rPr>
        <w:t xml:space="preserve"> 37(S19): 65–107</w:t>
      </w:r>
      <w:r w:rsidR="00CC5226">
        <w:rPr>
          <w:noProof/>
        </w:rPr>
        <w:t>.</w:t>
      </w:r>
    </w:p>
    <w:p w:rsidR="00A35CA0" w:rsidRDefault="00CC3C93" w:rsidP="00CA5FBB">
      <w:pPr>
        <w:spacing w:before="120" w:line="240" w:lineRule="auto"/>
        <w:jc w:val="left"/>
        <w:rPr>
          <w:rFonts w:asciiTheme="majorBidi" w:hAnsiTheme="majorBidi" w:cstheme="majorBidi"/>
          <w:noProof/>
          <w:color w:val="000000" w:themeColor="text1"/>
        </w:rPr>
      </w:pPr>
      <w:r w:rsidRPr="00667B89">
        <w:rPr>
          <w:rFonts w:asciiTheme="majorBidi" w:hAnsiTheme="majorBidi" w:cstheme="majorBidi"/>
          <w:noProof/>
          <w:color w:val="000000" w:themeColor="text1"/>
        </w:rPr>
        <w:t xml:space="preserve">Ruff, C.  2002. Variation in Human Body Size and Shape.  </w:t>
      </w:r>
      <w:r w:rsidRPr="00667B89">
        <w:rPr>
          <w:rFonts w:asciiTheme="majorBidi" w:hAnsiTheme="majorBidi" w:cstheme="majorBidi"/>
          <w:i/>
          <w:noProof/>
          <w:color w:val="000000" w:themeColor="text1"/>
        </w:rPr>
        <w:t>Annual Review of Anthropology</w:t>
      </w:r>
      <w:r w:rsidRPr="00667B89">
        <w:rPr>
          <w:rFonts w:asciiTheme="majorBidi" w:hAnsiTheme="majorBidi" w:cstheme="majorBidi"/>
          <w:noProof/>
          <w:color w:val="000000" w:themeColor="text1"/>
        </w:rPr>
        <w:t xml:space="preserve"> 31: 211-232</w:t>
      </w:r>
      <w:r w:rsidR="00C448F4">
        <w:rPr>
          <w:rFonts w:asciiTheme="majorBidi" w:hAnsiTheme="majorBidi" w:cstheme="majorBidi"/>
          <w:noProof/>
          <w:color w:val="000000" w:themeColor="text1"/>
        </w:rPr>
        <w:t>.</w:t>
      </w:r>
    </w:p>
    <w:p w:rsidR="00A35CA0" w:rsidRDefault="00CC3C93" w:rsidP="00CA5FBB">
      <w:pPr>
        <w:spacing w:before="120" w:line="240" w:lineRule="auto"/>
        <w:jc w:val="left"/>
        <w:rPr>
          <w:rFonts w:asciiTheme="majorBidi" w:hAnsiTheme="majorBidi" w:cstheme="majorBidi"/>
        </w:rPr>
      </w:pPr>
      <w:r w:rsidRPr="00667B89">
        <w:rPr>
          <w:rFonts w:asciiTheme="majorBidi" w:hAnsiTheme="majorBidi" w:cstheme="majorBidi"/>
        </w:rPr>
        <w:t xml:space="preserve">Sadler, T.W.  2004.  Langman’s medical embryology. </w:t>
      </w:r>
      <w:proofErr w:type="gramStart"/>
      <w:r w:rsidRPr="00667B89">
        <w:rPr>
          <w:rFonts w:asciiTheme="majorBidi" w:hAnsiTheme="majorBidi" w:cstheme="majorBidi"/>
        </w:rPr>
        <w:t>9</w:t>
      </w:r>
      <w:r w:rsidRPr="00667B89">
        <w:rPr>
          <w:rFonts w:asciiTheme="majorBidi" w:hAnsiTheme="majorBidi" w:cstheme="majorBidi"/>
          <w:vertAlign w:val="superscript"/>
        </w:rPr>
        <w:t>th</w:t>
      </w:r>
      <w:r w:rsidRPr="00667B89">
        <w:rPr>
          <w:rFonts w:asciiTheme="majorBidi" w:hAnsiTheme="majorBidi" w:cstheme="majorBidi"/>
        </w:rPr>
        <w:t xml:space="preserve"> Edition.</w:t>
      </w:r>
      <w:proofErr w:type="gramEnd"/>
      <w:r w:rsidRPr="00667B89">
        <w:rPr>
          <w:rFonts w:asciiTheme="majorBidi" w:hAnsiTheme="majorBidi" w:cstheme="majorBidi"/>
        </w:rPr>
        <w:t xml:space="preserve"> Lippincott Williams and Wilkins: London</w:t>
      </w:r>
      <w:r w:rsidR="00C448F4">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color w:val="000000" w:themeColor="text1"/>
          <w:lang w:val="en-CA"/>
        </w:rPr>
      </w:pPr>
      <w:proofErr w:type="gramStart"/>
      <w:r w:rsidRPr="00667B89">
        <w:rPr>
          <w:rFonts w:asciiTheme="majorBidi" w:hAnsiTheme="majorBidi" w:cstheme="majorBidi"/>
          <w:color w:val="000000" w:themeColor="text1"/>
          <w:lang w:val="en-CA"/>
        </w:rPr>
        <w:t>Sahni, D.</w:t>
      </w:r>
      <w:proofErr w:type="gramEnd"/>
      <w:r w:rsidRPr="00667B89">
        <w:rPr>
          <w:rFonts w:asciiTheme="majorBidi" w:hAnsiTheme="majorBidi" w:cstheme="majorBidi"/>
          <w:color w:val="000000" w:themeColor="text1"/>
          <w:lang w:val="en-CA"/>
        </w:rPr>
        <w:t xml:space="preserve">  </w:t>
      </w:r>
      <w:proofErr w:type="gramStart"/>
      <w:r w:rsidRPr="00667B89">
        <w:rPr>
          <w:rFonts w:asciiTheme="majorBidi" w:hAnsiTheme="majorBidi" w:cstheme="majorBidi"/>
          <w:color w:val="000000" w:themeColor="text1"/>
          <w:lang w:val="en-CA"/>
        </w:rPr>
        <w:t>Jit, I.</w:t>
      </w:r>
      <w:proofErr w:type="gramEnd"/>
      <w:r w:rsidRPr="00667B89">
        <w:rPr>
          <w:rFonts w:asciiTheme="majorBidi" w:hAnsiTheme="majorBidi" w:cstheme="majorBidi"/>
          <w:color w:val="000000" w:themeColor="text1"/>
          <w:lang w:val="en-CA"/>
        </w:rPr>
        <w:t xml:space="preserve">  </w:t>
      </w:r>
      <w:proofErr w:type="gramStart"/>
      <w:r w:rsidRPr="00667B89">
        <w:rPr>
          <w:rFonts w:asciiTheme="majorBidi" w:hAnsiTheme="majorBidi" w:cstheme="majorBidi"/>
          <w:color w:val="000000" w:themeColor="text1"/>
          <w:lang w:val="en-CA"/>
        </w:rPr>
        <w:t>Sanjeev  1995</w:t>
      </w:r>
      <w:proofErr w:type="gramEnd"/>
      <w:r w:rsidRPr="00667B89">
        <w:rPr>
          <w:rFonts w:asciiTheme="majorBidi" w:hAnsiTheme="majorBidi" w:cstheme="majorBidi"/>
          <w:color w:val="000000" w:themeColor="text1"/>
          <w:lang w:val="en-CA"/>
        </w:rPr>
        <w:t xml:space="preserve">.  </w:t>
      </w:r>
      <w:proofErr w:type="gramStart"/>
      <w:r w:rsidRPr="00667B89">
        <w:rPr>
          <w:rFonts w:asciiTheme="majorBidi" w:hAnsiTheme="majorBidi" w:cstheme="majorBidi"/>
          <w:color w:val="000000" w:themeColor="text1"/>
          <w:lang w:val="en-CA"/>
        </w:rPr>
        <w:t>Time of fusion of epiphyses at the elbow and wrist joints in girls of Northwest India.</w:t>
      </w:r>
      <w:proofErr w:type="gramEnd"/>
      <w:r w:rsidRPr="00667B89">
        <w:rPr>
          <w:rFonts w:asciiTheme="majorBidi" w:hAnsiTheme="majorBidi" w:cstheme="majorBidi"/>
          <w:color w:val="000000" w:themeColor="text1"/>
          <w:lang w:val="en-CA"/>
        </w:rPr>
        <w:t xml:space="preserve">  </w:t>
      </w:r>
      <w:r w:rsidRPr="00667B89">
        <w:rPr>
          <w:rFonts w:asciiTheme="majorBidi" w:hAnsiTheme="majorBidi" w:cstheme="majorBidi"/>
          <w:i/>
          <w:color w:val="000000" w:themeColor="text1"/>
          <w:lang w:val="en-CA"/>
        </w:rPr>
        <w:t>Forensic Science International</w:t>
      </w:r>
      <w:r w:rsidRPr="00667B89">
        <w:rPr>
          <w:rFonts w:asciiTheme="majorBidi" w:hAnsiTheme="majorBidi" w:cstheme="majorBidi"/>
          <w:color w:val="000000" w:themeColor="text1"/>
          <w:lang w:val="en-CA"/>
        </w:rPr>
        <w:t xml:space="preserve"> 74(1):</w:t>
      </w:r>
      <w:r w:rsidR="00C448F4">
        <w:rPr>
          <w:rFonts w:asciiTheme="majorBidi" w:hAnsiTheme="majorBidi" w:cstheme="majorBidi"/>
          <w:color w:val="000000" w:themeColor="text1"/>
          <w:lang w:val="en-CA"/>
        </w:rPr>
        <w:t xml:space="preserve"> </w:t>
      </w:r>
      <w:r w:rsidRPr="00667B89">
        <w:rPr>
          <w:rFonts w:asciiTheme="majorBidi" w:hAnsiTheme="majorBidi" w:cstheme="majorBidi"/>
          <w:color w:val="000000" w:themeColor="text1"/>
          <w:lang w:val="en-CA"/>
        </w:rPr>
        <w:t>47-55</w:t>
      </w:r>
      <w:r w:rsidR="00C448F4">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eastAsia="Times New Roman" w:hAnsiTheme="majorBidi" w:cstheme="majorBidi"/>
          <w:color w:val="000000"/>
        </w:rPr>
      </w:pPr>
      <w:proofErr w:type="gramStart"/>
      <w:r w:rsidRPr="00667B89">
        <w:rPr>
          <w:rFonts w:asciiTheme="majorBidi" w:eastAsia="Times New Roman" w:hAnsiTheme="majorBidi" w:cstheme="majorBidi"/>
          <w:color w:val="000000"/>
        </w:rPr>
        <w:t>Salter, R.B.</w:t>
      </w:r>
      <w:proofErr w:type="gramEnd"/>
      <w:r w:rsidRPr="00667B89">
        <w:rPr>
          <w:rFonts w:asciiTheme="majorBidi" w:eastAsia="Times New Roman" w:hAnsiTheme="majorBidi" w:cstheme="majorBidi"/>
          <w:color w:val="000000"/>
        </w:rPr>
        <w:t xml:space="preserve">  Harris, W.R.  1963. Injuries involving the Epiphyseal Plate.  An Instructional Course Lecture, </w:t>
      </w:r>
      <w:proofErr w:type="gramStart"/>
      <w:r w:rsidRPr="00667B89">
        <w:rPr>
          <w:rFonts w:asciiTheme="majorBidi" w:eastAsia="Times New Roman" w:hAnsiTheme="majorBidi" w:cstheme="majorBidi"/>
          <w:color w:val="000000"/>
        </w:rPr>
        <w:t>The</w:t>
      </w:r>
      <w:proofErr w:type="gramEnd"/>
      <w:r w:rsidRPr="00667B89">
        <w:rPr>
          <w:rFonts w:asciiTheme="majorBidi" w:eastAsia="Times New Roman" w:hAnsiTheme="majorBidi" w:cstheme="majorBidi"/>
          <w:color w:val="000000"/>
        </w:rPr>
        <w:t xml:space="preserve"> American Academy of Orthopaedic Surgeons. </w:t>
      </w:r>
      <w:r w:rsidRPr="00667B89">
        <w:rPr>
          <w:rFonts w:asciiTheme="majorBidi" w:eastAsia="Times New Roman" w:hAnsiTheme="majorBidi" w:cstheme="majorBidi"/>
          <w:i/>
          <w:color w:val="000000"/>
        </w:rPr>
        <w:t>The Journal of Bone and Joint Surgery</w:t>
      </w:r>
      <w:r w:rsidRPr="00667B89">
        <w:rPr>
          <w:rFonts w:asciiTheme="majorBidi" w:eastAsia="Times New Roman" w:hAnsiTheme="majorBidi" w:cstheme="majorBidi"/>
          <w:color w:val="000000"/>
        </w:rPr>
        <w:t xml:space="preserve"> </w:t>
      </w:r>
      <w:r w:rsidRPr="00667B89">
        <w:rPr>
          <w:rFonts w:asciiTheme="majorBidi" w:hAnsiTheme="majorBidi" w:cstheme="majorBidi"/>
        </w:rPr>
        <w:t>45</w:t>
      </w:r>
      <w:r w:rsidR="00920980">
        <w:rPr>
          <w:rFonts w:asciiTheme="majorBidi" w:hAnsiTheme="majorBidi" w:cstheme="majorBidi"/>
        </w:rPr>
        <w:t>(3)</w:t>
      </w:r>
      <w:r w:rsidRPr="00667B89">
        <w:rPr>
          <w:rFonts w:asciiTheme="majorBidi" w:hAnsiTheme="majorBidi" w:cstheme="majorBidi"/>
        </w:rPr>
        <w:t>:587-622.</w:t>
      </w:r>
    </w:p>
    <w:p w:rsidR="00A35CA0" w:rsidRDefault="00CC3C93" w:rsidP="00CA5FBB">
      <w:pPr>
        <w:spacing w:before="120" w:line="240" w:lineRule="auto"/>
        <w:jc w:val="left"/>
        <w:rPr>
          <w:bCs/>
          <w:color w:val="000000"/>
          <w:shd w:val="clear" w:color="auto" w:fill="FFFFFF"/>
        </w:rPr>
      </w:pPr>
      <w:r w:rsidRPr="00CB4E4E">
        <w:rPr>
          <w:bCs/>
          <w:color w:val="000000"/>
          <w:shd w:val="clear" w:color="auto" w:fill="FFFFFF"/>
        </w:rPr>
        <w:t>Sarringhaus</w:t>
      </w:r>
      <w:r>
        <w:rPr>
          <w:bCs/>
          <w:color w:val="000000"/>
          <w:shd w:val="clear" w:color="auto" w:fill="FFFFFF"/>
        </w:rPr>
        <w:t>,</w:t>
      </w:r>
      <w:r w:rsidRPr="00CB4E4E">
        <w:rPr>
          <w:bCs/>
          <w:color w:val="000000"/>
          <w:shd w:val="clear" w:color="auto" w:fill="FFFFFF"/>
        </w:rPr>
        <w:t xml:space="preserve"> L</w:t>
      </w:r>
      <w:r>
        <w:rPr>
          <w:bCs/>
          <w:color w:val="000000"/>
          <w:shd w:val="clear" w:color="auto" w:fill="FFFFFF"/>
        </w:rPr>
        <w:t>.</w:t>
      </w:r>
      <w:r w:rsidRPr="00CB4E4E">
        <w:rPr>
          <w:bCs/>
          <w:color w:val="000000"/>
          <w:shd w:val="clear" w:color="auto" w:fill="FFFFFF"/>
        </w:rPr>
        <w:t>A</w:t>
      </w:r>
      <w:r>
        <w:rPr>
          <w:bCs/>
          <w:color w:val="000000"/>
          <w:shd w:val="clear" w:color="auto" w:fill="FFFFFF"/>
        </w:rPr>
        <w:t>.</w:t>
      </w:r>
      <w:r w:rsidRPr="00CB4E4E">
        <w:rPr>
          <w:bCs/>
          <w:color w:val="000000"/>
          <w:shd w:val="clear" w:color="auto" w:fill="FFFFFF"/>
        </w:rPr>
        <w:t xml:space="preserve"> </w:t>
      </w:r>
      <w:r>
        <w:rPr>
          <w:bCs/>
          <w:color w:val="000000"/>
          <w:shd w:val="clear" w:color="auto" w:fill="FFFFFF"/>
        </w:rPr>
        <w:t xml:space="preserve"> </w:t>
      </w:r>
      <w:proofErr w:type="gramStart"/>
      <w:r w:rsidRPr="00CB4E4E">
        <w:rPr>
          <w:bCs/>
          <w:color w:val="000000"/>
          <w:shd w:val="clear" w:color="auto" w:fill="FFFFFF"/>
        </w:rPr>
        <w:t>Stock</w:t>
      </w:r>
      <w:r>
        <w:rPr>
          <w:bCs/>
          <w:color w:val="000000"/>
          <w:shd w:val="clear" w:color="auto" w:fill="FFFFFF"/>
        </w:rPr>
        <w:t>,</w:t>
      </w:r>
      <w:r w:rsidRPr="00CB4E4E">
        <w:rPr>
          <w:bCs/>
          <w:color w:val="000000"/>
          <w:shd w:val="clear" w:color="auto" w:fill="FFFFFF"/>
        </w:rPr>
        <w:t xml:space="preserve"> J</w:t>
      </w:r>
      <w:r>
        <w:rPr>
          <w:bCs/>
          <w:color w:val="000000"/>
          <w:shd w:val="clear" w:color="auto" w:fill="FFFFFF"/>
        </w:rPr>
        <w:t>.</w:t>
      </w:r>
      <w:r w:rsidRPr="00CB4E4E">
        <w:rPr>
          <w:bCs/>
          <w:color w:val="000000"/>
          <w:shd w:val="clear" w:color="auto" w:fill="FFFFFF"/>
        </w:rPr>
        <w:t>T</w:t>
      </w:r>
      <w:r>
        <w:rPr>
          <w:bCs/>
          <w:color w:val="000000"/>
          <w:shd w:val="clear" w:color="auto" w:fill="FFFFFF"/>
        </w:rPr>
        <w:t>.</w:t>
      </w:r>
      <w:proofErr w:type="gramEnd"/>
      <w:r w:rsidRPr="00CB4E4E">
        <w:rPr>
          <w:bCs/>
          <w:color w:val="000000"/>
          <w:shd w:val="clear" w:color="auto" w:fill="FFFFFF"/>
        </w:rPr>
        <w:t xml:space="preserve"> </w:t>
      </w:r>
      <w:r>
        <w:rPr>
          <w:bCs/>
          <w:color w:val="000000"/>
          <w:shd w:val="clear" w:color="auto" w:fill="FFFFFF"/>
        </w:rPr>
        <w:t xml:space="preserve"> </w:t>
      </w:r>
      <w:r w:rsidRPr="00CB4E4E">
        <w:rPr>
          <w:bCs/>
          <w:color w:val="000000"/>
          <w:shd w:val="clear" w:color="auto" w:fill="FFFFFF"/>
        </w:rPr>
        <w:t>Marchant</w:t>
      </w:r>
      <w:r>
        <w:rPr>
          <w:bCs/>
          <w:color w:val="000000"/>
          <w:shd w:val="clear" w:color="auto" w:fill="FFFFFF"/>
        </w:rPr>
        <w:t>,</w:t>
      </w:r>
      <w:r w:rsidRPr="00CB4E4E">
        <w:rPr>
          <w:bCs/>
          <w:color w:val="000000"/>
          <w:shd w:val="clear" w:color="auto" w:fill="FFFFFF"/>
        </w:rPr>
        <w:t xml:space="preserve"> L</w:t>
      </w:r>
      <w:r>
        <w:rPr>
          <w:bCs/>
          <w:color w:val="000000"/>
          <w:shd w:val="clear" w:color="auto" w:fill="FFFFFF"/>
        </w:rPr>
        <w:t>.</w:t>
      </w:r>
      <w:r w:rsidRPr="00CB4E4E">
        <w:rPr>
          <w:bCs/>
          <w:color w:val="000000"/>
          <w:shd w:val="clear" w:color="auto" w:fill="FFFFFF"/>
        </w:rPr>
        <w:t>F</w:t>
      </w:r>
      <w:r>
        <w:rPr>
          <w:bCs/>
          <w:color w:val="000000"/>
          <w:shd w:val="clear" w:color="auto" w:fill="FFFFFF"/>
        </w:rPr>
        <w:t>.</w:t>
      </w:r>
      <w:r w:rsidRPr="00CB4E4E">
        <w:rPr>
          <w:bCs/>
          <w:color w:val="000000"/>
          <w:shd w:val="clear" w:color="auto" w:fill="FFFFFF"/>
        </w:rPr>
        <w:t xml:space="preserve"> </w:t>
      </w:r>
      <w:r>
        <w:rPr>
          <w:bCs/>
          <w:color w:val="000000"/>
          <w:shd w:val="clear" w:color="auto" w:fill="FFFFFF"/>
        </w:rPr>
        <w:t xml:space="preserve"> </w:t>
      </w:r>
      <w:r w:rsidRPr="00CB4E4E">
        <w:rPr>
          <w:bCs/>
          <w:color w:val="000000"/>
          <w:shd w:val="clear" w:color="auto" w:fill="FFFFFF"/>
        </w:rPr>
        <w:t>McGrew</w:t>
      </w:r>
      <w:r>
        <w:rPr>
          <w:bCs/>
          <w:color w:val="000000"/>
          <w:shd w:val="clear" w:color="auto" w:fill="FFFFFF"/>
        </w:rPr>
        <w:t>,</w:t>
      </w:r>
      <w:r w:rsidRPr="00CB4E4E">
        <w:rPr>
          <w:bCs/>
          <w:color w:val="000000"/>
          <w:shd w:val="clear" w:color="auto" w:fill="FFFFFF"/>
        </w:rPr>
        <w:t xml:space="preserve"> W</w:t>
      </w:r>
      <w:r>
        <w:rPr>
          <w:bCs/>
          <w:color w:val="000000"/>
          <w:shd w:val="clear" w:color="auto" w:fill="FFFFFF"/>
        </w:rPr>
        <w:t>.</w:t>
      </w:r>
      <w:r w:rsidRPr="00CB4E4E">
        <w:rPr>
          <w:bCs/>
          <w:color w:val="000000"/>
          <w:shd w:val="clear" w:color="auto" w:fill="FFFFFF"/>
        </w:rPr>
        <w:t>C</w:t>
      </w:r>
      <w:r>
        <w:rPr>
          <w:bCs/>
          <w:color w:val="000000"/>
          <w:shd w:val="clear" w:color="auto" w:fill="FFFFFF"/>
        </w:rPr>
        <w:t xml:space="preserve">.  2005.  </w:t>
      </w:r>
      <w:r w:rsidRPr="00CB4E4E">
        <w:rPr>
          <w:bCs/>
          <w:color w:val="000000"/>
          <w:shd w:val="clear" w:color="auto" w:fill="FFFFFF"/>
        </w:rPr>
        <w:t>Bilateral asymmetry in the limb bones of the chimpanzee (</w:t>
      </w:r>
      <w:r w:rsidRPr="00CB4E4E">
        <w:rPr>
          <w:bCs/>
          <w:i/>
          <w:color w:val="000000"/>
          <w:shd w:val="clear" w:color="auto" w:fill="FFFFFF"/>
        </w:rPr>
        <w:t xml:space="preserve">Pan </w:t>
      </w:r>
      <w:proofErr w:type="gramStart"/>
      <w:r w:rsidRPr="00CB4E4E">
        <w:rPr>
          <w:bCs/>
          <w:i/>
          <w:color w:val="000000"/>
          <w:shd w:val="clear" w:color="auto" w:fill="FFFFFF"/>
        </w:rPr>
        <w:t>troglodytes</w:t>
      </w:r>
      <w:proofErr w:type="gramEnd"/>
      <w:r w:rsidRPr="00CB4E4E">
        <w:rPr>
          <w:bCs/>
          <w:color w:val="000000"/>
          <w:shd w:val="clear" w:color="auto" w:fill="FFFFFF"/>
        </w:rPr>
        <w:t>).</w:t>
      </w:r>
      <w:r>
        <w:rPr>
          <w:bCs/>
          <w:color w:val="000000"/>
          <w:shd w:val="clear" w:color="auto" w:fill="FFFFFF"/>
        </w:rPr>
        <w:t xml:space="preserve">  </w:t>
      </w:r>
      <w:r>
        <w:rPr>
          <w:bCs/>
          <w:i/>
          <w:color w:val="000000"/>
          <w:shd w:val="clear" w:color="auto" w:fill="FFFFFF"/>
        </w:rPr>
        <w:t>American Journal of Physical Anthropology</w:t>
      </w:r>
      <w:r>
        <w:rPr>
          <w:bCs/>
          <w:color w:val="000000"/>
          <w:shd w:val="clear" w:color="auto" w:fill="FFFFFF"/>
        </w:rPr>
        <w:t xml:space="preserve"> 128(4):</w:t>
      </w:r>
      <w:r w:rsidR="00B11F78">
        <w:rPr>
          <w:bCs/>
          <w:color w:val="000000"/>
          <w:shd w:val="clear" w:color="auto" w:fill="FFFFFF"/>
        </w:rPr>
        <w:t xml:space="preserve"> </w:t>
      </w:r>
      <w:r>
        <w:rPr>
          <w:bCs/>
          <w:color w:val="000000"/>
          <w:shd w:val="clear" w:color="auto" w:fill="FFFFFF"/>
        </w:rPr>
        <w:t>840-845</w:t>
      </w:r>
      <w:r w:rsidR="00B11F78">
        <w:rPr>
          <w:bCs/>
          <w:color w:val="000000"/>
          <w:shd w:val="clear" w:color="auto" w:fill="FFFFFF"/>
        </w:rPr>
        <w:t>.</w:t>
      </w:r>
    </w:p>
    <w:p w:rsidR="00A35CA0" w:rsidRDefault="00CC3C93" w:rsidP="00CA5FBB">
      <w:pPr>
        <w:spacing w:before="120" w:line="240" w:lineRule="auto"/>
        <w:jc w:val="left"/>
        <w:rPr>
          <w:rFonts w:asciiTheme="majorBidi" w:hAnsiTheme="majorBidi" w:cstheme="majorBidi"/>
          <w:color w:val="000000"/>
          <w:lang w:val="en-CA"/>
        </w:rPr>
      </w:pPr>
      <w:r w:rsidRPr="00762455">
        <w:rPr>
          <w:rFonts w:asciiTheme="majorBidi" w:hAnsiTheme="majorBidi" w:cstheme="majorBidi"/>
          <w:color w:val="000000"/>
          <w:lang w:val="en-CA"/>
        </w:rPr>
        <w:t xml:space="preserve">Scanes, C. G. </w:t>
      </w:r>
      <w:r>
        <w:rPr>
          <w:rFonts w:asciiTheme="majorBidi" w:hAnsiTheme="majorBidi" w:cstheme="majorBidi"/>
          <w:color w:val="000000"/>
          <w:lang w:val="en-CA"/>
        </w:rPr>
        <w:t xml:space="preserve"> </w:t>
      </w:r>
      <w:r w:rsidRPr="00762455">
        <w:rPr>
          <w:rFonts w:asciiTheme="majorBidi" w:hAnsiTheme="majorBidi" w:cstheme="majorBidi"/>
          <w:color w:val="000000"/>
          <w:lang w:val="en-CA"/>
        </w:rPr>
        <w:t xml:space="preserve">2011. </w:t>
      </w:r>
      <w:r>
        <w:rPr>
          <w:rFonts w:asciiTheme="majorBidi" w:hAnsiTheme="majorBidi" w:cstheme="majorBidi"/>
          <w:color w:val="000000"/>
          <w:lang w:val="en-CA"/>
        </w:rPr>
        <w:t xml:space="preserve"> </w:t>
      </w:r>
      <w:r w:rsidRPr="00762455">
        <w:rPr>
          <w:rFonts w:asciiTheme="majorBidi" w:hAnsiTheme="majorBidi" w:cstheme="majorBidi"/>
          <w:color w:val="000000"/>
          <w:lang w:val="en-CA"/>
        </w:rPr>
        <w:t xml:space="preserve">Hormones and Growth in Domestic Animals. </w:t>
      </w:r>
      <w:r>
        <w:rPr>
          <w:rFonts w:asciiTheme="majorBidi" w:hAnsiTheme="majorBidi" w:cstheme="majorBidi"/>
          <w:color w:val="000000"/>
          <w:lang w:val="en-CA"/>
        </w:rPr>
        <w:t xml:space="preserve"> </w:t>
      </w:r>
      <w:r w:rsidRPr="00762455">
        <w:rPr>
          <w:rFonts w:asciiTheme="majorBidi" w:hAnsiTheme="majorBidi" w:cstheme="majorBidi"/>
          <w:i/>
          <w:color w:val="000000"/>
          <w:lang w:val="en-CA"/>
        </w:rPr>
        <w:t>Comprehensive Physiology</w:t>
      </w:r>
      <w:r>
        <w:rPr>
          <w:rFonts w:asciiTheme="majorBidi" w:hAnsiTheme="majorBidi" w:cstheme="majorBidi"/>
          <w:color w:val="000000"/>
          <w:lang w:val="en-CA"/>
        </w:rPr>
        <w:t>: 99–127</w:t>
      </w:r>
      <w:r w:rsidR="00C43725">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Pr>
          <w:rFonts w:asciiTheme="majorBidi" w:hAnsiTheme="majorBidi" w:cstheme="majorBidi"/>
          <w:color w:val="000000"/>
          <w:lang w:val="en-CA"/>
        </w:rPr>
        <w:t xml:space="preserve">Schafer, J.L.  2000.  </w:t>
      </w:r>
      <w:r w:rsidRPr="00581C14">
        <w:rPr>
          <w:rFonts w:asciiTheme="majorBidi" w:hAnsiTheme="majorBidi" w:cstheme="majorBidi"/>
          <w:color w:val="000000"/>
          <w:lang w:val="en-CA"/>
        </w:rPr>
        <w:t>Analysis of Incomplete Multivariate Data</w:t>
      </w:r>
      <w:r>
        <w:rPr>
          <w:rFonts w:asciiTheme="majorBidi" w:hAnsiTheme="majorBidi" w:cstheme="majorBidi"/>
          <w:i/>
          <w:color w:val="000000"/>
          <w:lang w:val="en-CA"/>
        </w:rPr>
        <w:t>.</w:t>
      </w:r>
      <w:r w:rsidRPr="00581C14">
        <w:rPr>
          <w:rFonts w:asciiTheme="majorBidi" w:hAnsiTheme="majorBidi" w:cstheme="majorBidi"/>
          <w:i/>
          <w:color w:val="000000"/>
          <w:lang w:val="en-CA"/>
        </w:rPr>
        <w:t xml:space="preserve"> </w:t>
      </w:r>
      <w:proofErr w:type="gramStart"/>
      <w:r w:rsidRPr="00581C14">
        <w:rPr>
          <w:rFonts w:asciiTheme="majorBidi" w:hAnsiTheme="majorBidi" w:cstheme="majorBidi"/>
          <w:i/>
          <w:color w:val="000000"/>
          <w:lang w:val="en-CA"/>
        </w:rPr>
        <w:t>Monograp</w:t>
      </w:r>
      <w:r>
        <w:rPr>
          <w:rFonts w:asciiTheme="majorBidi" w:hAnsiTheme="majorBidi" w:cstheme="majorBidi"/>
          <w:i/>
          <w:color w:val="000000"/>
          <w:lang w:val="en-CA"/>
        </w:rPr>
        <w:t xml:space="preserve">hs on Statistics and Applied Probability </w:t>
      </w:r>
      <w:r>
        <w:rPr>
          <w:rFonts w:asciiTheme="majorBidi" w:hAnsiTheme="majorBidi" w:cstheme="majorBidi"/>
          <w:color w:val="000000"/>
          <w:lang w:val="en-CA"/>
        </w:rPr>
        <w:t>72.</w:t>
      </w:r>
      <w:proofErr w:type="gramEnd"/>
      <w:r>
        <w:rPr>
          <w:rFonts w:asciiTheme="majorBidi" w:hAnsiTheme="majorBidi" w:cstheme="majorBidi"/>
          <w:color w:val="000000"/>
          <w:lang w:val="en-CA"/>
        </w:rPr>
        <w:t xml:space="preserve">  </w:t>
      </w:r>
      <w:proofErr w:type="gramStart"/>
      <w:r>
        <w:rPr>
          <w:rFonts w:asciiTheme="majorBidi" w:hAnsiTheme="majorBidi" w:cstheme="majorBidi"/>
          <w:color w:val="000000"/>
          <w:lang w:val="en-CA"/>
        </w:rPr>
        <w:t>Chapman and Hall/CRC.</w:t>
      </w:r>
      <w:proofErr w:type="gramEnd"/>
      <w:r>
        <w:rPr>
          <w:rFonts w:asciiTheme="majorBidi" w:hAnsiTheme="majorBidi" w:cstheme="majorBidi"/>
          <w:color w:val="000000"/>
          <w:lang w:val="en-CA"/>
        </w:rPr>
        <w:t xml:space="preserve">  London</w:t>
      </w:r>
      <w:r w:rsidR="00C43725">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Schaefer, M.  2008.  A summary of epiphyseal union timings in Bosnian males.  </w:t>
      </w:r>
      <w:r w:rsidRPr="00667B89">
        <w:rPr>
          <w:rFonts w:asciiTheme="majorBidi" w:hAnsiTheme="majorBidi" w:cstheme="majorBidi"/>
          <w:i/>
          <w:color w:val="000000" w:themeColor="text1"/>
          <w:lang w:val="en-CA"/>
        </w:rPr>
        <w:t>International Journal of Osteoarchaeology</w:t>
      </w:r>
      <w:r w:rsidRPr="00667B89">
        <w:rPr>
          <w:rFonts w:asciiTheme="majorBidi" w:hAnsiTheme="majorBidi" w:cstheme="majorBidi"/>
          <w:color w:val="000000" w:themeColor="text1"/>
          <w:lang w:val="en-CA"/>
        </w:rPr>
        <w:t xml:space="preserve"> 18(5):</w:t>
      </w:r>
      <w:r w:rsidR="00C43725">
        <w:rPr>
          <w:rFonts w:asciiTheme="majorBidi" w:hAnsiTheme="majorBidi" w:cstheme="majorBidi"/>
          <w:color w:val="000000" w:themeColor="text1"/>
          <w:lang w:val="en-CA"/>
        </w:rPr>
        <w:t xml:space="preserve"> </w:t>
      </w:r>
      <w:r w:rsidRPr="00667B89">
        <w:rPr>
          <w:rFonts w:asciiTheme="majorBidi" w:hAnsiTheme="majorBidi" w:cstheme="majorBidi"/>
          <w:color w:val="000000" w:themeColor="text1"/>
          <w:lang w:val="en-CA"/>
        </w:rPr>
        <w:t>536-545</w:t>
      </w:r>
      <w:r w:rsidR="00C43725">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color w:val="000000"/>
          <w:lang w:val="en-CA"/>
        </w:rPr>
      </w:pPr>
      <w:r>
        <w:rPr>
          <w:rFonts w:asciiTheme="majorBidi" w:hAnsiTheme="majorBidi" w:cstheme="majorBidi"/>
          <w:color w:val="000000"/>
          <w:lang w:val="en-CA"/>
        </w:rPr>
        <w:t xml:space="preserve">Schaefer, M.  </w:t>
      </w:r>
      <w:proofErr w:type="gramStart"/>
      <w:r>
        <w:rPr>
          <w:rFonts w:asciiTheme="majorBidi" w:hAnsiTheme="majorBidi" w:cstheme="majorBidi"/>
          <w:color w:val="000000"/>
          <w:lang w:val="en-CA"/>
        </w:rPr>
        <w:t>Black, S.</w:t>
      </w:r>
      <w:proofErr w:type="gramEnd"/>
      <w:r>
        <w:rPr>
          <w:rFonts w:asciiTheme="majorBidi" w:hAnsiTheme="majorBidi" w:cstheme="majorBidi"/>
          <w:color w:val="000000"/>
          <w:lang w:val="en-CA"/>
        </w:rPr>
        <w:t xml:space="preserve">  2007.  Epiphyseal Union Sequencing: Aiding in the Recognition and Sorting of Comingled Remains.  </w:t>
      </w:r>
      <w:r>
        <w:rPr>
          <w:rFonts w:asciiTheme="majorBidi" w:hAnsiTheme="majorBidi" w:cstheme="majorBidi"/>
          <w:i/>
          <w:color w:val="000000"/>
          <w:lang w:val="en-CA"/>
        </w:rPr>
        <w:t>Journal of Forensic Sciences</w:t>
      </w:r>
      <w:r>
        <w:rPr>
          <w:rFonts w:asciiTheme="majorBidi" w:hAnsiTheme="majorBidi" w:cstheme="majorBidi"/>
          <w:color w:val="000000"/>
          <w:lang w:val="en-CA"/>
        </w:rPr>
        <w:t xml:space="preserve"> 52(2): 277-285.</w:t>
      </w:r>
    </w:p>
    <w:p w:rsidR="00A35CA0" w:rsidRDefault="00CC3C93" w:rsidP="00CA5FBB">
      <w:pPr>
        <w:spacing w:before="120" w:line="240" w:lineRule="auto"/>
        <w:jc w:val="left"/>
        <w:rPr>
          <w:rFonts w:asciiTheme="majorBidi" w:hAnsiTheme="majorBidi" w:cstheme="majorBidi"/>
          <w:color w:val="000000"/>
          <w:lang w:val="en-CA"/>
        </w:rPr>
      </w:pPr>
      <w:r>
        <w:rPr>
          <w:rFonts w:asciiTheme="majorBidi" w:hAnsiTheme="majorBidi" w:cstheme="majorBidi"/>
          <w:color w:val="000000"/>
          <w:lang w:val="en-CA"/>
        </w:rPr>
        <w:t xml:space="preserve">Schaefer, M.  </w:t>
      </w:r>
      <w:proofErr w:type="gramStart"/>
      <w:r>
        <w:rPr>
          <w:rFonts w:asciiTheme="majorBidi" w:hAnsiTheme="majorBidi" w:cstheme="majorBidi"/>
          <w:color w:val="000000"/>
          <w:lang w:val="en-CA"/>
        </w:rPr>
        <w:t>Black, S.</w:t>
      </w:r>
      <w:proofErr w:type="gramEnd"/>
      <w:r>
        <w:rPr>
          <w:rFonts w:asciiTheme="majorBidi" w:hAnsiTheme="majorBidi" w:cstheme="majorBidi"/>
          <w:color w:val="000000"/>
          <w:lang w:val="en-CA"/>
        </w:rPr>
        <w:t xml:space="preserve">  Scheuer, L.  2009.  </w:t>
      </w:r>
      <w:r w:rsidRPr="00153A5B">
        <w:rPr>
          <w:rFonts w:asciiTheme="majorBidi" w:hAnsiTheme="majorBidi" w:cstheme="majorBidi"/>
          <w:i/>
          <w:color w:val="000000"/>
          <w:lang w:val="en-CA"/>
        </w:rPr>
        <w:t>Juvenile Osteology: A Laborator</w:t>
      </w:r>
      <w:r>
        <w:rPr>
          <w:rFonts w:asciiTheme="majorBidi" w:hAnsiTheme="majorBidi" w:cstheme="majorBidi"/>
          <w:i/>
          <w:color w:val="000000"/>
          <w:lang w:val="en-CA"/>
        </w:rPr>
        <w:t>y</w:t>
      </w:r>
      <w:r w:rsidRPr="00153A5B">
        <w:rPr>
          <w:rFonts w:asciiTheme="majorBidi" w:hAnsiTheme="majorBidi" w:cstheme="majorBidi"/>
          <w:i/>
          <w:color w:val="000000"/>
          <w:lang w:val="en-CA"/>
        </w:rPr>
        <w:t xml:space="preserve"> Field Manual</w:t>
      </w:r>
      <w:r>
        <w:rPr>
          <w:rFonts w:asciiTheme="majorBidi" w:hAnsiTheme="majorBidi" w:cstheme="majorBidi"/>
          <w:color w:val="000000"/>
          <w:lang w:val="en-CA"/>
        </w:rPr>
        <w:t xml:space="preserve">.  </w:t>
      </w:r>
      <w:proofErr w:type="gramStart"/>
      <w:r>
        <w:rPr>
          <w:rFonts w:asciiTheme="majorBidi" w:hAnsiTheme="majorBidi" w:cstheme="majorBidi"/>
          <w:color w:val="000000"/>
          <w:lang w:val="en-CA"/>
        </w:rPr>
        <w:t>Academic Press.</w:t>
      </w:r>
      <w:proofErr w:type="gramEnd"/>
      <w:r>
        <w:rPr>
          <w:rFonts w:asciiTheme="majorBidi" w:hAnsiTheme="majorBidi" w:cstheme="majorBidi"/>
          <w:color w:val="000000"/>
          <w:lang w:val="en-CA"/>
        </w:rPr>
        <w:t xml:space="preserve">  Amsterdam.</w:t>
      </w:r>
    </w:p>
    <w:p w:rsidR="00A35CA0" w:rsidRDefault="00CC3C93" w:rsidP="00CA5FBB">
      <w:pPr>
        <w:spacing w:before="120" w:line="240" w:lineRule="auto"/>
        <w:jc w:val="left"/>
        <w:rPr>
          <w:rFonts w:asciiTheme="majorBidi" w:hAnsiTheme="majorBidi" w:cstheme="majorBidi"/>
          <w:i/>
          <w:color w:val="000000"/>
          <w:lang w:val="en-CA"/>
        </w:rPr>
      </w:pPr>
      <w:r w:rsidRPr="00667B89">
        <w:rPr>
          <w:rFonts w:asciiTheme="majorBidi" w:hAnsiTheme="majorBidi" w:cstheme="majorBidi"/>
          <w:color w:val="000000"/>
          <w:lang w:val="en-CA"/>
        </w:rPr>
        <w:t>Scheuer, L.  Black, S.M.  200</w:t>
      </w:r>
      <w:r w:rsidR="00706777">
        <w:rPr>
          <w:rFonts w:asciiTheme="majorBidi" w:hAnsiTheme="majorBidi" w:cstheme="majorBidi"/>
          <w:color w:val="000000"/>
          <w:lang w:val="en-CA"/>
        </w:rPr>
        <w:t>4</w:t>
      </w:r>
      <w:r w:rsidRPr="00667B89">
        <w:rPr>
          <w:rFonts w:asciiTheme="majorBidi" w:hAnsiTheme="majorBidi" w:cstheme="majorBidi"/>
          <w:color w:val="000000"/>
          <w:lang w:val="en-CA"/>
        </w:rPr>
        <w:t xml:space="preserve">.  The Juvenile Skeleton.  </w:t>
      </w:r>
      <w:r w:rsidRPr="00667B89">
        <w:rPr>
          <w:rFonts w:asciiTheme="majorBidi" w:hAnsiTheme="majorBidi" w:cstheme="majorBidi"/>
          <w:i/>
          <w:color w:val="000000"/>
          <w:lang w:val="en-CA"/>
        </w:rPr>
        <w:t>Elsevier Academic Press</w:t>
      </w:r>
      <w:r w:rsidR="00706777">
        <w:rPr>
          <w:rFonts w:asciiTheme="majorBidi" w:hAnsiTheme="majorBidi" w:cstheme="majorBidi"/>
          <w:i/>
          <w:color w:val="000000"/>
          <w:lang w:val="en-CA"/>
        </w:rPr>
        <w:t>.</w:t>
      </w:r>
    </w:p>
    <w:p w:rsidR="00A35CA0" w:rsidRDefault="00CC3C93" w:rsidP="00CA5FBB">
      <w:pPr>
        <w:spacing w:before="120" w:line="240" w:lineRule="auto"/>
        <w:jc w:val="left"/>
        <w:rPr>
          <w:rFonts w:asciiTheme="majorBidi" w:hAnsiTheme="majorBidi" w:cstheme="majorBidi"/>
          <w:noProof/>
        </w:rPr>
      </w:pPr>
      <w:r w:rsidRPr="00667B89">
        <w:rPr>
          <w:rFonts w:asciiTheme="majorBidi" w:hAnsiTheme="majorBidi" w:cstheme="majorBidi"/>
          <w:noProof/>
        </w:rPr>
        <w:t xml:space="preserve">Schmeling, A.  </w:t>
      </w:r>
      <w:r w:rsidRPr="00667B89">
        <w:rPr>
          <w:rFonts w:asciiTheme="majorBidi" w:hAnsiTheme="majorBidi" w:cstheme="majorBidi"/>
          <w:noProof/>
          <w:lang w:val="it-IT"/>
        </w:rPr>
        <w:t xml:space="preserve">Reisinger, W.  Loreck, D.  Vendura, K.  </w:t>
      </w:r>
      <w:r w:rsidRPr="00667B89">
        <w:rPr>
          <w:rFonts w:asciiTheme="majorBidi" w:hAnsiTheme="majorBidi" w:cstheme="majorBidi"/>
          <w:noProof/>
        </w:rPr>
        <w:t xml:space="preserve">Markus, W.  Geserick, G.  2000.  Effects of ethnicity on skeletal maturation: consequences for forensic age estimations.  </w:t>
      </w:r>
      <w:r w:rsidRPr="00667B89">
        <w:rPr>
          <w:rFonts w:asciiTheme="majorBidi" w:hAnsiTheme="majorBidi" w:cstheme="majorBidi"/>
          <w:i/>
          <w:noProof/>
        </w:rPr>
        <w:t>International Journal of Legal Medicine</w:t>
      </w:r>
      <w:r w:rsidRPr="00667B89">
        <w:rPr>
          <w:rFonts w:asciiTheme="majorBidi" w:hAnsiTheme="majorBidi" w:cstheme="majorBidi"/>
          <w:noProof/>
        </w:rPr>
        <w:t xml:space="preserve"> 113(5): 253-258</w:t>
      </w:r>
      <w:r w:rsidR="007741FC">
        <w:rPr>
          <w:rFonts w:asciiTheme="majorBidi" w:hAnsiTheme="majorBidi" w:cstheme="majorBidi"/>
          <w:noProof/>
        </w:rPr>
        <w:t>.</w:t>
      </w:r>
    </w:p>
    <w:p w:rsidR="00A35CA0" w:rsidRDefault="00CC3C93" w:rsidP="00CA5FBB">
      <w:pPr>
        <w:spacing w:before="120" w:line="240" w:lineRule="auto"/>
        <w:jc w:val="left"/>
        <w:rPr>
          <w:rFonts w:asciiTheme="majorBidi" w:hAnsiTheme="majorBidi" w:cstheme="majorBidi"/>
          <w:color w:val="000000" w:themeColor="text1"/>
        </w:rPr>
      </w:pPr>
      <w:proofErr w:type="gramStart"/>
      <w:r w:rsidRPr="00667B89">
        <w:rPr>
          <w:rFonts w:asciiTheme="majorBidi" w:hAnsiTheme="majorBidi" w:cstheme="majorBidi"/>
          <w:color w:val="000000" w:themeColor="text1"/>
          <w:lang w:val="en-CA"/>
        </w:rPr>
        <w:lastRenderedPageBreak/>
        <w:t>Schmeling, A.</w:t>
      </w:r>
      <w:proofErr w:type="gramEnd"/>
      <w:r w:rsidRPr="00667B89">
        <w:rPr>
          <w:rFonts w:asciiTheme="majorBidi" w:hAnsiTheme="majorBidi" w:cstheme="majorBidi"/>
          <w:color w:val="000000" w:themeColor="text1"/>
          <w:lang w:val="en-CA"/>
        </w:rPr>
        <w:t xml:space="preserve">  Schulz, R.  Reisinger, W.  Müher, M.  Wernecke, K.D.  2004.  Studies on the time frame for ossification of the medial clavicular epiphyseal cartilage in conventional radiography.  </w:t>
      </w:r>
      <w:r w:rsidRPr="00667B89">
        <w:rPr>
          <w:rFonts w:asciiTheme="majorBidi" w:hAnsiTheme="majorBidi" w:cstheme="majorBidi"/>
          <w:i/>
          <w:color w:val="000000" w:themeColor="text1"/>
          <w:lang w:val="en-CA"/>
        </w:rPr>
        <w:t>International Journal of Legal Medicine</w:t>
      </w:r>
      <w:r w:rsidRPr="00667B89">
        <w:rPr>
          <w:rFonts w:asciiTheme="majorBidi" w:hAnsiTheme="majorBidi" w:cstheme="majorBidi"/>
          <w:color w:val="000000" w:themeColor="text1"/>
          <w:lang w:val="en-CA"/>
        </w:rPr>
        <w:t xml:space="preserve"> 118(1):5-8</w:t>
      </w:r>
      <w:r w:rsidR="007741FC" w:rsidRPr="007741FC">
        <w:rPr>
          <w:rFonts w:asciiTheme="majorBidi" w:hAnsiTheme="majorBidi" w:cstheme="majorBidi"/>
          <w:color w:val="000000" w:themeColor="text1"/>
        </w:rPr>
        <w:t>.</w:t>
      </w:r>
    </w:p>
    <w:p w:rsidR="00A35CA0" w:rsidRDefault="00CC3C93" w:rsidP="00CA5FBB">
      <w:pPr>
        <w:tabs>
          <w:tab w:val="left" w:pos="360"/>
        </w:tabs>
        <w:spacing w:before="120" w:line="240" w:lineRule="auto"/>
        <w:jc w:val="left"/>
        <w:rPr>
          <w:rFonts w:asciiTheme="majorBidi" w:hAnsiTheme="majorBidi" w:cstheme="majorBidi"/>
          <w:noProof/>
          <w:color w:val="000000"/>
        </w:rPr>
      </w:pPr>
      <w:proofErr w:type="gramStart"/>
      <w:r w:rsidRPr="00667B89">
        <w:rPr>
          <w:rFonts w:asciiTheme="majorBidi" w:hAnsiTheme="majorBidi" w:cstheme="majorBidi"/>
        </w:rPr>
        <w:t>Schmidt-Nielsen, K.</w:t>
      </w:r>
      <w:proofErr w:type="gramEnd"/>
      <w:r w:rsidRPr="00667B89">
        <w:rPr>
          <w:rFonts w:asciiTheme="majorBidi" w:hAnsiTheme="majorBidi" w:cstheme="majorBidi"/>
        </w:rPr>
        <w:t xml:space="preserve">  1984</w:t>
      </w:r>
      <w:r w:rsidRPr="00667B89">
        <w:rPr>
          <w:rStyle w:val="citation"/>
          <w:rFonts w:asciiTheme="majorBidi" w:hAnsiTheme="majorBidi" w:cstheme="majorBidi"/>
        </w:rPr>
        <w:t xml:space="preserve">.  </w:t>
      </w:r>
      <w:r w:rsidRPr="00667B89">
        <w:rPr>
          <w:rStyle w:val="citation"/>
          <w:rFonts w:asciiTheme="majorBidi" w:hAnsiTheme="majorBidi" w:cstheme="majorBidi"/>
          <w:i/>
        </w:rPr>
        <w:t>Scaling: why is animal size so important?</w:t>
      </w:r>
      <w:r w:rsidRPr="00667B89">
        <w:rPr>
          <w:rStyle w:val="citation"/>
          <w:rFonts w:asciiTheme="majorBidi" w:hAnsiTheme="majorBidi" w:cstheme="majorBidi"/>
        </w:rPr>
        <w:t xml:space="preserve">  Cambridge University Press: Cambridge</w:t>
      </w:r>
      <w:r w:rsidR="003611FD">
        <w:rPr>
          <w:rStyle w:val="citation"/>
          <w:rFonts w:asciiTheme="majorBidi" w:hAnsiTheme="majorBidi" w:cstheme="majorBidi"/>
        </w:rPr>
        <w:t>.</w:t>
      </w:r>
    </w:p>
    <w:p w:rsidR="00A35CA0" w:rsidRDefault="00CC3C93" w:rsidP="00CA5FBB">
      <w:pPr>
        <w:spacing w:before="120" w:line="240" w:lineRule="auto"/>
        <w:jc w:val="left"/>
        <w:rPr>
          <w:noProof/>
        </w:rPr>
      </w:pPr>
      <w:r w:rsidRPr="00F64084">
        <w:rPr>
          <w:noProof/>
        </w:rPr>
        <w:t xml:space="preserve">Schultz, A.  1935.  Eruption and decay of the permanent teeth in primates.  </w:t>
      </w:r>
      <w:r>
        <w:rPr>
          <w:i/>
          <w:noProof/>
        </w:rPr>
        <w:t>American Journal of Phy</w:t>
      </w:r>
      <w:r w:rsidRPr="00F64084">
        <w:rPr>
          <w:i/>
          <w:noProof/>
        </w:rPr>
        <w:t>s</w:t>
      </w:r>
      <w:r>
        <w:rPr>
          <w:i/>
          <w:noProof/>
        </w:rPr>
        <w:t>i</w:t>
      </w:r>
      <w:r w:rsidRPr="00F64084">
        <w:rPr>
          <w:i/>
          <w:noProof/>
        </w:rPr>
        <w:t xml:space="preserve">cal Anthropology </w:t>
      </w:r>
      <w:r w:rsidRPr="00F64084">
        <w:rPr>
          <w:noProof/>
        </w:rPr>
        <w:t>19(4):</w:t>
      </w:r>
      <w:r w:rsidR="003611FD">
        <w:rPr>
          <w:noProof/>
        </w:rPr>
        <w:t xml:space="preserve"> </w:t>
      </w:r>
      <w:r w:rsidRPr="00F64084">
        <w:rPr>
          <w:noProof/>
        </w:rPr>
        <w:t>489-581</w:t>
      </w:r>
      <w:r w:rsidR="003611FD">
        <w:rPr>
          <w:noProof/>
        </w:rPr>
        <w:t>.</w:t>
      </w:r>
    </w:p>
    <w:p w:rsidR="00A35CA0" w:rsidRDefault="00CC3C93" w:rsidP="00CA5FBB">
      <w:pPr>
        <w:spacing w:before="120" w:line="240" w:lineRule="auto"/>
        <w:jc w:val="left"/>
        <w:rPr>
          <w:rFonts w:asciiTheme="majorBidi" w:hAnsiTheme="majorBidi" w:cstheme="majorBidi"/>
          <w:noProof/>
        </w:rPr>
      </w:pPr>
      <w:r w:rsidRPr="00667B89">
        <w:rPr>
          <w:rFonts w:asciiTheme="majorBidi" w:hAnsiTheme="majorBidi" w:cstheme="majorBidi"/>
          <w:noProof/>
        </w:rPr>
        <w:t xml:space="preserve">Schultz, A.H.  1940.  </w:t>
      </w:r>
      <w:r w:rsidRPr="00667B89">
        <w:rPr>
          <w:rFonts w:asciiTheme="majorBidi" w:hAnsiTheme="majorBidi" w:cstheme="majorBidi"/>
          <w:i/>
          <w:noProof/>
        </w:rPr>
        <w:t>Growth and development of the chimpanzee</w:t>
      </w:r>
      <w:r w:rsidRPr="00667B89">
        <w:rPr>
          <w:rFonts w:asciiTheme="majorBidi" w:hAnsiTheme="majorBidi" w:cstheme="majorBidi"/>
          <w:noProof/>
        </w:rPr>
        <w:t xml:space="preserve">.  </w:t>
      </w:r>
      <w:r w:rsidRPr="00667B89">
        <w:rPr>
          <w:rFonts w:asciiTheme="majorBidi" w:hAnsiTheme="majorBidi" w:cstheme="majorBidi"/>
          <w:i/>
          <w:noProof/>
        </w:rPr>
        <w:t>Contributions to Embryology</w:t>
      </w:r>
      <w:r w:rsidRPr="00667B89">
        <w:rPr>
          <w:rFonts w:asciiTheme="majorBidi" w:hAnsiTheme="majorBidi" w:cstheme="majorBidi"/>
          <w:noProof/>
        </w:rPr>
        <w:t xml:space="preserve"> 28: 1–6 </w:t>
      </w:r>
      <w:r w:rsidRPr="00667B89">
        <w:rPr>
          <w:rFonts w:asciiTheme="majorBidi" w:eastAsia="Times New Roman" w:hAnsiTheme="majorBidi" w:cstheme="majorBidi"/>
        </w:rPr>
        <w:t xml:space="preserve">Carnegie Institution of Washington </w:t>
      </w:r>
      <w:proofErr w:type="gramStart"/>
      <w:r w:rsidRPr="00667B89">
        <w:rPr>
          <w:rFonts w:asciiTheme="majorBidi" w:eastAsia="Times New Roman" w:hAnsiTheme="majorBidi" w:cstheme="majorBidi"/>
        </w:rPr>
        <w:t>publication ;</w:t>
      </w:r>
      <w:proofErr w:type="gramEnd"/>
      <w:r w:rsidRPr="00667B89">
        <w:rPr>
          <w:rFonts w:asciiTheme="majorBidi" w:eastAsia="Times New Roman" w:hAnsiTheme="majorBidi" w:cstheme="majorBidi"/>
        </w:rPr>
        <w:t xml:space="preserve"> no. 518</w:t>
      </w:r>
      <w:r w:rsidR="003611FD">
        <w:rPr>
          <w:rFonts w:asciiTheme="majorBidi" w:eastAsia="Times New Roman" w:hAnsiTheme="majorBidi" w:cstheme="majorBidi"/>
        </w:rPr>
        <w:t>.</w:t>
      </w:r>
    </w:p>
    <w:p w:rsidR="00A35CA0" w:rsidRDefault="00CC3C93" w:rsidP="00CA5FBB">
      <w:pPr>
        <w:autoSpaceDE w:val="0"/>
        <w:autoSpaceDN w:val="0"/>
        <w:adjustRightInd w:val="0"/>
        <w:spacing w:before="120" w:line="240" w:lineRule="auto"/>
        <w:jc w:val="left"/>
        <w:rPr>
          <w:rFonts w:asciiTheme="majorBidi" w:eastAsiaTheme="minorHAnsi" w:hAnsiTheme="majorBidi" w:cstheme="majorBidi"/>
          <w:bCs/>
          <w:lang w:val="en-GB"/>
        </w:rPr>
      </w:pPr>
      <w:r w:rsidRPr="003611FD">
        <w:rPr>
          <w:rFonts w:asciiTheme="majorBidi" w:eastAsiaTheme="minorHAnsi" w:hAnsiTheme="majorBidi" w:cstheme="majorBidi"/>
          <w:color w:val="000000" w:themeColor="text1"/>
          <w:lang w:val="en-GB"/>
        </w:rPr>
        <w:t xml:space="preserve">Schultz, A.H. </w:t>
      </w:r>
      <w:r w:rsidRPr="003611FD">
        <w:rPr>
          <w:rFonts w:asciiTheme="majorBidi" w:eastAsiaTheme="minorHAnsi" w:hAnsiTheme="majorBidi" w:cstheme="majorBidi"/>
          <w:bCs/>
          <w:color w:val="000000" w:themeColor="text1"/>
          <w:lang w:val="en-GB"/>
        </w:rPr>
        <w:t xml:space="preserve"> 1941. </w:t>
      </w:r>
      <w:r w:rsidRPr="003611FD">
        <w:rPr>
          <w:rFonts w:asciiTheme="majorBidi" w:eastAsiaTheme="minorHAnsi" w:hAnsiTheme="majorBidi" w:cstheme="majorBidi"/>
          <w:color w:val="000000" w:themeColor="text1"/>
          <w:lang w:val="en-GB"/>
        </w:rPr>
        <w:t>Growth and devel</w:t>
      </w:r>
      <w:r w:rsidRPr="00667B89">
        <w:rPr>
          <w:rFonts w:asciiTheme="majorBidi" w:eastAsiaTheme="minorHAnsi" w:hAnsiTheme="majorBidi" w:cstheme="majorBidi"/>
          <w:lang w:val="en-GB"/>
        </w:rPr>
        <w:t xml:space="preserve">opment of the orangutan. </w:t>
      </w:r>
      <w:r w:rsidRPr="00667B89">
        <w:rPr>
          <w:rFonts w:asciiTheme="majorBidi" w:eastAsiaTheme="minorHAnsi" w:hAnsiTheme="majorBidi" w:cstheme="majorBidi"/>
          <w:i/>
          <w:lang w:val="en-GB"/>
        </w:rPr>
        <w:t>Contributions to Embryology Carnegie Institution</w:t>
      </w:r>
      <w:r w:rsidRPr="00667B89">
        <w:rPr>
          <w:rFonts w:asciiTheme="majorBidi" w:eastAsiaTheme="minorHAnsi" w:hAnsiTheme="majorBidi" w:cstheme="majorBidi"/>
          <w:lang w:val="en-GB"/>
        </w:rPr>
        <w:t xml:space="preserve"> </w:t>
      </w:r>
      <w:r w:rsidRPr="00667B89">
        <w:rPr>
          <w:rFonts w:asciiTheme="majorBidi" w:eastAsiaTheme="minorHAnsi" w:hAnsiTheme="majorBidi" w:cstheme="majorBidi"/>
          <w:bCs/>
          <w:lang w:val="en-GB"/>
        </w:rPr>
        <w:t>29: 57-110.</w:t>
      </w:r>
    </w:p>
    <w:p w:rsidR="00A35CA0" w:rsidRDefault="00CC3C93" w:rsidP="00CA5FBB">
      <w:pPr>
        <w:autoSpaceDE w:val="0"/>
        <w:autoSpaceDN w:val="0"/>
        <w:adjustRightInd w:val="0"/>
        <w:spacing w:before="120" w:line="240" w:lineRule="auto"/>
        <w:jc w:val="left"/>
        <w:rPr>
          <w:rFonts w:asciiTheme="majorBidi" w:eastAsiaTheme="minorHAnsi" w:hAnsiTheme="majorBidi" w:cstheme="majorBidi"/>
          <w:bCs/>
          <w:lang w:val="en-GB"/>
        </w:rPr>
      </w:pPr>
      <w:r>
        <w:rPr>
          <w:rFonts w:asciiTheme="majorBidi" w:eastAsiaTheme="minorHAnsi" w:hAnsiTheme="majorBidi" w:cstheme="majorBidi"/>
          <w:bCs/>
          <w:lang w:val="en-GB"/>
        </w:rPr>
        <w:t xml:space="preserve">Schultz, A.H.  1942.  Growth and development of the proboscis monkey.  </w:t>
      </w:r>
      <w:r w:rsidRPr="00704C9D">
        <w:rPr>
          <w:rFonts w:asciiTheme="majorBidi" w:eastAsiaTheme="minorHAnsi" w:hAnsiTheme="majorBidi" w:cstheme="majorBidi"/>
          <w:bCs/>
          <w:i/>
          <w:lang w:val="en-GB"/>
        </w:rPr>
        <w:t xml:space="preserve">Bulletin of </w:t>
      </w:r>
      <w:proofErr w:type="gramStart"/>
      <w:r w:rsidRPr="00704C9D">
        <w:rPr>
          <w:rFonts w:asciiTheme="majorBidi" w:eastAsiaTheme="minorHAnsi" w:hAnsiTheme="majorBidi" w:cstheme="majorBidi"/>
          <w:bCs/>
          <w:i/>
          <w:lang w:val="en-GB"/>
        </w:rPr>
        <w:t>the  Museum</w:t>
      </w:r>
      <w:proofErr w:type="gramEnd"/>
      <w:r w:rsidRPr="00704C9D">
        <w:rPr>
          <w:rFonts w:asciiTheme="majorBidi" w:eastAsiaTheme="minorHAnsi" w:hAnsiTheme="majorBidi" w:cstheme="majorBidi"/>
          <w:bCs/>
          <w:i/>
          <w:lang w:val="en-GB"/>
        </w:rPr>
        <w:t xml:space="preserve"> Comparative Zoology</w:t>
      </w:r>
      <w:r>
        <w:rPr>
          <w:rFonts w:asciiTheme="majorBidi" w:eastAsiaTheme="minorHAnsi" w:hAnsiTheme="majorBidi" w:cstheme="majorBidi"/>
          <w:bCs/>
          <w:lang w:val="en-GB"/>
        </w:rPr>
        <w:t xml:space="preserve"> 89: 279-323.</w:t>
      </w:r>
    </w:p>
    <w:p w:rsidR="00A35CA0" w:rsidRDefault="00CC3C93" w:rsidP="00CA5FBB">
      <w:pPr>
        <w:autoSpaceDE w:val="0"/>
        <w:autoSpaceDN w:val="0"/>
        <w:adjustRightInd w:val="0"/>
        <w:spacing w:before="120" w:line="240" w:lineRule="auto"/>
        <w:jc w:val="left"/>
        <w:rPr>
          <w:rFonts w:asciiTheme="majorBidi" w:eastAsiaTheme="minorHAnsi" w:hAnsiTheme="majorBidi" w:cstheme="majorBidi"/>
          <w:bCs/>
          <w:lang w:val="en-GB"/>
        </w:rPr>
      </w:pPr>
      <w:r w:rsidRPr="005C500C">
        <w:rPr>
          <w:rFonts w:asciiTheme="majorBidi" w:eastAsiaTheme="minorHAnsi" w:hAnsiTheme="majorBidi" w:cstheme="majorBidi"/>
          <w:bCs/>
          <w:lang w:val="en-GB"/>
        </w:rPr>
        <w:t xml:space="preserve">Schultz, A.H. </w:t>
      </w:r>
      <w:r>
        <w:rPr>
          <w:rFonts w:asciiTheme="majorBidi" w:eastAsiaTheme="minorHAnsi" w:hAnsiTheme="majorBidi" w:cstheme="majorBidi"/>
          <w:bCs/>
          <w:lang w:val="en-GB"/>
        </w:rPr>
        <w:t xml:space="preserve"> 1944</w:t>
      </w:r>
      <w:r w:rsidRPr="005C500C">
        <w:rPr>
          <w:rFonts w:asciiTheme="majorBidi" w:eastAsiaTheme="minorHAnsi" w:hAnsiTheme="majorBidi" w:cstheme="majorBidi"/>
          <w:bCs/>
          <w:lang w:val="en-GB"/>
        </w:rPr>
        <w:t>.</w:t>
      </w:r>
      <w:r>
        <w:rPr>
          <w:rFonts w:asciiTheme="majorBidi" w:eastAsiaTheme="minorHAnsi" w:hAnsiTheme="majorBidi" w:cstheme="majorBidi"/>
          <w:bCs/>
          <w:lang w:val="en-GB"/>
        </w:rPr>
        <w:t xml:space="preserve"> </w:t>
      </w:r>
      <w:r w:rsidRPr="005C500C">
        <w:rPr>
          <w:rFonts w:asciiTheme="majorBidi" w:eastAsiaTheme="minorHAnsi" w:hAnsiTheme="majorBidi" w:cstheme="majorBidi"/>
          <w:bCs/>
          <w:lang w:val="en-GB"/>
        </w:rPr>
        <w:t xml:space="preserve"> Age chan</w:t>
      </w:r>
      <w:r>
        <w:rPr>
          <w:rFonts w:asciiTheme="majorBidi" w:eastAsiaTheme="minorHAnsi" w:hAnsiTheme="majorBidi" w:cstheme="majorBidi"/>
          <w:bCs/>
          <w:lang w:val="en-GB"/>
        </w:rPr>
        <w:t xml:space="preserve">ges and variability in gibbons: </w:t>
      </w:r>
      <w:r w:rsidRPr="005C500C">
        <w:rPr>
          <w:rFonts w:asciiTheme="majorBidi" w:eastAsiaTheme="minorHAnsi" w:hAnsiTheme="majorBidi" w:cstheme="majorBidi"/>
          <w:bCs/>
          <w:lang w:val="en-GB"/>
        </w:rPr>
        <w:t>a morphological study on a</w:t>
      </w:r>
      <w:r>
        <w:rPr>
          <w:rFonts w:asciiTheme="majorBidi" w:eastAsiaTheme="minorHAnsi" w:hAnsiTheme="majorBidi" w:cstheme="majorBidi"/>
          <w:bCs/>
          <w:lang w:val="en-GB"/>
        </w:rPr>
        <w:t xml:space="preserve"> population sample of a manlike </w:t>
      </w:r>
      <w:r w:rsidRPr="005C500C">
        <w:rPr>
          <w:rFonts w:asciiTheme="majorBidi" w:eastAsiaTheme="minorHAnsi" w:hAnsiTheme="majorBidi" w:cstheme="majorBidi"/>
          <w:bCs/>
          <w:lang w:val="en-GB"/>
        </w:rPr>
        <w:t xml:space="preserve">ape. </w:t>
      </w:r>
      <w:r>
        <w:rPr>
          <w:rFonts w:asciiTheme="majorBidi" w:eastAsiaTheme="minorHAnsi" w:hAnsiTheme="majorBidi" w:cstheme="majorBidi"/>
          <w:bCs/>
          <w:lang w:val="en-GB"/>
        </w:rPr>
        <w:t xml:space="preserve"> </w:t>
      </w:r>
      <w:r>
        <w:rPr>
          <w:rFonts w:asciiTheme="majorBidi" w:eastAsiaTheme="minorHAnsi" w:hAnsiTheme="majorBidi" w:cstheme="majorBidi"/>
          <w:bCs/>
          <w:i/>
          <w:lang w:val="en-GB"/>
        </w:rPr>
        <w:t>American Journal of Physical Anthropology</w:t>
      </w:r>
      <w:r w:rsidRPr="005C500C">
        <w:rPr>
          <w:rFonts w:asciiTheme="majorBidi" w:eastAsiaTheme="minorHAnsi" w:hAnsiTheme="majorBidi" w:cstheme="majorBidi"/>
          <w:bCs/>
          <w:lang w:val="en-GB"/>
        </w:rPr>
        <w:t xml:space="preserve"> 2</w:t>
      </w:r>
      <w:r>
        <w:rPr>
          <w:rFonts w:asciiTheme="majorBidi" w:eastAsiaTheme="minorHAnsi" w:hAnsiTheme="majorBidi" w:cstheme="majorBidi"/>
          <w:bCs/>
          <w:lang w:val="en-GB"/>
        </w:rPr>
        <w:t>(1):</w:t>
      </w:r>
      <w:r w:rsidRPr="005C500C">
        <w:rPr>
          <w:rFonts w:asciiTheme="majorBidi" w:eastAsiaTheme="minorHAnsi" w:hAnsiTheme="majorBidi" w:cstheme="majorBidi"/>
          <w:bCs/>
          <w:lang w:val="en-GB"/>
        </w:rPr>
        <w:t xml:space="preserve"> 1</w:t>
      </w:r>
      <w:r>
        <w:rPr>
          <w:rFonts w:asciiTheme="majorBidi" w:eastAsiaTheme="minorHAnsi" w:hAnsiTheme="majorBidi" w:cstheme="majorBidi"/>
          <w:bCs/>
          <w:lang w:val="en-GB"/>
        </w:rPr>
        <w:t>-</w:t>
      </w:r>
      <w:r w:rsidRPr="005C500C">
        <w:rPr>
          <w:rFonts w:asciiTheme="majorBidi" w:eastAsiaTheme="minorHAnsi" w:hAnsiTheme="majorBidi" w:cstheme="majorBidi"/>
          <w:bCs/>
          <w:lang w:val="en-GB"/>
        </w:rPr>
        <w:t>129.</w:t>
      </w:r>
    </w:p>
    <w:p w:rsidR="00A35CA0" w:rsidRDefault="00CC3C93" w:rsidP="00CA5FBB">
      <w:pPr>
        <w:tabs>
          <w:tab w:val="left" w:pos="360"/>
        </w:tabs>
        <w:spacing w:before="120" w:line="240" w:lineRule="auto"/>
        <w:jc w:val="left"/>
        <w:rPr>
          <w:noProof/>
          <w:color w:val="000000"/>
        </w:rPr>
      </w:pPr>
      <w:r>
        <w:rPr>
          <w:noProof/>
          <w:color w:val="000000"/>
        </w:rPr>
        <w:t xml:space="preserve">Schultz, A.H.  1960.  </w:t>
      </w:r>
      <w:r>
        <w:rPr>
          <w:i/>
          <w:noProof/>
          <w:color w:val="000000"/>
        </w:rPr>
        <w:t>Age changes in primates and their modiﬁcation in man</w:t>
      </w:r>
      <w:r>
        <w:rPr>
          <w:noProof/>
          <w:color w:val="000000"/>
        </w:rPr>
        <w:t>.  In Tanner, J.M. (ed.): Human Growth. Pergamon, Oxford pp. 1–20</w:t>
      </w:r>
      <w:r w:rsidR="003611FD">
        <w:rPr>
          <w:noProof/>
          <w:color w:val="000000"/>
        </w:rPr>
        <w:t>.</w:t>
      </w:r>
    </w:p>
    <w:p w:rsidR="00A35CA0" w:rsidRDefault="00CC3C93" w:rsidP="00CA5FBB">
      <w:pPr>
        <w:autoSpaceDE w:val="0"/>
        <w:autoSpaceDN w:val="0"/>
        <w:adjustRightInd w:val="0"/>
        <w:spacing w:before="120" w:line="240" w:lineRule="auto"/>
        <w:jc w:val="left"/>
        <w:rPr>
          <w:rFonts w:asciiTheme="majorBidi" w:eastAsiaTheme="minorHAnsi" w:hAnsiTheme="majorBidi" w:cstheme="majorBidi"/>
          <w:i/>
          <w:lang w:val="en-GB"/>
        </w:rPr>
      </w:pPr>
      <w:r>
        <w:rPr>
          <w:rFonts w:asciiTheme="majorBidi" w:eastAsiaTheme="minorHAnsi" w:hAnsiTheme="majorBidi" w:cstheme="majorBidi"/>
          <w:lang w:val="en-GB"/>
        </w:rPr>
        <w:t xml:space="preserve">Schwartz, G.T.  Reid, D.J.  Dean, C.  Chandrasekera, M.S.  </w:t>
      </w:r>
      <w:r w:rsidRPr="00782FD8">
        <w:rPr>
          <w:rFonts w:asciiTheme="majorBidi" w:eastAsiaTheme="minorHAnsi" w:hAnsiTheme="majorBidi" w:cstheme="majorBidi"/>
          <w:lang w:val="en-GB"/>
        </w:rPr>
        <w:t>2000.</w:t>
      </w:r>
      <w:r>
        <w:rPr>
          <w:rFonts w:asciiTheme="majorBidi" w:eastAsiaTheme="minorHAnsi" w:hAnsiTheme="majorBidi" w:cstheme="majorBidi"/>
          <w:lang w:val="en-GB"/>
        </w:rPr>
        <w:t xml:space="preserve"> </w:t>
      </w:r>
      <w:r w:rsidRPr="00782FD8">
        <w:rPr>
          <w:rFonts w:asciiTheme="majorBidi" w:eastAsiaTheme="minorHAnsi" w:hAnsiTheme="majorBidi" w:cstheme="majorBidi"/>
          <w:lang w:val="en-GB"/>
        </w:rPr>
        <w:t xml:space="preserve"> Aspects of to</w:t>
      </w:r>
      <w:r>
        <w:rPr>
          <w:rFonts w:asciiTheme="majorBidi" w:eastAsiaTheme="minorHAnsi" w:hAnsiTheme="majorBidi" w:cstheme="majorBidi"/>
          <w:lang w:val="en-GB"/>
        </w:rPr>
        <w:t xml:space="preserve">oth crown development in common </w:t>
      </w:r>
      <w:r w:rsidRPr="00782FD8">
        <w:rPr>
          <w:rFonts w:asciiTheme="majorBidi" w:eastAsiaTheme="minorHAnsi" w:hAnsiTheme="majorBidi" w:cstheme="majorBidi"/>
          <w:lang w:val="en-GB"/>
        </w:rPr>
        <w:t>chimpanzees (</w:t>
      </w:r>
      <w:r w:rsidRPr="00782FD8">
        <w:rPr>
          <w:rFonts w:asciiTheme="majorBidi" w:eastAsiaTheme="minorHAnsi" w:hAnsiTheme="majorBidi" w:cstheme="majorBidi"/>
          <w:i/>
          <w:lang w:val="en-GB"/>
        </w:rPr>
        <w:t xml:space="preserve">Pan </w:t>
      </w:r>
      <w:proofErr w:type="gramStart"/>
      <w:r w:rsidRPr="00782FD8">
        <w:rPr>
          <w:rFonts w:asciiTheme="majorBidi" w:eastAsiaTheme="minorHAnsi" w:hAnsiTheme="majorBidi" w:cstheme="majorBidi"/>
          <w:i/>
          <w:lang w:val="en-GB"/>
        </w:rPr>
        <w:t>troglodytes</w:t>
      </w:r>
      <w:proofErr w:type="gramEnd"/>
      <w:r w:rsidRPr="00782FD8">
        <w:rPr>
          <w:rFonts w:asciiTheme="majorBidi" w:eastAsiaTheme="minorHAnsi" w:hAnsiTheme="majorBidi" w:cstheme="majorBidi"/>
          <w:lang w:val="en-GB"/>
        </w:rPr>
        <w:t>) with a note on the possible</w:t>
      </w:r>
      <w:r>
        <w:rPr>
          <w:rFonts w:asciiTheme="majorBidi" w:eastAsiaTheme="minorHAnsi" w:hAnsiTheme="majorBidi" w:cstheme="majorBidi"/>
          <w:lang w:val="en-GB"/>
        </w:rPr>
        <w:t xml:space="preserve"> </w:t>
      </w:r>
      <w:r w:rsidRPr="00782FD8">
        <w:rPr>
          <w:rFonts w:asciiTheme="majorBidi" w:eastAsiaTheme="minorHAnsi" w:hAnsiTheme="majorBidi" w:cstheme="majorBidi"/>
          <w:lang w:val="en-GB"/>
        </w:rPr>
        <w:t xml:space="preserve">role of sexual dimorphism in canine growth. </w:t>
      </w:r>
      <w:proofErr w:type="gramStart"/>
      <w:r w:rsidRPr="00782FD8">
        <w:rPr>
          <w:rFonts w:asciiTheme="majorBidi" w:eastAsiaTheme="minorHAnsi" w:hAnsiTheme="majorBidi" w:cstheme="majorBidi"/>
          <w:i/>
          <w:lang w:val="en-GB"/>
        </w:rPr>
        <w:t>Proceedings of 11th International Symposium on Dental Morphology, Oulu,</w:t>
      </w:r>
      <w:r>
        <w:rPr>
          <w:rFonts w:asciiTheme="majorBidi" w:eastAsiaTheme="minorHAnsi" w:hAnsiTheme="majorBidi" w:cstheme="majorBidi"/>
          <w:i/>
          <w:lang w:val="en-GB"/>
        </w:rPr>
        <w:t xml:space="preserve"> </w:t>
      </w:r>
      <w:r w:rsidRPr="00782FD8">
        <w:rPr>
          <w:rFonts w:asciiTheme="majorBidi" w:eastAsiaTheme="minorHAnsi" w:hAnsiTheme="majorBidi" w:cstheme="majorBidi"/>
          <w:i/>
          <w:lang w:val="en-GB"/>
        </w:rPr>
        <w:t>Finland</w:t>
      </w:r>
      <w:r w:rsidRPr="00782FD8">
        <w:rPr>
          <w:rFonts w:asciiTheme="majorBidi" w:eastAsiaTheme="minorHAnsi" w:hAnsiTheme="majorBidi" w:cstheme="majorBidi"/>
          <w:lang w:val="en-GB"/>
        </w:rPr>
        <w:t>.</w:t>
      </w:r>
      <w:proofErr w:type="gramEnd"/>
      <w:r w:rsidRPr="00782FD8">
        <w:rPr>
          <w:rFonts w:asciiTheme="majorBidi" w:eastAsiaTheme="minorHAnsi" w:hAnsiTheme="majorBidi" w:cstheme="majorBidi"/>
          <w:lang w:val="en-GB"/>
        </w:rPr>
        <w:t xml:space="preserve"> pp. 323–337</w:t>
      </w:r>
      <w:r w:rsidR="003611FD">
        <w:rPr>
          <w:rFonts w:asciiTheme="majorBidi" w:eastAsiaTheme="minorHAnsi" w:hAnsiTheme="majorBidi" w:cstheme="majorBidi"/>
          <w:lang w:val="en-GB"/>
        </w:rPr>
        <w:t>.</w:t>
      </w:r>
    </w:p>
    <w:p w:rsidR="00BE7C2C" w:rsidRDefault="00BE7C2C" w:rsidP="00E53F3C">
      <w:pPr>
        <w:spacing w:before="120" w:line="240" w:lineRule="auto"/>
        <w:rPr>
          <w:noProof/>
        </w:rPr>
      </w:pPr>
      <w:r>
        <w:rPr>
          <w:noProof/>
        </w:rPr>
        <w:t xml:space="preserve">Sciulli, P.W.  2007.  Relative dental maturity and associated skeletal maturity in prehistoric native Americans of the Ohio valley area.  </w:t>
      </w:r>
      <w:r w:rsidRPr="00BE7C2C">
        <w:rPr>
          <w:i/>
          <w:noProof/>
        </w:rPr>
        <w:t>American Journal of Physical Anthropology</w:t>
      </w:r>
      <w:r>
        <w:rPr>
          <w:noProof/>
        </w:rPr>
        <w:t xml:space="preserve"> 132(4): 545–557</w:t>
      </w:r>
    </w:p>
    <w:p w:rsidR="00A35CA0" w:rsidRDefault="00CC3C93" w:rsidP="00CA5FBB">
      <w:pPr>
        <w:pStyle w:val="ListParagraph"/>
        <w:spacing w:before="120" w:line="240" w:lineRule="auto"/>
        <w:ind w:left="0"/>
        <w:jc w:val="left"/>
        <w:rPr>
          <w:noProof/>
        </w:rPr>
      </w:pPr>
      <w:r w:rsidRPr="002228AE">
        <w:rPr>
          <w:noProof/>
        </w:rPr>
        <w:t>S</w:t>
      </w:r>
      <w:r>
        <w:rPr>
          <w:noProof/>
        </w:rPr>
        <w:t>hea, B.</w:t>
      </w:r>
      <w:r w:rsidRPr="002228AE">
        <w:rPr>
          <w:noProof/>
        </w:rPr>
        <w:t xml:space="preserve">T. </w:t>
      </w:r>
      <w:r>
        <w:rPr>
          <w:noProof/>
        </w:rPr>
        <w:t xml:space="preserve"> </w:t>
      </w:r>
      <w:r w:rsidRPr="002228AE">
        <w:rPr>
          <w:noProof/>
        </w:rPr>
        <w:t xml:space="preserve">1981. </w:t>
      </w:r>
      <w:r>
        <w:rPr>
          <w:noProof/>
        </w:rPr>
        <w:t xml:space="preserve"> </w:t>
      </w:r>
      <w:r w:rsidRPr="002228AE">
        <w:rPr>
          <w:noProof/>
        </w:rPr>
        <w:t xml:space="preserve">Relative growth of the limbs and trunk in the African apes. </w:t>
      </w:r>
      <w:r w:rsidRPr="00EC7D32">
        <w:rPr>
          <w:i/>
          <w:noProof/>
        </w:rPr>
        <w:t>American Journal Physical Anthropology</w:t>
      </w:r>
      <w:r w:rsidRPr="002228AE">
        <w:rPr>
          <w:noProof/>
        </w:rPr>
        <w:t xml:space="preserve"> 56</w:t>
      </w:r>
      <w:r>
        <w:rPr>
          <w:noProof/>
        </w:rPr>
        <w:t>(2): 179-201</w:t>
      </w:r>
      <w:r w:rsidR="003611FD">
        <w:rPr>
          <w:noProof/>
        </w:rPr>
        <w:t>.</w:t>
      </w:r>
    </w:p>
    <w:p w:rsidR="00A35CA0" w:rsidRDefault="00CC3C93" w:rsidP="00CA5FBB">
      <w:pPr>
        <w:spacing w:before="120" w:line="240" w:lineRule="auto"/>
        <w:jc w:val="left"/>
        <w:rPr>
          <w:rFonts w:asciiTheme="majorBidi" w:hAnsiTheme="majorBidi" w:cstheme="majorBidi"/>
          <w:color w:val="000000"/>
          <w:lang w:val="en-CA"/>
        </w:rPr>
      </w:pPr>
      <w:r>
        <w:rPr>
          <w:rFonts w:asciiTheme="majorBidi" w:hAnsiTheme="majorBidi" w:cstheme="majorBidi"/>
          <w:color w:val="000000"/>
          <w:lang w:val="en-CA"/>
        </w:rPr>
        <w:t xml:space="preserve">Shea, B.T.  1983.  </w:t>
      </w:r>
      <w:r w:rsidRPr="00B17F0B">
        <w:rPr>
          <w:rFonts w:asciiTheme="majorBidi" w:hAnsiTheme="majorBidi" w:cstheme="majorBidi"/>
          <w:color w:val="000000"/>
          <w:lang w:val="en-CA"/>
        </w:rPr>
        <w:t>Allometry and h</w:t>
      </w:r>
      <w:r>
        <w:rPr>
          <w:rFonts w:asciiTheme="majorBidi" w:hAnsiTheme="majorBidi" w:cstheme="majorBidi"/>
          <w:color w:val="000000"/>
          <w:lang w:val="en-CA"/>
        </w:rPr>
        <w:t xml:space="preserve">eterochrony in the African apes.  </w:t>
      </w:r>
      <w:r w:rsidRPr="00B17F0B">
        <w:rPr>
          <w:rFonts w:asciiTheme="majorBidi" w:hAnsiTheme="majorBidi" w:cstheme="majorBidi"/>
          <w:i/>
          <w:color w:val="000000"/>
          <w:lang w:val="en-CA"/>
        </w:rPr>
        <w:t>American Journal of Physical Anthropology</w:t>
      </w:r>
      <w:r>
        <w:rPr>
          <w:rFonts w:asciiTheme="majorBidi" w:hAnsiTheme="majorBidi" w:cstheme="majorBidi"/>
          <w:color w:val="000000"/>
          <w:lang w:val="en-CA"/>
        </w:rPr>
        <w:t xml:space="preserve"> </w:t>
      </w:r>
      <w:r w:rsidRPr="00B17F0B">
        <w:rPr>
          <w:rFonts w:asciiTheme="majorBidi" w:hAnsiTheme="majorBidi" w:cstheme="majorBidi"/>
          <w:color w:val="000000"/>
          <w:lang w:val="en-CA"/>
        </w:rPr>
        <w:t>62</w:t>
      </w:r>
      <w:r>
        <w:rPr>
          <w:rFonts w:asciiTheme="majorBidi" w:hAnsiTheme="majorBidi" w:cstheme="majorBidi"/>
          <w:color w:val="000000"/>
          <w:lang w:val="en-CA"/>
        </w:rPr>
        <w:t>(</w:t>
      </w:r>
      <w:r w:rsidRPr="00B17F0B">
        <w:rPr>
          <w:rFonts w:asciiTheme="majorBidi" w:hAnsiTheme="majorBidi" w:cstheme="majorBidi"/>
          <w:color w:val="000000"/>
          <w:lang w:val="en-CA"/>
        </w:rPr>
        <w:t>3</w:t>
      </w:r>
      <w:r>
        <w:rPr>
          <w:rFonts w:asciiTheme="majorBidi" w:hAnsiTheme="majorBidi" w:cstheme="majorBidi"/>
          <w:color w:val="000000"/>
          <w:lang w:val="en-CA"/>
        </w:rPr>
        <w:t>):</w:t>
      </w:r>
      <w:r w:rsidRPr="00B17F0B">
        <w:rPr>
          <w:rFonts w:asciiTheme="majorBidi" w:hAnsiTheme="majorBidi" w:cstheme="majorBidi"/>
          <w:color w:val="000000"/>
          <w:lang w:val="en-CA"/>
        </w:rPr>
        <w:t xml:space="preserve"> 275–289</w:t>
      </w:r>
      <w:r w:rsidR="003611FD">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 xml:space="preserve">Shea, B.T. 1984.  </w:t>
      </w:r>
      <w:proofErr w:type="gramStart"/>
      <w:r w:rsidRPr="00667B89">
        <w:rPr>
          <w:rFonts w:asciiTheme="majorBidi" w:hAnsiTheme="majorBidi" w:cstheme="majorBidi"/>
          <w:i/>
          <w:color w:val="000000"/>
          <w:lang w:val="en-CA"/>
        </w:rPr>
        <w:t>An Allometric Perspective on the Morphological and Evolutionary Relationships between Pygmy (Pan Paniscus) and Common (Pan troglodytes) Chimpanzees.</w:t>
      </w:r>
      <w:proofErr w:type="gramEnd"/>
      <w:r w:rsidRPr="00667B89">
        <w:rPr>
          <w:rFonts w:asciiTheme="majorBidi" w:hAnsiTheme="majorBidi" w:cstheme="majorBidi"/>
          <w:color w:val="000000"/>
          <w:lang w:val="en-CA"/>
        </w:rPr>
        <w:t xml:space="preserve">  </w:t>
      </w:r>
      <w:r w:rsidRPr="00667B89">
        <w:rPr>
          <w:rFonts w:asciiTheme="majorBidi" w:hAnsiTheme="majorBidi" w:cstheme="majorBidi"/>
          <w:i/>
          <w:color w:val="000000"/>
          <w:lang w:val="en-CA"/>
        </w:rPr>
        <w:t>In</w:t>
      </w:r>
      <w:r w:rsidRPr="00667B89">
        <w:rPr>
          <w:rFonts w:asciiTheme="majorBidi" w:hAnsiTheme="majorBidi" w:cstheme="majorBidi"/>
          <w:color w:val="000000"/>
          <w:lang w:val="en-CA"/>
        </w:rPr>
        <w:t xml:space="preserve"> The Pygmy Chimpanzee: Evolutionary Biology and Behavior.  Randall L. Susman ed. Plenum Press</w:t>
      </w:r>
      <w:r w:rsidR="003611FD">
        <w:rPr>
          <w:rFonts w:asciiTheme="majorBidi" w:hAnsiTheme="majorBidi" w:cstheme="majorBidi"/>
          <w:color w:val="000000"/>
          <w:lang w:val="en-CA"/>
        </w:rPr>
        <w:t>:</w:t>
      </w:r>
      <w:r w:rsidRPr="00667B89">
        <w:rPr>
          <w:rFonts w:asciiTheme="majorBidi" w:hAnsiTheme="majorBidi" w:cstheme="majorBidi"/>
          <w:color w:val="000000"/>
          <w:lang w:val="en-CA"/>
        </w:rPr>
        <w:t xml:space="preserve"> New York pp.98-130</w:t>
      </w:r>
      <w:r w:rsidR="003611FD">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sidRPr="00AE35DA">
        <w:rPr>
          <w:rFonts w:asciiTheme="majorBidi" w:hAnsiTheme="majorBidi" w:cstheme="majorBidi"/>
          <w:color w:val="000000"/>
          <w:lang w:val="en-CA"/>
        </w:rPr>
        <w:t>Shea</w:t>
      </w:r>
      <w:r>
        <w:rPr>
          <w:rFonts w:asciiTheme="majorBidi" w:hAnsiTheme="majorBidi" w:cstheme="majorBidi"/>
          <w:color w:val="000000"/>
          <w:lang w:val="en-CA"/>
        </w:rPr>
        <w:t>, B.T.</w:t>
      </w:r>
      <w:r w:rsidRPr="00AE35DA">
        <w:rPr>
          <w:rFonts w:asciiTheme="majorBidi" w:hAnsiTheme="majorBidi" w:cstheme="majorBidi"/>
          <w:color w:val="000000"/>
          <w:lang w:val="en-CA"/>
        </w:rPr>
        <w:t xml:space="preserve"> </w:t>
      </w:r>
      <w:r>
        <w:rPr>
          <w:rFonts w:asciiTheme="majorBidi" w:hAnsiTheme="majorBidi" w:cstheme="majorBidi"/>
          <w:color w:val="000000"/>
          <w:lang w:val="en-CA"/>
        </w:rPr>
        <w:t xml:space="preserve"> 1985.  </w:t>
      </w:r>
      <w:r w:rsidRPr="00AE35DA">
        <w:rPr>
          <w:rFonts w:asciiTheme="majorBidi" w:hAnsiTheme="majorBidi" w:cstheme="majorBidi"/>
          <w:color w:val="000000"/>
          <w:lang w:val="en-CA"/>
        </w:rPr>
        <w:t>The ontogeny of sexual</w:t>
      </w:r>
      <w:r>
        <w:rPr>
          <w:rFonts w:asciiTheme="majorBidi" w:hAnsiTheme="majorBidi" w:cstheme="majorBidi"/>
          <w:color w:val="000000"/>
          <w:lang w:val="en-CA"/>
        </w:rPr>
        <w:t xml:space="preserve"> dimorphism in the African apes.  </w:t>
      </w:r>
      <w:r w:rsidRPr="00AE35DA">
        <w:rPr>
          <w:rFonts w:asciiTheme="majorBidi" w:hAnsiTheme="majorBidi" w:cstheme="majorBidi"/>
          <w:i/>
          <w:color w:val="000000"/>
          <w:lang w:val="en-CA"/>
        </w:rPr>
        <w:t>American Journal of Primatology</w:t>
      </w:r>
      <w:r w:rsidRPr="00AE35DA">
        <w:rPr>
          <w:rFonts w:asciiTheme="majorBidi" w:hAnsiTheme="majorBidi" w:cstheme="majorBidi"/>
          <w:color w:val="000000"/>
          <w:lang w:val="en-CA"/>
        </w:rPr>
        <w:t xml:space="preserve"> 8</w:t>
      </w:r>
      <w:r>
        <w:rPr>
          <w:rFonts w:asciiTheme="majorBidi" w:hAnsiTheme="majorBidi" w:cstheme="majorBidi"/>
          <w:color w:val="000000"/>
          <w:lang w:val="en-CA"/>
        </w:rPr>
        <w:t>(</w:t>
      </w:r>
      <w:r w:rsidRPr="00AE35DA">
        <w:rPr>
          <w:rFonts w:asciiTheme="majorBidi" w:hAnsiTheme="majorBidi" w:cstheme="majorBidi"/>
          <w:color w:val="000000"/>
          <w:lang w:val="en-CA"/>
        </w:rPr>
        <w:t>2</w:t>
      </w:r>
      <w:r>
        <w:rPr>
          <w:rFonts w:asciiTheme="majorBidi" w:hAnsiTheme="majorBidi" w:cstheme="majorBidi"/>
          <w:color w:val="000000"/>
          <w:lang w:val="en-CA"/>
        </w:rPr>
        <w:t>):</w:t>
      </w:r>
      <w:r w:rsidRPr="00AE35DA">
        <w:rPr>
          <w:rFonts w:asciiTheme="majorBidi" w:hAnsiTheme="majorBidi" w:cstheme="majorBidi"/>
          <w:color w:val="000000"/>
          <w:lang w:val="en-CA"/>
        </w:rPr>
        <w:t xml:space="preserve"> 183–188</w:t>
      </w:r>
      <w:r w:rsidR="005D217A">
        <w:rPr>
          <w:rFonts w:asciiTheme="majorBidi" w:hAnsiTheme="majorBidi" w:cstheme="majorBidi"/>
          <w:color w:val="000000"/>
          <w:lang w:val="en-CA"/>
        </w:rPr>
        <w:t>.</w:t>
      </w:r>
    </w:p>
    <w:p w:rsidR="00A35CA0" w:rsidRDefault="00CC3C93" w:rsidP="00CA5FBB">
      <w:pPr>
        <w:tabs>
          <w:tab w:val="left" w:pos="360"/>
        </w:tabs>
        <w:spacing w:before="120" w:line="240" w:lineRule="auto"/>
        <w:jc w:val="left"/>
        <w:rPr>
          <w:noProof/>
          <w:color w:val="000000"/>
        </w:rPr>
      </w:pPr>
      <w:r w:rsidRPr="00C736C8">
        <w:rPr>
          <w:noProof/>
          <w:color w:val="000000"/>
        </w:rPr>
        <w:t xml:space="preserve">Shea, B.T.  1989.  Heterochrony in human evolution: The case for neoteny reconsidered. </w:t>
      </w:r>
      <w:r w:rsidRPr="00C736C8">
        <w:rPr>
          <w:i/>
          <w:noProof/>
          <w:color w:val="000000"/>
        </w:rPr>
        <w:t>Yearbook of Physical Anthropology</w:t>
      </w:r>
      <w:r w:rsidRPr="00C736C8">
        <w:rPr>
          <w:noProof/>
          <w:color w:val="000000"/>
        </w:rPr>
        <w:t xml:space="preserve"> 32(S10): 69–101</w:t>
      </w:r>
      <w:r w:rsidR="005D217A">
        <w:rPr>
          <w:noProof/>
          <w:color w:val="000000"/>
        </w:rPr>
        <w:t>.</w:t>
      </w:r>
    </w:p>
    <w:p w:rsidR="00A35CA0" w:rsidRDefault="00CC3C93" w:rsidP="00CA5FBB">
      <w:pPr>
        <w:spacing w:before="120" w:line="240" w:lineRule="auto"/>
        <w:jc w:val="left"/>
        <w:rPr>
          <w:rFonts w:asciiTheme="majorBidi" w:hAnsiTheme="majorBidi" w:cstheme="majorBidi"/>
          <w:color w:val="000000"/>
          <w:lang w:val="en-CA"/>
        </w:rPr>
      </w:pPr>
      <w:r w:rsidRPr="00AD15C8">
        <w:rPr>
          <w:rFonts w:asciiTheme="majorBidi" w:hAnsiTheme="majorBidi" w:cstheme="majorBidi"/>
          <w:color w:val="000000"/>
          <w:lang w:val="en-CA"/>
        </w:rPr>
        <w:t>Shea</w:t>
      </w:r>
      <w:r>
        <w:rPr>
          <w:rFonts w:asciiTheme="majorBidi" w:hAnsiTheme="majorBidi" w:cstheme="majorBidi"/>
          <w:color w:val="000000"/>
          <w:lang w:val="en-CA"/>
        </w:rPr>
        <w:t xml:space="preserve">, B.T.  1992.  </w:t>
      </w:r>
      <w:r w:rsidRPr="00AD15C8">
        <w:rPr>
          <w:rFonts w:asciiTheme="majorBidi" w:hAnsiTheme="majorBidi" w:cstheme="majorBidi"/>
          <w:color w:val="000000"/>
          <w:lang w:val="en-CA"/>
        </w:rPr>
        <w:t xml:space="preserve"> Developmental perspective on size change and allometry in evolution</w:t>
      </w:r>
      <w:r>
        <w:rPr>
          <w:rFonts w:asciiTheme="majorBidi" w:hAnsiTheme="majorBidi" w:cstheme="majorBidi"/>
          <w:color w:val="000000"/>
          <w:lang w:val="en-CA"/>
        </w:rPr>
        <w:t xml:space="preserve">.  </w:t>
      </w:r>
      <w:r w:rsidRPr="00AD15C8">
        <w:rPr>
          <w:rFonts w:asciiTheme="majorBidi" w:hAnsiTheme="majorBidi" w:cstheme="majorBidi"/>
          <w:i/>
          <w:color w:val="000000"/>
          <w:lang w:val="en-CA"/>
        </w:rPr>
        <w:t>Evolutionary Anthropology</w:t>
      </w:r>
      <w:r w:rsidRPr="00AD15C8">
        <w:rPr>
          <w:rFonts w:asciiTheme="majorBidi" w:hAnsiTheme="majorBidi" w:cstheme="majorBidi"/>
          <w:color w:val="000000"/>
          <w:lang w:val="en-CA"/>
        </w:rPr>
        <w:t xml:space="preserve"> 1</w:t>
      </w:r>
      <w:r>
        <w:rPr>
          <w:rFonts w:asciiTheme="majorBidi" w:hAnsiTheme="majorBidi" w:cstheme="majorBidi"/>
          <w:color w:val="000000"/>
          <w:lang w:val="en-CA"/>
        </w:rPr>
        <w:t>(</w:t>
      </w:r>
      <w:r w:rsidRPr="00AD15C8">
        <w:rPr>
          <w:rFonts w:asciiTheme="majorBidi" w:hAnsiTheme="majorBidi" w:cstheme="majorBidi"/>
          <w:color w:val="000000"/>
          <w:lang w:val="en-CA"/>
        </w:rPr>
        <w:t>4</w:t>
      </w:r>
      <w:r>
        <w:rPr>
          <w:rFonts w:asciiTheme="majorBidi" w:hAnsiTheme="majorBidi" w:cstheme="majorBidi"/>
          <w:color w:val="000000"/>
          <w:lang w:val="en-CA"/>
        </w:rPr>
        <w:t>):</w:t>
      </w:r>
      <w:r w:rsidRPr="00AD15C8">
        <w:rPr>
          <w:rFonts w:asciiTheme="majorBidi" w:hAnsiTheme="majorBidi" w:cstheme="majorBidi"/>
          <w:color w:val="000000"/>
          <w:lang w:val="en-CA"/>
        </w:rPr>
        <w:t xml:space="preserve"> 125–134</w:t>
      </w:r>
      <w:r w:rsidR="005D217A">
        <w:rPr>
          <w:rFonts w:asciiTheme="majorBidi" w:hAnsiTheme="majorBidi" w:cstheme="majorBidi"/>
          <w:color w:val="000000"/>
          <w:lang w:val="en-CA"/>
        </w:rPr>
        <w:t>.</w:t>
      </w:r>
    </w:p>
    <w:p w:rsidR="00A35CA0" w:rsidRDefault="00CC3C93" w:rsidP="00CA5FBB">
      <w:pPr>
        <w:spacing w:before="120" w:line="240" w:lineRule="auto"/>
        <w:jc w:val="left"/>
        <w:rPr>
          <w:noProof/>
        </w:rPr>
      </w:pPr>
      <w:r w:rsidRPr="00147C67">
        <w:rPr>
          <w:noProof/>
        </w:rPr>
        <w:t xml:space="preserve">Shigehara, N. </w:t>
      </w:r>
      <w:r>
        <w:rPr>
          <w:noProof/>
        </w:rPr>
        <w:t xml:space="preserve"> </w:t>
      </w:r>
      <w:r w:rsidRPr="00147C67">
        <w:rPr>
          <w:noProof/>
        </w:rPr>
        <w:t xml:space="preserve">1980. </w:t>
      </w:r>
      <w:r>
        <w:rPr>
          <w:noProof/>
        </w:rPr>
        <w:t xml:space="preserve"> </w:t>
      </w:r>
      <w:r w:rsidRPr="00147C67">
        <w:rPr>
          <w:noProof/>
        </w:rPr>
        <w:t>Epiphyseal union, tooth eruption, and sexual maturation in th</w:t>
      </w:r>
      <w:r>
        <w:rPr>
          <w:noProof/>
        </w:rPr>
        <w:t>e common tree shrew</w:t>
      </w:r>
      <w:r w:rsidRPr="00147C67">
        <w:rPr>
          <w:noProof/>
        </w:rPr>
        <w:t xml:space="preserve"> with reference to its systematic problem. </w:t>
      </w:r>
      <w:r>
        <w:rPr>
          <w:noProof/>
        </w:rPr>
        <w:t xml:space="preserve"> </w:t>
      </w:r>
      <w:r w:rsidRPr="00147C67">
        <w:rPr>
          <w:i/>
          <w:noProof/>
        </w:rPr>
        <w:t>Primates</w:t>
      </w:r>
      <w:r w:rsidRPr="00147C67">
        <w:rPr>
          <w:noProof/>
        </w:rPr>
        <w:t xml:space="preserve"> 21</w:t>
      </w:r>
      <w:r w:rsidR="005D217A">
        <w:rPr>
          <w:noProof/>
        </w:rPr>
        <w:t>(1)</w:t>
      </w:r>
      <w:r>
        <w:rPr>
          <w:noProof/>
        </w:rPr>
        <w:t>:1-19</w:t>
      </w:r>
      <w:r w:rsidR="005D217A">
        <w:rPr>
          <w:noProof/>
        </w:rPr>
        <w:t>.</w:t>
      </w:r>
    </w:p>
    <w:p w:rsidR="00A35CA0" w:rsidRDefault="00CC3C93" w:rsidP="00CA5FBB">
      <w:pPr>
        <w:spacing w:before="120" w:line="240" w:lineRule="auto"/>
        <w:jc w:val="left"/>
        <w:rPr>
          <w:color w:val="000000"/>
        </w:rPr>
      </w:pPr>
      <w:r w:rsidRPr="000E5933">
        <w:rPr>
          <w:color w:val="000000"/>
        </w:rPr>
        <w:t xml:space="preserve">Simpson, S.W.  Kunos, C.A.  1998. A radiographic study of the development of the human mandibular dentition. </w:t>
      </w:r>
      <w:r w:rsidRPr="000E5933">
        <w:rPr>
          <w:i/>
          <w:color w:val="000000"/>
        </w:rPr>
        <w:t>Journal of Human Evolution</w:t>
      </w:r>
      <w:r w:rsidRPr="000E5933">
        <w:rPr>
          <w:color w:val="000000"/>
        </w:rPr>
        <w:t xml:space="preserve"> 35(4-5): 479-505</w:t>
      </w:r>
      <w:r w:rsidR="000030CE">
        <w:rPr>
          <w:color w:val="000000"/>
        </w:rPr>
        <w:t>.</w:t>
      </w:r>
    </w:p>
    <w:p w:rsidR="00A35CA0" w:rsidRDefault="00CC3C93" w:rsidP="00CA5FBB">
      <w:pPr>
        <w:spacing w:before="120" w:line="240" w:lineRule="auto"/>
        <w:jc w:val="left"/>
        <w:rPr>
          <w:noProof/>
          <w:color w:val="000000"/>
        </w:rPr>
      </w:pPr>
      <w:r w:rsidRPr="00795F0A">
        <w:rPr>
          <w:noProof/>
          <w:color w:val="000000"/>
        </w:rPr>
        <w:lastRenderedPageBreak/>
        <w:t>Simpson</w:t>
      </w:r>
      <w:r>
        <w:rPr>
          <w:noProof/>
          <w:color w:val="000000"/>
        </w:rPr>
        <w:t>,</w:t>
      </w:r>
      <w:r w:rsidRPr="00795F0A">
        <w:rPr>
          <w:noProof/>
          <w:color w:val="000000"/>
        </w:rPr>
        <w:t xml:space="preserve"> S</w:t>
      </w:r>
      <w:r>
        <w:rPr>
          <w:noProof/>
          <w:color w:val="000000"/>
        </w:rPr>
        <w:t>.</w:t>
      </w:r>
      <w:r w:rsidRPr="00795F0A">
        <w:rPr>
          <w:noProof/>
          <w:color w:val="000000"/>
        </w:rPr>
        <w:t>W</w:t>
      </w:r>
      <w:r>
        <w:rPr>
          <w:noProof/>
          <w:color w:val="000000"/>
        </w:rPr>
        <w:t>.</w:t>
      </w:r>
      <w:r w:rsidRPr="00795F0A">
        <w:rPr>
          <w:noProof/>
          <w:color w:val="000000"/>
        </w:rPr>
        <w:t xml:space="preserve"> </w:t>
      </w:r>
      <w:r>
        <w:rPr>
          <w:noProof/>
          <w:color w:val="000000"/>
        </w:rPr>
        <w:t xml:space="preserve"> </w:t>
      </w:r>
      <w:r w:rsidRPr="00795F0A">
        <w:rPr>
          <w:noProof/>
          <w:color w:val="000000"/>
        </w:rPr>
        <w:t>Lovejoy</w:t>
      </w:r>
      <w:r>
        <w:rPr>
          <w:noProof/>
          <w:color w:val="000000"/>
        </w:rPr>
        <w:t>,</w:t>
      </w:r>
      <w:r w:rsidRPr="00795F0A">
        <w:rPr>
          <w:noProof/>
          <w:color w:val="000000"/>
        </w:rPr>
        <w:t xml:space="preserve"> C</w:t>
      </w:r>
      <w:r>
        <w:rPr>
          <w:noProof/>
          <w:color w:val="000000"/>
        </w:rPr>
        <w:t>.</w:t>
      </w:r>
      <w:r w:rsidRPr="00795F0A">
        <w:rPr>
          <w:noProof/>
          <w:color w:val="000000"/>
        </w:rPr>
        <w:t>O</w:t>
      </w:r>
      <w:r>
        <w:rPr>
          <w:noProof/>
          <w:color w:val="000000"/>
        </w:rPr>
        <w:t>.</w:t>
      </w:r>
      <w:r w:rsidRPr="00795F0A">
        <w:rPr>
          <w:noProof/>
          <w:color w:val="000000"/>
        </w:rPr>
        <w:t xml:space="preserve">  Meindl</w:t>
      </w:r>
      <w:r>
        <w:rPr>
          <w:noProof/>
          <w:color w:val="000000"/>
        </w:rPr>
        <w:t>,</w:t>
      </w:r>
      <w:r w:rsidRPr="00795F0A">
        <w:rPr>
          <w:noProof/>
          <w:color w:val="000000"/>
        </w:rPr>
        <w:t xml:space="preserve"> R</w:t>
      </w:r>
      <w:r>
        <w:rPr>
          <w:noProof/>
          <w:color w:val="000000"/>
        </w:rPr>
        <w:t>.</w:t>
      </w:r>
      <w:r w:rsidRPr="00795F0A">
        <w:rPr>
          <w:noProof/>
          <w:color w:val="000000"/>
        </w:rPr>
        <w:t>S</w:t>
      </w:r>
      <w:r>
        <w:rPr>
          <w:noProof/>
          <w:color w:val="000000"/>
        </w:rPr>
        <w:t>.</w:t>
      </w:r>
      <w:r w:rsidRPr="00795F0A">
        <w:rPr>
          <w:noProof/>
          <w:color w:val="000000"/>
        </w:rPr>
        <w:t xml:space="preserve"> </w:t>
      </w:r>
      <w:r>
        <w:rPr>
          <w:noProof/>
          <w:color w:val="000000"/>
        </w:rPr>
        <w:t xml:space="preserve"> </w:t>
      </w:r>
      <w:r w:rsidRPr="00795F0A">
        <w:rPr>
          <w:noProof/>
          <w:color w:val="000000"/>
        </w:rPr>
        <w:t>1992</w:t>
      </w:r>
      <w:r>
        <w:rPr>
          <w:noProof/>
          <w:color w:val="000000"/>
        </w:rPr>
        <w:t>.</w:t>
      </w:r>
      <w:r w:rsidRPr="00795F0A">
        <w:rPr>
          <w:noProof/>
          <w:color w:val="000000"/>
        </w:rPr>
        <w:t xml:space="preserve"> </w:t>
      </w:r>
      <w:r>
        <w:rPr>
          <w:noProof/>
          <w:color w:val="000000"/>
        </w:rPr>
        <w:t xml:space="preserve"> Further evidence on </w:t>
      </w:r>
      <w:r w:rsidRPr="00795F0A">
        <w:rPr>
          <w:noProof/>
          <w:color w:val="000000"/>
        </w:rPr>
        <w:t xml:space="preserve">relative </w:t>
      </w:r>
      <w:r>
        <w:rPr>
          <w:noProof/>
          <w:color w:val="000000"/>
        </w:rPr>
        <w:t>dental maturation and  somatic developmental rat</w:t>
      </w:r>
      <w:r w:rsidRPr="00795F0A">
        <w:rPr>
          <w:noProof/>
          <w:color w:val="000000"/>
        </w:rPr>
        <w:t>e in hominoids.</w:t>
      </w:r>
      <w:r>
        <w:rPr>
          <w:noProof/>
          <w:color w:val="000000"/>
        </w:rPr>
        <w:t xml:space="preserve"> </w:t>
      </w:r>
      <w:r w:rsidRPr="00795F0A">
        <w:rPr>
          <w:noProof/>
          <w:color w:val="000000"/>
        </w:rPr>
        <w:t xml:space="preserve"> </w:t>
      </w:r>
      <w:r>
        <w:rPr>
          <w:i/>
          <w:noProof/>
          <w:color w:val="000000"/>
        </w:rPr>
        <w:t>American Journal of Physical Anthropology</w:t>
      </w:r>
      <w:r w:rsidRPr="00795F0A">
        <w:rPr>
          <w:noProof/>
          <w:color w:val="000000"/>
        </w:rPr>
        <w:t xml:space="preserve"> 87</w:t>
      </w:r>
      <w:r>
        <w:rPr>
          <w:noProof/>
          <w:color w:val="000000"/>
        </w:rPr>
        <w:t>(1)</w:t>
      </w:r>
      <w:r w:rsidRPr="00795F0A">
        <w:rPr>
          <w:noProof/>
          <w:color w:val="000000"/>
        </w:rPr>
        <w:t>:</w:t>
      </w:r>
      <w:r>
        <w:rPr>
          <w:noProof/>
          <w:color w:val="000000"/>
        </w:rPr>
        <w:t xml:space="preserve"> 29-38</w:t>
      </w:r>
      <w:r w:rsidR="000030CE">
        <w:rPr>
          <w:noProof/>
          <w:color w:val="000000"/>
        </w:rPr>
        <w:t>.</w:t>
      </w:r>
    </w:p>
    <w:p w:rsidR="00A35CA0" w:rsidRDefault="00CC3C93" w:rsidP="00CA5FBB">
      <w:pPr>
        <w:tabs>
          <w:tab w:val="left" w:pos="360"/>
        </w:tabs>
        <w:spacing w:before="120" w:line="240" w:lineRule="auto"/>
        <w:jc w:val="left"/>
        <w:rPr>
          <w:rStyle w:val="citation"/>
          <w:rFonts w:asciiTheme="majorBidi" w:hAnsiTheme="majorBidi" w:cstheme="majorBidi"/>
        </w:rPr>
      </w:pPr>
      <w:proofErr w:type="gramStart"/>
      <w:r w:rsidRPr="00667B89">
        <w:rPr>
          <w:rStyle w:val="citation"/>
          <w:rFonts w:asciiTheme="majorBidi" w:hAnsiTheme="majorBidi" w:cstheme="majorBidi"/>
        </w:rPr>
        <w:t>Small, C.G.</w:t>
      </w:r>
      <w:proofErr w:type="gramEnd"/>
      <w:r w:rsidRPr="00667B89">
        <w:rPr>
          <w:rStyle w:val="citation"/>
          <w:rFonts w:asciiTheme="majorBidi" w:hAnsiTheme="majorBidi" w:cstheme="majorBidi"/>
        </w:rPr>
        <w:t xml:space="preserve">  1996.  </w:t>
      </w:r>
      <w:r w:rsidRPr="00667B89">
        <w:rPr>
          <w:rStyle w:val="citation"/>
          <w:rFonts w:asciiTheme="majorBidi" w:hAnsiTheme="majorBidi" w:cstheme="majorBidi"/>
          <w:i/>
        </w:rPr>
        <w:t>The Statistical Theory of Shape</w:t>
      </w:r>
      <w:r w:rsidRPr="00667B89">
        <w:rPr>
          <w:rStyle w:val="citation"/>
          <w:rFonts w:asciiTheme="majorBidi" w:hAnsiTheme="majorBidi" w:cstheme="majorBidi"/>
        </w:rPr>
        <w:t>. Springer: New York p.4</w:t>
      </w:r>
      <w:r w:rsidR="000030CE">
        <w:rPr>
          <w:rStyle w:val="citation"/>
          <w:rFonts w:asciiTheme="majorBidi" w:hAnsiTheme="majorBidi" w:cstheme="majorBidi"/>
        </w:rPr>
        <w:t>.</w:t>
      </w:r>
    </w:p>
    <w:p w:rsidR="00A35CA0" w:rsidRPr="00CA5FBB" w:rsidRDefault="00CC3C93" w:rsidP="00CA5FBB">
      <w:pPr>
        <w:autoSpaceDE w:val="0"/>
        <w:autoSpaceDN w:val="0"/>
        <w:adjustRightInd w:val="0"/>
        <w:spacing w:before="120" w:line="240" w:lineRule="auto"/>
        <w:jc w:val="left"/>
        <w:rPr>
          <w:rFonts w:asciiTheme="majorBidi" w:hAnsiTheme="majorBidi" w:cstheme="majorBidi"/>
          <w:color w:val="000000" w:themeColor="text1"/>
        </w:rPr>
      </w:pPr>
      <w:r w:rsidRPr="00667B89">
        <w:rPr>
          <w:rFonts w:asciiTheme="majorBidi" w:hAnsiTheme="majorBidi" w:cstheme="majorBidi"/>
        </w:rPr>
        <w:t xml:space="preserve">Smart, J. L.  1977.  Early life malnutrition and later learning ability: a critical analysis. In: </w:t>
      </w:r>
      <w:r w:rsidRPr="00667B89">
        <w:rPr>
          <w:rFonts w:asciiTheme="majorBidi" w:hAnsiTheme="majorBidi" w:cstheme="majorBidi"/>
          <w:i/>
          <w:iCs/>
        </w:rPr>
        <w:t>Genetics</w:t>
      </w:r>
      <w:r w:rsidRPr="00667B89">
        <w:rPr>
          <w:rFonts w:asciiTheme="majorBidi" w:hAnsiTheme="majorBidi" w:cstheme="majorBidi"/>
        </w:rPr>
        <w:t xml:space="preserve">, </w:t>
      </w:r>
      <w:r w:rsidRPr="00667B89">
        <w:rPr>
          <w:rFonts w:asciiTheme="majorBidi" w:hAnsiTheme="majorBidi" w:cstheme="majorBidi"/>
          <w:i/>
          <w:iCs/>
        </w:rPr>
        <w:t>Environment a</w:t>
      </w:r>
      <w:r w:rsidR="008943E4" w:rsidRPr="00CA5FBB">
        <w:rPr>
          <w:rFonts w:asciiTheme="majorBidi" w:hAnsiTheme="majorBidi" w:cstheme="majorBidi"/>
          <w:i/>
          <w:iCs/>
          <w:color w:val="000000" w:themeColor="text1"/>
        </w:rPr>
        <w:t>nd</w:t>
      </w:r>
      <w:r w:rsidR="008943E4" w:rsidRPr="00CA5FBB">
        <w:rPr>
          <w:rFonts w:asciiTheme="majorBidi" w:hAnsiTheme="majorBidi" w:cstheme="majorBidi"/>
          <w:color w:val="000000" w:themeColor="text1"/>
        </w:rPr>
        <w:t xml:space="preserve"> </w:t>
      </w:r>
      <w:r w:rsidR="008943E4" w:rsidRPr="00CA5FBB">
        <w:rPr>
          <w:rFonts w:asciiTheme="majorBidi" w:hAnsiTheme="majorBidi" w:cstheme="majorBidi"/>
          <w:i/>
          <w:iCs/>
          <w:color w:val="000000" w:themeColor="text1"/>
        </w:rPr>
        <w:t xml:space="preserve">Intelligence.  </w:t>
      </w:r>
      <w:proofErr w:type="gramStart"/>
      <w:r w:rsidR="008943E4" w:rsidRPr="00CA5FBB">
        <w:rPr>
          <w:rFonts w:asciiTheme="majorBidi" w:hAnsiTheme="majorBidi" w:cstheme="majorBidi"/>
          <w:color w:val="000000" w:themeColor="text1"/>
        </w:rPr>
        <w:t>Oliviero, A.</w:t>
      </w:r>
      <w:proofErr w:type="gramEnd"/>
      <w:r w:rsidR="008943E4" w:rsidRPr="00CA5FBB">
        <w:rPr>
          <w:rFonts w:asciiTheme="majorBidi" w:hAnsiTheme="majorBidi" w:cstheme="majorBidi"/>
          <w:color w:val="000000" w:themeColor="text1"/>
        </w:rPr>
        <w:t xml:space="preserve">  Ed.  pp. 215-235. Elsevier: Amsterdam</w:t>
      </w:r>
      <w:r w:rsidR="000030CE">
        <w:rPr>
          <w:rFonts w:asciiTheme="majorBidi" w:hAnsiTheme="majorBidi" w:cstheme="majorBidi"/>
          <w:color w:val="000000" w:themeColor="text1"/>
        </w:rPr>
        <w:t>.</w:t>
      </w:r>
    </w:p>
    <w:p w:rsidR="00A35CA0" w:rsidRPr="00CA5FBB" w:rsidRDefault="008943E4" w:rsidP="00CA5FBB">
      <w:pPr>
        <w:autoSpaceDE w:val="0"/>
        <w:autoSpaceDN w:val="0"/>
        <w:adjustRightInd w:val="0"/>
        <w:spacing w:before="120" w:line="240" w:lineRule="auto"/>
        <w:jc w:val="left"/>
        <w:rPr>
          <w:rFonts w:asciiTheme="majorBidi" w:hAnsiTheme="majorBidi" w:cstheme="majorBidi"/>
          <w:color w:val="000000" w:themeColor="text1"/>
        </w:rPr>
      </w:pPr>
      <w:r w:rsidRPr="00CA5FBB">
        <w:rPr>
          <w:rFonts w:asciiTheme="majorBidi" w:hAnsiTheme="majorBidi" w:cstheme="majorBidi"/>
          <w:color w:val="000000" w:themeColor="text1"/>
        </w:rPr>
        <w:t xml:space="preserve">Smart, J. L.  1986.  Undernutrition, learning and memory: review of experimental studies. In: </w:t>
      </w:r>
      <w:r w:rsidRPr="00CA5FBB">
        <w:rPr>
          <w:rFonts w:asciiTheme="majorBidi" w:hAnsiTheme="majorBidi" w:cstheme="majorBidi"/>
          <w:i/>
          <w:iCs/>
          <w:color w:val="000000" w:themeColor="text1"/>
        </w:rPr>
        <w:t>Proceedings of XIII</w:t>
      </w:r>
      <w:r w:rsidRPr="00CA5FBB">
        <w:rPr>
          <w:rFonts w:asciiTheme="majorBidi" w:hAnsiTheme="majorBidi" w:cstheme="majorBidi"/>
          <w:color w:val="000000" w:themeColor="text1"/>
        </w:rPr>
        <w:t xml:space="preserve"> </w:t>
      </w:r>
      <w:r w:rsidRPr="00CA5FBB">
        <w:rPr>
          <w:rFonts w:asciiTheme="majorBidi" w:hAnsiTheme="majorBidi" w:cstheme="majorBidi"/>
          <w:i/>
          <w:iCs/>
          <w:color w:val="000000" w:themeColor="text1"/>
        </w:rPr>
        <w:t>International Congress of</w:t>
      </w:r>
      <w:r w:rsidR="00FA44CD">
        <w:rPr>
          <w:rFonts w:asciiTheme="majorBidi" w:hAnsiTheme="majorBidi" w:cstheme="majorBidi"/>
          <w:i/>
          <w:iCs/>
          <w:color w:val="000000" w:themeColor="text1"/>
        </w:rPr>
        <w:t xml:space="preserve"> </w:t>
      </w:r>
      <w:r w:rsidRPr="00CA5FBB">
        <w:rPr>
          <w:rFonts w:asciiTheme="majorBidi" w:hAnsiTheme="majorBidi" w:cstheme="majorBidi"/>
          <w:i/>
          <w:iCs/>
          <w:color w:val="000000" w:themeColor="text1"/>
        </w:rPr>
        <w:t xml:space="preserve">Nutrition. </w:t>
      </w:r>
      <w:r w:rsidRPr="00CA5FBB">
        <w:rPr>
          <w:rFonts w:asciiTheme="majorBidi" w:hAnsiTheme="majorBidi" w:cstheme="majorBidi"/>
          <w:color w:val="000000" w:themeColor="text1"/>
        </w:rPr>
        <w:t xml:space="preserve"> </w:t>
      </w:r>
      <w:proofErr w:type="gramStart"/>
      <w:r w:rsidRPr="00CA5FBB">
        <w:rPr>
          <w:rFonts w:asciiTheme="majorBidi" w:hAnsiTheme="majorBidi" w:cstheme="majorBidi"/>
          <w:color w:val="000000" w:themeColor="text1"/>
        </w:rPr>
        <w:t>Taylor, T. G. and Jenkins, N. K.</w:t>
      </w:r>
      <w:proofErr w:type="gramEnd"/>
      <w:r w:rsidRPr="00CA5FBB">
        <w:rPr>
          <w:rFonts w:asciiTheme="majorBidi" w:hAnsiTheme="majorBidi" w:cstheme="majorBidi"/>
          <w:color w:val="000000" w:themeColor="text1"/>
        </w:rPr>
        <w:t xml:space="preserve">  </w:t>
      </w:r>
      <w:r w:rsidR="000030CE">
        <w:rPr>
          <w:rFonts w:asciiTheme="majorBidi" w:hAnsiTheme="majorBidi" w:cstheme="majorBidi"/>
          <w:color w:val="000000" w:themeColor="text1"/>
        </w:rPr>
        <w:t>(</w:t>
      </w:r>
      <w:proofErr w:type="gramStart"/>
      <w:r w:rsidR="000030CE">
        <w:rPr>
          <w:rFonts w:asciiTheme="majorBidi" w:hAnsiTheme="majorBidi" w:cstheme="majorBidi"/>
          <w:color w:val="000000" w:themeColor="text1"/>
        </w:rPr>
        <w:t>eds</w:t>
      </w:r>
      <w:proofErr w:type="gramEnd"/>
      <w:r w:rsidR="000030CE">
        <w:rPr>
          <w:rFonts w:asciiTheme="majorBidi" w:hAnsiTheme="majorBidi" w:cstheme="majorBidi"/>
          <w:color w:val="000000" w:themeColor="text1"/>
        </w:rPr>
        <w:t xml:space="preserve">.) </w:t>
      </w:r>
      <w:r w:rsidRPr="00CA5FBB">
        <w:rPr>
          <w:rFonts w:asciiTheme="majorBidi" w:hAnsiTheme="majorBidi" w:cstheme="majorBidi"/>
          <w:color w:val="000000" w:themeColor="text1"/>
        </w:rPr>
        <w:t xml:space="preserve"> John Libbey: London</w:t>
      </w:r>
      <w:r w:rsidR="000030CE">
        <w:rPr>
          <w:rFonts w:asciiTheme="majorBidi" w:hAnsiTheme="majorBidi" w:cstheme="majorBidi"/>
          <w:color w:val="000000" w:themeColor="text1"/>
        </w:rPr>
        <w:t>.</w:t>
      </w:r>
      <w:r w:rsidRPr="00CA5FBB">
        <w:rPr>
          <w:rFonts w:asciiTheme="majorBidi" w:hAnsiTheme="majorBidi" w:cstheme="majorBidi"/>
          <w:color w:val="000000" w:themeColor="text1"/>
        </w:rPr>
        <w:t xml:space="preserve">  pp. 74-78.</w:t>
      </w:r>
    </w:p>
    <w:p w:rsidR="00A35CA0" w:rsidRPr="00CA5FBB" w:rsidRDefault="008943E4" w:rsidP="00CA5FBB">
      <w:pPr>
        <w:tabs>
          <w:tab w:val="left" w:pos="360"/>
        </w:tabs>
        <w:spacing w:before="120" w:line="240" w:lineRule="auto"/>
        <w:jc w:val="left"/>
        <w:rPr>
          <w:noProof/>
          <w:color w:val="000000" w:themeColor="text1"/>
        </w:rPr>
      </w:pPr>
      <w:r w:rsidRPr="00CA5FBB">
        <w:rPr>
          <w:noProof/>
          <w:color w:val="000000" w:themeColor="text1"/>
        </w:rPr>
        <w:t xml:space="preserve">Smirthwaite, J.J.  Rundle, S.D. Bininda-Emonds, O.R.P  Spicer, J.I.  2007.  An integrative approach identifies developmental sequence heterochronies in freshwater basommatophoran snails.  </w:t>
      </w:r>
      <w:r w:rsidRPr="00CA5FBB">
        <w:rPr>
          <w:i/>
          <w:noProof/>
          <w:color w:val="000000" w:themeColor="text1"/>
        </w:rPr>
        <w:t>Evolution &amp; Development</w:t>
      </w:r>
      <w:r w:rsidRPr="00CA5FBB">
        <w:rPr>
          <w:noProof/>
          <w:color w:val="000000" w:themeColor="text1"/>
        </w:rPr>
        <w:t xml:space="preserve"> 9(2): 122–130</w:t>
      </w:r>
      <w:r w:rsidR="00F617D9">
        <w:rPr>
          <w:noProof/>
          <w:color w:val="000000" w:themeColor="text1"/>
        </w:rPr>
        <w:t>.</w:t>
      </w:r>
    </w:p>
    <w:p w:rsidR="00A35CA0" w:rsidRDefault="00CC3C93" w:rsidP="00CA5FBB">
      <w:pPr>
        <w:spacing w:before="120" w:line="240" w:lineRule="auto"/>
        <w:jc w:val="left"/>
        <w:rPr>
          <w:noProof/>
          <w:color w:val="000000" w:themeColor="text1"/>
        </w:rPr>
      </w:pPr>
      <w:r w:rsidRPr="00CC3C93">
        <w:rPr>
          <w:noProof/>
          <w:color w:val="000000" w:themeColor="text1"/>
        </w:rPr>
        <w:t xml:space="preserve">Smith, A.R.  Butler, T.M.  Pace, N.  1975. Weight growth of colony-reared chimpanzees. </w:t>
      </w:r>
      <w:r w:rsidRPr="00CC3C93">
        <w:rPr>
          <w:i/>
          <w:noProof/>
          <w:color w:val="000000" w:themeColor="text1"/>
        </w:rPr>
        <w:t>Folia Primatologica</w:t>
      </w:r>
      <w:r w:rsidRPr="00CC3C93">
        <w:rPr>
          <w:noProof/>
          <w:color w:val="000000" w:themeColor="text1"/>
        </w:rPr>
        <w:t xml:space="preserve"> 24(1): 29-59</w:t>
      </w:r>
      <w:r w:rsidR="00F617D9">
        <w:rPr>
          <w:noProof/>
          <w:color w:val="000000" w:themeColor="text1"/>
        </w:rPr>
        <w:t>.</w:t>
      </w:r>
    </w:p>
    <w:p w:rsidR="00A35CA0" w:rsidRDefault="008943E4" w:rsidP="00CA5FBB">
      <w:pPr>
        <w:autoSpaceDE w:val="0"/>
        <w:autoSpaceDN w:val="0"/>
        <w:adjustRightInd w:val="0"/>
        <w:spacing w:before="120" w:line="240" w:lineRule="auto"/>
        <w:jc w:val="left"/>
        <w:rPr>
          <w:rFonts w:asciiTheme="majorBidi" w:hAnsiTheme="majorBidi" w:cstheme="majorBidi"/>
        </w:rPr>
      </w:pPr>
      <w:r w:rsidRPr="00CA5FBB">
        <w:rPr>
          <w:rFonts w:asciiTheme="majorBidi" w:hAnsiTheme="majorBidi" w:cstheme="majorBidi"/>
          <w:color w:val="000000" w:themeColor="text1"/>
        </w:rPr>
        <w:t xml:space="preserve">Smith, B.H.  1991.  Standards of human tooth formation and dental age assessment. In: Kelley, M.A.  Spencer </w:t>
      </w:r>
      <w:r w:rsidR="00CC3C93">
        <w:rPr>
          <w:rFonts w:asciiTheme="majorBidi" w:hAnsiTheme="majorBidi" w:cstheme="majorBidi"/>
        </w:rPr>
        <w:t xml:space="preserve">Larsen, C. (eds.) </w:t>
      </w:r>
      <w:r w:rsidR="00CC3C93" w:rsidRPr="00695C98">
        <w:rPr>
          <w:rFonts w:asciiTheme="majorBidi" w:hAnsiTheme="majorBidi" w:cstheme="majorBidi"/>
          <w:i/>
        </w:rPr>
        <w:t>Advances in Dental Anthropology</w:t>
      </w:r>
      <w:r w:rsidR="00CC3C93">
        <w:rPr>
          <w:rFonts w:asciiTheme="majorBidi" w:hAnsiTheme="majorBidi" w:cstheme="majorBidi"/>
        </w:rPr>
        <w:t>. Wiley-Liss: New York, pp. 143-168</w:t>
      </w:r>
      <w:r w:rsidR="00F617D9">
        <w:rPr>
          <w:rFonts w:asciiTheme="majorBidi" w:hAnsiTheme="majorBidi" w:cstheme="majorBidi"/>
        </w:rPr>
        <w:t>.</w:t>
      </w:r>
    </w:p>
    <w:p w:rsidR="00A35CA0" w:rsidRDefault="00CC3C93" w:rsidP="00CA5FBB">
      <w:pPr>
        <w:autoSpaceDE w:val="0"/>
        <w:autoSpaceDN w:val="0"/>
        <w:adjustRightInd w:val="0"/>
        <w:spacing w:before="120" w:line="240" w:lineRule="auto"/>
        <w:jc w:val="left"/>
        <w:rPr>
          <w:rFonts w:asciiTheme="majorBidi" w:eastAsia="NewCenturySchlbk-Roman" w:hAnsiTheme="majorBidi" w:cstheme="majorBidi"/>
          <w:color w:val="000000"/>
        </w:rPr>
      </w:pPr>
      <w:r w:rsidRPr="00667B89">
        <w:rPr>
          <w:rFonts w:asciiTheme="majorBidi" w:eastAsia="NewCenturySchlbk-Roman" w:hAnsiTheme="majorBidi" w:cstheme="majorBidi"/>
          <w:color w:val="000000"/>
        </w:rPr>
        <w:t xml:space="preserve">Smith B.H.  1993.  The physiological age of KNM-WT 15000. In: Walker A, Leakey R, editors. </w:t>
      </w:r>
      <w:proofErr w:type="gramStart"/>
      <w:r w:rsidRPr="00667B89">
        <w:rPr>
          <w:rFonts w:asciiTheme="majorBidi" w:eastAsia="NewCenturySchlbk-Roman" w:hAnsiTheme="majorBidi" w:cstheme="majorBidi"/>
          <w:i/>
          <w:color w:val="000000"/>
        </w:rPr>
        <w:t>The Nariokotome Homo erectus skeleton</w:t>
      </w:r>
      <w:r w:rsidRPr="00667B89">
        <w:rPr>
          <w:rFonts w:asciiTheme="majorBidi" w:eastAsia="NewCenturySchlbk-Roman" w:hAnsiTheme="majorBidi" w:cstheme="majorBidi"/>
          <w:color w:val="000000"/>
        </w:rPr>
        <w:t>.</w:t>
      </w:r>
      <w:proofErr w:type="gramEnd"/>
      <w:r w:rsidRPr="00667B89">
        <w:rPr>
          <w:rFonts w:asciiTheme="majorBidi" w:eastAsia="NewCenturySchlbk-Roman" w:hAnsiTheme="majorBidi" w:cstheme="majorBidi"/>
          <w:color w:val="000000"/>
        </w:rPr>
        <w:t xml:space="preserve"> Cambridge, MA: Harvard University Press. pp 195–220.</w:t>
      </w:r>
    </w:p>
    <w:p w:rsidR="00A35CA0" w:rsidRDefault="00CC3C93" w:rsidP="00CA5FBB">
      <w:pPr>
        <w:spacing w:before="120" w:line="240" w:lineRule="auto"/>
        <w:jc w:val="left"/>
        <w:rPr>
          <w:rFonts w:asciiTheme="majorBidi" w:hAnsiTheme="majorBidi" w:cstheme="majorBidi"/>
          <w:i/>
          <w:color w:val="000000"/>
          <w:lang w:val="en-CA"/>
        </w:rPr>
      </w:pPr>
      <w:r w:rsidRPr="007072A3">
        <w:rPr>
          <w:rFonts w:asciiTheme="majorBidi" w:hAnsiTheme="majorBidi" w:cstheme="majorBidi"/>
          <w:color w:val="000000"/>
          <w:lang w:val="en-CA"/>
        </w:rPr>
        <w:t>Smith,</w:t>
      </w:r>
      <w:r>
        <w:rPr>
          <w:rFonts w:asciiTheme="majorBidi" w:hAnsiTheme="majorBidi" w:cstheme="majorBidi"/>
          <w:color w:val="000000"/>
          <w:lang w:val="en-CA"/>
        </w:rPr>
        <w:t xml:space="preserve"> B</w:t>
      </w:r>
      <w:proofErr w:type="gramStart"/>
      <w:r>
        <w:rPr>
          <w:rFonts w:asciiTheme="majorBidi" w:hAnsiTheme="majorBidi" w:cstheme="majorBidi"/>
          <w:color w:val="000000"/>
          <w:lang w:val="en-CA"/>
        </w:rPr>
        <w:t>,H</w:t>
      </w:r>
      <w:proofErr w:type="gramEnd"/>
      <w:r>
        <w:rPr>
          <w:rFonts w:asciiTheme="majorBidi" w:hAnsiTheme="majorBidi" w:cstheme="majorBidi"/>
          <w:color w:val="000000"/>
          <w:lang w:val="en-CA"/>
        </w:rPr>
        <w:t xml:space="preserve">, </w:t>
      </w:r>
      <w:r w:rsidRPr="007072A3">
        <w:rPr>
          <w:rFonts w:asciiTheme="majorBidi" w:hAnsiTheme="majorBidi" w:cstheme="majorBidi"/>
          <w:color w:val="000000"/>
          <w:lang w:val="en-CA"/>
        </w:rPr>
        <w:t>Crummett,</w:t>
      </w:r>
      <w:r>
        <w:rPr>
          <w:rFonts w:asciiTheme="majorBidi" w:hAnsiTheme="majorBidi" w:cstheme="majorBidi"/>
          <w:color w:val="000000"/>
          <w:lang w:val="en-CA"/>
        </w:rPr>
        <w:t xml:space="preserve"> T.L.  </w:t>
      </w:r>
      <w:r w:rsidRPr="007072A3">
        <w:rPr>
          <w:rFonts w:asciiTheme="majorBidi" w:hAnsiTheme="majorBidi" w:cstheme="majorBidi"/>
          <w:color w:val="000000"/>
          <w:lang w:val="en-CA"/>
        </w:rPr>
        <w:t>Brandt</w:t>
      </w:r>
      <w:r>
        <w:rPr>
          <w:rFonts w:asciiTheme="majorBidi" w:hAnsiTheme="majorBidi" w:cstheme="majorBidi"/>
          <w:color w:val="000000"/>
          <w:lang w:val="en-CA"/>
        </w:rPr>
        <w:t xml:space="preserve">, K.L.  1994.  </w:t>
      </w:r>
      <w:r w:rsidRPr="007072A3">
        <w:rPr>
          <w:rFonts w:asciiTheme="majorBidi" w:hAnsiTheme="majorBidi" w:cstheme="majorBidi"/>
          <w:color w:val="000000"/>
          <w:lang w:val="en-CA"/>
        </w:rPr>
        <w:t>Ages of eruption of primate teeth: A compendium for aging individuals and comparing life histories</w:t>
      </w:r>
      <w:r>
        <w:rPr>
          <w:rFonts w:asciiTheme="majorBidi" w:hAnsiTheme="majorBidi" w:cstheme="majorBidi"/>
          <w:color w:val="000000"/>
          <w:lang w:val="en-CA"/>
        </w:rPr>
        <w:t xml:space="preserve">.  </w:t>
      </w:r>
      <w:r w:rsidRPr="007072A3">
        <w:rPr>
          <w:rFonts w:asciiTheme="majorBidi" w:hAnsiTheme="majorBidi" w:cstheme="majorBidi"/>
          <w:i/>
          <w:color w:val="000000"/>
          <w:lang w:val="en-CA"/>
        </w:rPr>
        <w:t>American Journal of Physical Anthropology</w:t>
      </w:r>
    </w:p>
    <w:p w:rsidR="00A35CA0" w:rsidRDefault="00CC3C93" w:rsidP="00CA5FBB">
      <w:pPr>
        <w:spacing w:before="120" w:line="240" w:lineRule="auto"/>
        <w:jc w:val="left"/>
        <w:rPr>
          <w:rFonts w:asciiTheme="majorBidi" w:hAnsiTheme="majorBidi" w:cstheme="majorBidi"/>
          <w:color w:val="000000"/>
          <w:lang w:val="en-CA"/>
        </w:rPr>
      </w:pPr>
      <w:r w:rsidRPr="007072A3">
        <w:rPr>
          <w:rFonts w:asciiTheme="majorBidi" w:hAnsiTheme="majorBidi" w:cstheme="majorBidi"/>
          <w:i/>
          <w:color w:val="000000"/>
          <w:lang w:val="en-CA"/>
        </w:rPr>
        <w:t>Supplement: The American Journal of Physical Anthropology Yearbook Series</w:t>
      </w:r>
      <w:r w:rsidRPr="007072A3">
        <w:rPr>
          <w:rFonts w:asciiTheme="majorBidi" w:hAnsiTheme="majorBidi" w:cstheme="majorBidi"/>
          <w:color w:val="000000"/>
          <w:lang w:val="en-CA"/>
        </w:rPr>
        <w:t xml:space="preserve"> 37</w:t>
      </w:r>
      <w:r>
        <w:rPr>
          <w:rFonts w:asciiTheme="majorBidi" w:hAnsiTheme="majorBidi" w:cstheme="majorBidi"/>
          <w:color w:val="000000"/>
          <w:lang w:val="en-CA"/>
        </w:rPr>
        <w:t>(</w:t>
      </w:r>
      <w:r w:rsidRPr="007072A3">
        <w:rPr>
          <w:rFonts w:asciiTheme="majorBidi" w:hAnsiTheme="majorBidi" w:cstheme="majorBidi"/>
          <w:color w:val="000000"/>
          <w:lang w:val="en-CA"/>
        </w:rPr>
        <w:t>S19</w:t>
      </w:r>
      <w:r>
        <w:rPr>
          <w:rFonts w:asciiTheme="majorBidi" w:hAnsiTheme="majorBidi" w:cstheme="majorBidi"/>
          <w:color w:val="000000"/>
          <w:lang w:val="en-CA"/>
        </w:rPr>
        <w:t xml:space="preserve">): </w:t>
      </w:r>
      <w:r w:rsidRPr="007072A3">
        <w:rPr>
          <w:rFonts w:asciiTheme="majorBidi" w:hAnsiTheme="majorBidi" w:cstheme="majorBidi"/>
          <w:color w:val="000000"/>
          <w:lang w:val="en-CA"/>
        </w:rPr>
        <w:t>177–231</w:t>
      </w:r>
      <w:r w:rsidR="00F617D9">
        <w:rPr>
          <w:rFonts w:asciiTheme="majorBidi" w:hAnsiTheme="majorBidi" w:cstheme="majorBidi"/>
          <w:color w:val="000000"/>
          <w:lang w:val="en-CA"/>
        </w:rPr>
        <w:t>.</w:t>
      </w:r>
    </w:p>
    <w:p w:rsidR="00A35CA0" w:rsidRDefault="00CC3C93" w:rsidP="00CA5FBB">
      <w:pPr>
        <w:pStyle w:val="ListParagraph"/>
        <w:spacing w:before="120" w:line="240" w:lineRule="auto"/>
        <w:ind w:left="0"/>
        <w:jc w:val="left"/>
        <w:rPr>
          <w:color w:val="000000" w:themeColor="text1"/>
        </w:rPr>
      </w:pPr>
      <w:r w:rsidRPr="00503854">
        <w:rPr>
          <w:color w:val="000000" w:themeColor="text1"/>
        </w:rPr>
        <w:t xml:space="preserve">Smith, B.H.  Garn, S.M.  1987.  Polymorphisms in eruption sequence of permanent teeth in American children.  </w:t>
      </w:r>
      <w:r w:rsidRPr="00503854">
        <w:rPr>
          <w:i/>
          <w:color w:val="000000" w:themeColor="text1"/>
        </w:rPr>
        <w:t>American Journal of Physical Anthropology</w:t>
      </w:r>
      <w:r w:rsidRPr="00503854">
        <w:rPr>
          <w:color w:val="000000" w:themeColor="text1"/>
        </w:rPr>
        <w:t xml:space="preserve"> 74(3): 289–303</w:t>
      </w:r>
      <w:r w:rsidR="00F617D9">
        <w:rPr>
          <w:color w:val="000000" w:themeColor="text1"/>
        </w:rPr>
        <w:t>.</w:t>
      </w:r>
    </w:p>
    <w:p w:rsidR="00A35CA0" w:rsidRDefault="00CC3C93" w:rsidP="00CA5FBB">
      <w:pPr>
        <w:spacing w:before="120" w:line="240" w:lineRule="auto"/>
        <w:jc w:val="left"/>
        <w:rPr>
          <w:noProof/>
          <w:color w:val="000000"/>
        </w:rPr>
      </w:pPr>
      <w:r w:rsidRPr="00A811FB">
        <w:rPr>
          <w:noProof/>
          <w:color w:val="000000"/>
        </w:rPr>
        <w:t xml:space="preserve">Smith, B.H.  Boesch, C.  2011.  Mortality and the magnitude of the‘‘wild effect’’ in chimpanzee tooth emergence.  </w:t>
      </w:r>
      <w:r w:rsidRPr="00A811FB">
        <w:rPr>
          <w:i/>
          <w:noProof/>
          <w:color w:val="000000"/>
        </w:rPr>
        <w:t>Journal of Human Evolution</w:t>
      </w:r>
      <w:r w:rsidRPr="00A811FB">
        <w:rPr>
          <w:noProof/>
          <w:color w:val="000000"/>
        </w:rPr>
        <w:t xml:space="preserve"> 60</w:t>
      </w:r>
      <w:r>
        <w:rPr>
          <w:noProof/>
          <w:color w:val="000000"/>
        </w:rPr>
        <w:t>(1)</w:t>
      </w:r>
      <w:r w:rsidRPr="00A811FB">
        <w:rPr>
          <w:noProof/>
          <w:color w:val="000000"/>
        </w:rPr>
        <w:t>:</w:t>
      </w:r>
      <w:r w:rsidR="00F617D9">
        <w:rPr>
          <w:noProof/>
          <w:color w:val="000000"/>
        </w:rPr>
        <w:t xml:space="preserve"> </w:t>
      </w:r>
      <w:r w:rsidRPr="00A811FB">
        <w:rPr>
          <w:noProof/>
          <w:color w:val="000000"/>
        </w:rPr>
        <w:t>34–46</w:t>
      </w:r>
      <w:r w:rsidR="00F617D9">
        <w:rPr>
          <w:noProof/>
          <w:color w:val="000000"/>
        </w:rPr>
        <w:t>.</w:t>
      </w:r>
    </w:p>
    <w:p w:rsidR="00A35CA0" w:rsidRDefault="00CC3C93" w:rsidP="00CA5FBB">
      <w:pPr>
        <w:spacing w:before="120" w:line="240" w:lineRule="auto"/>
        <w:jc w:val="left"/>
        <w:rPr>
          <w:noProof/>
          <w:color w:val="000000"/>
        </w:rPr>
      </w:pPr>
      <w:r w:rsidRPr="000E7B68">
        <w:rPr>
          <w:noProof/>
          <w:color w:val="000000"/>
        </w:rPr>
        <w:t xml:space="preserve">Smith, C.B.  Garn, S.M.  1987.  Polymorphisms in eruption sequence of permanent teeth of American Children.  </w:t>
      </w:r>
      <w:r w:rsidRPr="000E7B68">
        <w:rPr>
          <w:i/>
          <w:noProof/>
          <w:color w:val="000000"/>
        </w:rPr>
        <w:t>American Journal of Physical Anthropology</w:t>
      </w:r>
      <w:r w:rsidRPr="000E7B68">
        <w:rPr>
          <w:noProof/>
          <w:color w:val="000000"/>
        </w:rPr>
        <w:t xml:space="preserve"> 74(3): 289-303</w:t>
      </w:r>
      <w:r w:rsidR="00F617D9">
        <w:rPr>
          <w:noProof/>
          <w:color w:val="000000"/>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Smith, K.K.  1997.  Comparative patterns of craniofacial development in eutherian and metatherian mammals.  </w:t>
      </w:r>
      <w:r w:rsidRPr="00667B89">
        <w:rPr>
          <w:rFonts w:asciiTheme="majorBidi" w:hAnsiTheme="majorBidi" w:cstheme="majorBidi"/>
          <w:i/>
          <w:iCs/>
        </w:rPr>
        <w:t xml:space="preserve">Evolution </w:t>
      </w:r>
      <w:r w:rsidRPr="00667B89">
        <w:rPr>
          <w:rFonts w:asciiTheme="majorBidi" w:hAnsiTheme="majorBidi" w:cstheme="majorBidi"/>
          <w:bCs/>
        </w:rPr>
        <w:t>51</w:t>
      </w:r>
      <w:r w:rsidR="00F617D9">
        <w:rPr>
          <w:rFonts w:asciiTheme="majorBidi" w:hAnsiTheme="majorBidi" w:cstheme="majorBidi"/>
          <w:bCs/>
        </w:rPr>
        <w:t>(5)</w:t>
      </w:r>
      <w:r w:rsidRPr="00667B89">
        <w:rPr>
          <w:rFonts w:asciiTheme="majorBidi" w:hAnsiTheme="majorBidi" w:cstheme="majorBidi"/>
          <w:bCs/>
        </w:rPr>
        <w:t xml:space="preserve">: </w:t>
      </w:r>
      <w:r w:rsidRPr="00667B89">
        <w:rPr>
          <w:rFonts w:asciiTheme="majorBidi" w:hAnsiTheme="majorBidi" w:cstheme="majorBidi"/>
        </w:rPr>
        <w:t>1663–1678</w:t>
      </w:r>
      <w:r w:rsidRPr="00667B89">
        <w:rPr>
          <w:rFonts w:asciiTheme="majorBidi" w:hAnsiTheme="majorBidi" w:cstheme="majorBidi"/>
          <w:noProof/>
          <w:color w:val="000000" w:themeColor="text1"/>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Smith, K. K.  2001. Heterochrony revisited: the evolution of developmental sequences. </w:t>
      </w:r>
      <w:r w:rsidRPr="00667B89">
        <w:rPr>
          <w:rFonts w:asciiTheme="majorBidi" w:hAnsiTheme="majorBidi" w:cstheme="majorBidi"/>
          <w:i/>
        </w:rPr>
        <w:t>Biological Journal of the Li</w:t>
      </w:r>
      <w:r w:rsidR="00F617D9">
        <w:rPr>
          <w:rFonts w:asciiTheme="majorBidi" w:hAnsiTheme="majorBidi" w:cstheme="majorBidi"/>
          <w:i/>
        </w:rPr>
        <w:t>n</w:t>
      </w:r>
      <w:r w:rsidRPr="00667B89">
        <w:rPr>
          <w:rFonts w:asciiTheme="majorBidi" w:hAnsiTheme="majorBidi" w:cstheme="majorBidi"/>
          <w:i/>
        </w:rPr>
        <w:t>nean Society</w:t>
      </w:r>
      <w:r w:rsidRPr="00667B89">
        <w:rPr>
          <w:rFonts w:asciiTheme="majorBidi" w:hAnsiTheme="majorBidi" w:cstheme="majorBidi"/>
        </w:rPr>
        <w:t xml:space="preserve"> 73</w:t>
      </w:r>
      <w:r w:rsidR="00F617D9">
        <w:rPr>
          <w:rFonts w:asciiTheme="majorBidi" w:hAnsiTheme="majorBidi" w:cstheme="majorBidi"/>
        </w:rPr>
        <w:t>(2)</w:t>
      </w:r>
      <w:r w:rsidRPr="00667B89">
        <w:rPr>
          <w:rFonts w:asciiTheme="majorBidi" w:hAnsiTheme="majorBidi" w:cstheme="majorBidi"/>
        </w:rPr>
        <w:t>: 169–186.</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Smith, K. K.  2002. Sequence heterochrony and the evolution of development. </w:t>
      </w:r>
      <w:r w:rsidRPr="00667B89">
        <w:rPr>
          <w:rFonts w:asciiTheme="majorBidi" w:hAnsiTheme="majorBidi" w:cstheme="majorBidi"/>
          <w:i/>
        </w:rPr>
        <w:t>Journal of Morphology</w:t>
      </w:r>
      <w:r w:rsidRPr="00667B89">
        <w:rPr>
          <w:rFonts w:asciiTheme="majorBidi" w:hAnsiTheme="majorBidi" w:cstheme="majorBidi"/>
        </w:rPr>
        <w:t xml:space="preserve"> 252</w:t>
      </w:r>
      <w:r w:rsidR="00776A16">
        <w:rPr>
          <w:rFonts w:asciiTheme="majorBidi" w:hAnsiTheme="majorBidi" w:cstheme="majorBidi"/>
        </w:rPr>
        <w:t>(1)</w:t>
      </w:r>
      <w:r w:rsidRPr="00667B89">
        <w:rPr>
          <w:rFonts w:asciiTheme="majorBidi" w:hAnsiTheme="majorBidi" w:cstheme="majorBidi"/>
        </w:rPr>
        <w:t>: 82–97.</w:t>
      </w:r>
    </w:p>
    <w:p w:rsidR="00A35CA0" w:rsidRDefault="00CC3C93" w:rsidP="00CA5FBB">
      <w:pPr>
        <w:autoSpaceDE w:val="0"/>
        <w:autoSpaceDN w:val="0"/>
        <w:adjustRightInd w:val="0"/>
        <w:spacing w:before="120" w:line="240" w:lineRule="auto"/>
        <w:jc w:val="left"/>
        <w:rPr>
          <w:rFonts w:asciiTheme="majorBidi" w:eastAsia="NewCenturySchlbk-Roman" w:hAnsiTheme="majorBidi" w:cstheme="majorBidi"/>
          <w:color w:val="000000"/>
        </w:rPr>
      </w:pPr>
      <w:r w:rsidRPr="00667B89">
        <w:rPr>
          <w:rFonts w:asciiTheme="majorBidi" w:hAnsiTheme="majorBidi" w:cstheme="majorBidi"/>
          <w:color w:val="000000"/>
        </w:rPr>
        <w:t xml:space="preserve">Smith, S.L.  2004.  Skeletal age, dental age, and the maturation of KNM-WT 15000.  </w:t>
      </w:r>
      <w:r w:rsidRPr="00667B89">
        <w:rPr>
          <w:rFonts w:asciiTheme="majorBidi" w:hAnsiTheme="majorBidi" w:cstheme="majorBidi"/>
          <w:i/>
          <w:color w:val="000000"/>
        </w:rPr>
        <w:t>American Journal of Physical Anthropology</w:t>
      </w:r>
      <w:r>
        <w:rPr>
          <w:rFonts w:asciiTheme="majorBidi" w:hAnsiTheme="majorBidi" w:cstheme="majorBidi"/>
          <w:color w:val="000000"/>
        </w:rPr>
        <w:t xml:space="preserve"> 125(</w:t>
      </w:r>
      <w:r w:rsidRPr="00667B89">
        <w:rPr>
          <w:rFonts w:asciiTheme="majorBidi" w:hAnsiTheme="majorBidi" w:cstheme="majorBidi"/>
          <w:color w:val="000000"/>
        </w:rPr>
        <w:t>2</w:t>
      </w:r>
      <w:r>
        <w:rPr>
          <w:rFonts w:asciiTheme="majorBidi" w:hAnsiTheme="majorBidi" w:cstheme="majorBidi"/>
          <w:color w:val="000000"/>
        </w:rPr>
        <w:t>)</w:t>
      </w:r>
      <w:r w:rsidRPr="00667B89">
        <w:rPr>
          <w:rFonts w:asciiTheme="majorBidi" w:hAnsiTheme="majorBidi" w:cstheme="majorBidi"/>
          <w:color w:val="000000"/>
        </w:rPr>
        <w:t>:</w:t>
      </w:r>
      <w:r>
        <w:rPr>
          <w:rFonts w:asciiTheme="majorBidi" w:hAnsiTheme="majorBidi" w:cstheme="majorBidi"/>
          <w:color w:val="000000"/>
        </w:rPr>
        <w:t xml:space="preserve"> </w:t>
      </w:r>
      <w:r w:rsidRPr="00667B89">
        <w:rPr>
          <w:rFonts w:asciiTheme="majorBidi" w:hAnsiTheme="majorBidi" w:cstheme="majorBidi"/>
          <w:color w:val="000000"/>
        </w:rPr>
        <w:t>105-120</w:t>
      </w:r>
      <w:r w:rsidR="009F4BDC">
        <w:rPr>
          <w:rFonts w:asciiTheme="majorBidi" w:hAnsiTheme="majorBidi" w:cstheme="majorBidi"/>
          <w:color w:val="000000"/>
        </w:rPr>
        <w:t>.</w:t>
      </w:r>
    </w:p>
    <w:p w:rsidR="00A35CA0" w:rsidRDefault="00CC3C93" w:rsidP="00CA5FBB">
      <w:pPr>
        <w:pStyle w:val="ListParagraph"/>
        <w:spacing w:before="120" w:line="240" w:lineRule="auto"/>
        <w:ind w:left="0"/>
        <w:jc w:val="left"/>
        <w:rPr>
          <w:noProof/>
        </w:rPr>
      </w:pPr>
      <w:r>
        <w:rPr>
          <w:noProof/>
        </w:rPr>
        <w:t>Smith</w:t>
      </w:r>
      <w:r w:rsidRPr="00AB5AB6">
        <w:rPr>
          <w:noProof/>
        </w:rPr>
        <w:t>,</w:t>
      </w:r>
      <w:r>
        <w:rPr>
          <w:noProof/>
        </w:rPr>
        <w:t xml:space="preserve"> S.L.</w:t>
      </w:r>
      <w:r w:rsidRPr="00AB5AB6">
        <w:rPr>
          <w:noProof/>
        </w:rPr>
        <w:t xml:space="preserve"> </w:t>
      </w:r>
      <w:r>
        <w:rPr>
          <w:noProof/>
        </w:rPr>
        <w:t xml:space="preserve"> </w:t>
      </w:r>
      <w:r w:rsidRPr="00AB5AB6">
        <w:rPr>
          <w:noProof/>
        </w:rPr>
        <w:t>Buschang</w:t>
      </w:r>
      <w:r>
        <w:rPr>
          <w:noProof/>
        </w:rPr>
        <w:t xml:space="preserve">, P.H.  2005.  </w:t>
      </w:r>
      <w:r w:rsidRPr="00AB5AB6">
        <w:rPr>
          <w:noProof/>
        </w:rPr>
        <w:t xml:space="preserve"> Longitudinal models of long bone growth during adolescence</w:t>
      </w:r>
      <w:r>
        <w:rPr>
          <w:noProof/>
        </w:rPr>
        <w:t xml:space="preserve">.  </w:t>
      </w:r>
      <w:r w:rsidRPr="00AB5AB6">
        <w:rPr>
          <w:i/>
          <w:noProof/>
        </w:rPr>
        <w:t>American Journal of Human Biology</w:t>
      </w:r>
      <w:r>
        <w:rPr>
          <w:noProof/>
        </w:rPr>
        <w:t xml:space="preserve"> </w:t>
      </w:r>
      <w:r w:rsidRPr="00AB5AB6">
        <w:rPr>
          <w:noProof/>
        </w:rPr>
        <w:t>17</w:t>
      </w:r>
      <w:r>
        <w:rPr>
          <w:noProof/>
        </w:rPr>
        <w:t>(</w:t>
      </w:r>
      <w:r w:rsidRPr="00AB5AB6">
        <w:rPr>
          <w:noProof/>
        </w:rPr>
        <w:t>6</w:t>
      </w:r>
      <w:r>
        <w:rPr>
          <w:noProof/>
        </w:rPr>
        <w:t>):</w:t>
      </w:r>
      <w:r w:rsidRPr="00AB5AB6">
        <w:rPr>
          <w:noProof/>
        </w:rPr>
        <w:t xml:space="preserve"> 731–745</w:t>
      </w:r>
      <w:r w:rsidR="002F1307">
        <w:rPr>
          <w:noProof/>
        </w:rPr>
        <w:t>.</w:t>
      </w:r>
    </w:p>
    <w:p w:rsidR="00A35CA0" w:rsidRDefault="00CC3C93" w:rsidP="00CA5FBB">
      <w:pPr>
        <w:spacing w:before="120" w:line="240" w:lineRule="auto"/>
        <w:jc w:val="left"/>
        <w:rPr>
          <w:noProof/>
          <w:color w:val="000000" w:themeColor="text1"/>
        </w:rPr>
      </w:pPr>
      <w:r w:rsidRPr="00AE3E5E">
        <w:rPr>
          <w:noProof/>
          <w:color w:val="000000" w:themeColor="text1"/>
        </w:rPr>
        <w:t>Smith, T.M.  Reid, D.J.  Dean, M.C.  Olejniczak, A.J.  Martin, L.B.  2007.  Molar development in common chimpanzees (</w:t>
      </w:r>
      <w:r w:rsidRPr="00AE3E5E">
        <w:rPr>
          <w:i/>
          <w:noProof/>
          <w:color w:val="000000" w:themeColor="text1"/>
        </w:rPr>
        <w:t>Pan troglodytes</w:t>
      </w:r>
      <w:r w:rsidRPr="00AE3E5E">
        <w:rPr>
          <w:noProof/>
          <w:color w:val="000000" w:themeColor="text1"/>
        </w:rPr>
        <w:t xml:space="preserve">).  </w:t>
      </w:r>
      <w:r w:rsidRPr="00AE3E5E">
        <w:rPr>
          <w:i/>
          <w:noProof/>
          <w:color w:val="000000" w:themeColor="text1"/>
        </w:rPr>
        <w:t xml:space="preserve">Journal of Human Evolution  </w:t>
      </w:r>
      <w:r w:rsidRPr="00AE3E5E">
        <w:rPr>
          <w:noProof/>
          <w:color w:val="000000" w:themeColor="text1"/>
        </w:rPr>
        <w:t>52(2): 201–216</w:t>
      </w:r>
      <w:r w:rsidR="002F1307">
        <w:rPr>
          <w:noProof/>
          <w:color w:val="000000" w:themeColor="text1"/>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 xml:space="preserve">Smith, T.M.  Smith, B.H.  </w:t>
      </w:r>
      <w:r w:rsidRPr="00667B89">
        <w:rPr>
          <w:rFonts w:asciiTheme="majorBidi" w:hAnsiTheme="majorBidi" w:cstheme="majorBidi"/>
          <w:color w:val="000000"/>
          <w:lang w:val="nl-NL"/>
        </w:rPr>
        <w:t xml:space="preserve">Reid, D.J.  Siedel, H.  </w:t>
      </w:r>
      <w:r w:rsidRPr="00667B89">
        <w:rPr>
          <w:rFonts w:asciiTheme="majorBidi" w:hAnsiTheme="majorBidi" w:cstheme="majorBidi"/>
          <w:color w:val="000000"/>
          <w:lang w:val="fr-CA"/>
        </w:rPr>
        <w:t xml:space="preserve">Vigilant, L.  Hublin, J.J.  </w:t>
      </w:r>
      <w:r w:rsidRPr="00667B89">
        <w:rPr>
          <w:rFonts w:asciiTheme="majorBidi" w:hAnsiTheme="majorBidi" w:cstheme="majorBidi"/>
          <w:color w:val="000000"/>
          <w:lang w:val="en-CA"/>
        </w:rPr>
        <w:t xml:space="preserve">Boesch, C.  2010.  Dental development of the Tai Forest chimpanzees revisited.  </w:t>
      </w:r>
      <w:r w:rsidRPr="00667B89">
        <w:rPr>
          <w:rFonts w:asciiTheme="majorBidi" w:hAnsiTheme="majorBidi" w:cstheme="majorBidi"/>
          <w:i/>
          <w:color w:val="000000"/>
          <w:lang w:val="en-CA"/>
        </w:rPr>
        <w:t>Journal of Human Evolution</w:t>
      </w:r>
      <w:r w:rsidRPr="00667B89">
        <w:rPr>
          <w:rFonts w:asciiTheme="majorBidi" w:hAnsiTheme="majorBidi" w:cstheme="majorBidi"/>
          <w:color w:val="000000"/>
          <w:lang w:val="en-CA"/>
        </w:rPr>
        <w:t xml:space="preserve"> 58</w:t>
      </w:r>
      <w:r>
        <w:rPr>
          <w:rFonts w:asciiTheme="majorBidi" w:hAnsiTheme="majorBidi" w:cstheme="majorBidi"/>
          <w:color w:val="000000"/>
          <w:lang w:val="en-CA"/>
        </w:rPr>
        <w:t>(5)</w:t>
      </w:r>
      <w:r w:rsidRPr="00667B89">
        <w:rPr>
          <w:rFonts w:asciiTheme="majorBidi" w:hAnsiTheme="majorBidi" w:cstheme="majorBidi"/>
          <w:color w:val="000000"/>
          <w:lang w:val="en-CA"/>
        </w:rPr>
        <w:t>:363-373</w:t>
      </w:r>
      <w:r w:rsidR="002F1307">
        <w:rPr>
          <w:rFonts w:asciiTheme="majorBidi" w:hAnsiTheme="majorBidi" w:cstheme="majorBidi"/>
          <w:color w:val="000000"/>
          <w:lang w:val="en-CA"/>
        </w:rPr>
        <w:t>.</w:t>
      </w:r>
    </w:p>
    <w:p w:rsidR="00A35CA0" w:rsidRDefault="00CC3C93" w:rsidP="00CA5FBB">
      <w:pPr>
        <w:spacing w:before="120" w:line="240" w:lineRule="auto"/>
        <w:jc w:val="left"/>
        <w:rPr>
          <w:noProof/>
          <w:color w:val="000000"/>
        </w:rPr>
      </w:pPr>
      <w:r w:rsidRPr="004326A6">
        <w:rPr>
          <w:noProof/>
          <w:color w:val="000000"/>
        </w:rPr>
        <w:lastRenderedPageBreak/>
        <w:t>Smith, T.M.  Machanda, Z.  Bernard, A.B.  Donovan, R.M.  Papakyrikos, A.M.  Muller, M.N.  Wrangham, R.  2013.  First molar eruption, weaning, and life history in living wild chimp</w:t>
      </w:r>
      <w:r w:rsidR="008943E4" w:rsidRPr="00CA5FBB">
        <w:rPr>
          <w:noProof/>
          <w:color w:val="000000" w:themeColor="text1"/>
        </w:rPr>
        <w:t xml:space="preserve">anzees.  </w:t>
      </w:r>
      <w:r w:rsidR="008943E4" w:rsidRPr="00CA5FBB">
        <w:rPr>
          <w:i/>
          <w:noProof/>
          <w:color w:val="000000" w:themeColor="text1"/>
        </w:rPr>
        <w:t xml:space="preserve">Proceedings of the National Academy of Sciences </w:t>
      </w:r>
      <w:r w:rsidR="002F1307" w:rsidRPr="007D3F98">
        <w:rPr>
          <w:i/>
          <w:noProof/>
          <w:color w:val="000000" w:themeColor="text1"/>
        </w:rPr>
        <w:t>of the United States of America</w:t>
      </w:r>
      <w:r w:rsidR="002F1307" w:rsidRPr="002F1307">
        <w:rPr>
          <w:noProof/>
          <w:color w:val="000000" w:themeColor="text1"/>
        </w:rPr>
        <w:t xml:space="preserve"> 110</w:t>
      </w:r>
      <w:r w:rsidR="002F1307">
        <w:rPr>
          <w:noProof/>
          <w:color w:val="000000" w:themeColor="text1"/>
        </w:rPr>
        <w:t>(</w:t>
      </w:r>
      <w:r w:rsidR="002F1307" w:rsidRPr="002F1307">
        <w:rPr>
          <w:noProof/>
          <w:color w:val="000000" w:themeColor="text1"/>
        </w:rPr>
        <w:t>8</w:t>
      </w:r>
      <w:r w:rsidR="002F1307">
        <w:rPr>
          <w:noProof/>
          <w:color w:val="000000" w:themeColor="text1"/>
        </w:rPr>
        <w:t>):</w:t>
      </w:r>
      <w:r w:rsidR="002F1307" w:rsidRPr="002F1307">
        <w:rPr>
          <w:noProof/>
          <w:color w:val="000000" w:themeColor="text1"/>
        </w:rPr>
        <w:t xml:space="preserve"> 2787</w:t>
      </w:r>
      <w:r w:rsidR="002F1307">
        <w:rPr>
          <w:noProof/>
          <w:color w:val="000000" w:themeColor="text1"/>
        </w:rPr>
        <w:t>-</w:t>
      </w:r>
      <w:r w:rsidR="002F1307" w:rsidRPr="002F1307">
        <w:rPr>
          <w:noProof/>
          <w:color w:val="000000" w:themeColor="text1"/>
        </w:rPr>
        <w:t>2791</w:t>
      </w:r>
      <w:r w:rsidR="002F1307">
        <w:rPr>
          <w:noProof/>
          <w:color w:val="000000" w:themeColor="text1"/>
        </w:rPr>
        <w:t>.</w:t>
      </w:r>
    </w:p>
    <w:p w:rsidR="00A35CA0" w:rsidRDefault="00CC3C93" w:rsidP="00CA5FBB">
      <w:pPr>
        <w:tabs>
          <w:tab w:val="left" w:pos="360"/>
        </w:tabs>
        <w:spacing w:before="120" w:line="240" w:lineRule="auto"/>
        <w:jc w:val="left"/>
        <w:rPr>
          <w:rFonts w:asciiTheme="majorBidi" w:hAnsiTheme="majorBidi" w:cstheme="majorBidi"/>
          <w:noProof/>
          <w:color w:val="000000"/>
        </w:rPr>
      </w:pPr>
      <w:r w:rsidRPr="00667B89">
        <w:rPr>
          <w:rFonts w:asciiTheme="majorBidi" w:hAnsiTheme="majorBidi" w:cstheme="majorBidi"/>
          <w:noProof/>
          <w:color w:val="000000"/>
        </w:rPr>
        <w:t xml:space="preserve">Smith, R.N.  1969.  Fusion of Ossification Centres in the Cat.  </w:t>
      </w:r>
      <w:r w:rsidRPr="00667B89">
        <w:rPr>
          <w:rFonts w:asciiTheme="majorBidi" w:hAnsiTheme="majorBidi" w:cstheme="majorBidi"/>
          <w:i/>
          <w:noProof/>
          <w:color w:val="000000"/>
        </w:rPr>
        <w:t>Journal of Small Animal Practice</w:t>
      </w:r>
      <w:r>
        <w:rPr>
          <w:rFonts w:asciiTheme="majorBidi" w:hAnsiTheme="majorBidi" w:cstheme="majorBidi"/>
          <w:noProof/>
          <w:color w:val="000000"/>
        </w:rPr>
        <w:t xml:space="preserve"> 10</w:t>
      </w:r>
      <w:r w:rsidR="009E7F71">
        <w:rPr>
          <w:rFonts w:asciiTheme="majorBidi" w:hAnsiTheme="majorBidi" w:cstheme="majorBidi"/>
          <w:noProof/>
          <w:color w:val="000000"/>
        </w:rPr>
        <w:t>(</w:t>
      </w:r>
      <w:r>
        <w:rPr>
          <w:rFonts w:asciiTheme="majorBidi" w:hAnsiTheme="majorBidi" w:cstheme="majorBidi"/>
          <w:noProof/>
          <w:color w:val="000000"/>
        </w:rPr>
        <w:t>9</w:t>
      </w:r>
      <w:r w:rsidR="009E7F71">
        <w:rPr>
          <w:rFonts w:asciiTheme="majorBidi" w:hAnsiTheme="majorBidi" w:cstheme="majorBidi"/>
          <w:noProof/>
          <w:color w:val="000000"/>
        </w:rPr>
        <w:t>)</w:t>
      </w:r>
      <w:r>
        <w:rPr>
          <w:rFonts w:asciiTheme="majorBidi" w:hAnsiTheme="majorBidi" w:cstheme="majorBidi"/>
          <w:noProof/>
          <w:color w:val="000000"/>
        </w:rPr>
        <w:t>: 523-530.</w:t>
      </w:r>
    </w:p>
    <w:p w:rsidR="00A35CA0" w:rsidRDefault="00CC3C93" w:rsidP="00CA5FBB">
      <w:pPr>
        <w:spacing w:before="120" w:line="240" w:lineRule="auto"/>
        <w:ind w:left="45"/>
        <w:jc w:val="left"/>
        <w:rPr>
          <w:rFonts w:asciiTheme="majorBidi" w:hAnsiTheme="majorBidi" w:cstheme="majorBidi"/>
          <w:color w:val="000000" w:themeColor="text1"/>
          <w:lang w:val="en-CA"/>
        </w:rPr>
      </w:pPr>
      <w:r w:rsidRPr="00FC2D89">
        <w:rPr>
          <w:rFonts w:asciiTheme="majorBidi" w:hAnsiTheme="majorBidi" w:cstheme="majorBidi"/>
          <w:color w:val="000000" w:themeColor="text1"/>
          <w:lang w:val="en-CA"/>
        </w:rPr>
        <w:t xml:space="preserve">Stanford, C.B.  1999.  </w:t>
      </w:r>
      <w:r w:rsidRPr="00FC2D89">
        <w:rPr>
          <w:rFonts w:asciiTheme="majorBidi" w:hAnsiTheme="majorBidi" w:cstheme="majorBidi"/>
          <w:i/>
          <w:color w:val="000000" w:themeColor="text1"/>
          <w:lang w:val="en-CA"/>
        </w:rPr>
        <w:t>The Hunting Apes: Meat Eating and the Origins of Human Behavior</w:t>
      </w:r>
      <w:r w:rsidRPr="00FC2D89">
        <w:rPr>
          <w:rFonts w:asciiTheme="majorBidi" w:hAnsiTheme="majorBidi" w:cstheme="majorBidi"/>
          <w:color w:val="000000" w:themeColor="text1"/>
          <w:lang w:val="en-CA"/>
        </w:rPr>
        <w:t>.  Princeton University Press</w:t>
      </w:r>
      <w:r w:rsidR="00AC484D">
        <w:rPr>
          <w:rFonts w:asciiTheme="majorBidi" w:hAnsiTheme="majorBidi" w:cstheme="majorBidi"/>
          <w:color w:val="000000" w:themeColor="text1"/>
          <w:lang w:val="en-CA"/>
        </w:rPr>
        <w:t>:</w:t>
      </w:r>
      <w:r w:rsidRPr="00FC2D89">
        <w:rPr>
          <w:rFonts w:asciiTheme="majorBidi" w:hAnsiTheme="majorBidi" w:cstheme="majorBidi"/>
          <w:color w:val="000000" w:themeColor="text1"/>
          <w:lang w:val="en-CA"/>
        </w:rPr>
        <w:t xml:space="preserve"> New Jersey.</w:t>
      </w:r>
    </w:p>
    <w:p w:rsidR="00A35CA0" w:rsidRDefault="00CC3C93" w:rsidP="00CA5FBB">
      <w:pPr>
        <w:tabs>
          <w:tab w:val="left" w:pos="360"/>
        </w:tabs>
        <w:spacing w:before="120" w:line="240" w:lineRule="auto"/>
        <w:jc w:val="left"/>
        <w:rPr>
          <w:noProof/>
          <w:color w:val="000000" w:themeColor="text1"/>
        </w:rPr>
      </w:pPr>
      <w:r>
        <w:rPr>
          <w:noProof/>
          <w:color w:val="000000" w:themeColor="text1"/>
        </w:rPr>
        <w:t xml:space="preserve">Steele, J.  Mays, S.  1995.  </w:t>
      </w:r>
      <w:r w:rsidRPr="00FE304A">
        <w:rPr>
          <w:noProof/>
          <w:color w:val="000000" w:themeColor="text1"/>
        </w:rPr>
        <w:t>Hande</w:t>
      </w:r>
      <w:r>
        <w:rPr>
          <w:noProof/>
          <w:color w:val="000000" w:themeColor="text1"/>
        </w:rPr>
        <w:t xml:space="preserve">dness and Directional Asymmetry in the Long Bones of the Human </w:t>
      </w:r>
      <w:r w:rsidRPr="00FE304A">
        <w:rPr>
          <w:noProof/>
          <w:color w:val="000000" w:themeColor="text1"/>
        </w:rPr>
        <w:t>Upper Limb</w:t>
      </w:r>
      <w:r>
        <w:rPr>
          <w:noProof/>
          <w:color w:val="000000" w:themeColor="text1"/>
        </w:rPr>
        <w:t xml:space="preserve">.  </w:t>
      </w:r>
      <w:r w:rsidRPr="00FE304A">
        <w:rPr>
          <w:i/>
          <w:noProof/>
          <w:color w:val="000000" w:themeColor="text1"/>
        </w:rPr>
        <w:t>International Journal of Osteoarchaeology</w:t>
      </w:r>
      <w:r w:rsidRPr="00FE304A">
        <w:rPr>
          <w:noProof/>
          <w:color w:val="000000" w:themeColor="text1"/>
        </w:rPr>
        <w:t xml:space="preserve"> 5</w:t>
      </w:r>
      <w:r>
        <w:rPr>
          <w:noProof/>
          <w:color w:val="000000" w:themeColor="text1"/>
        </w:rPr>
        <w:t>(1)</w:t>
      </w:r>
      <w:r w:rsidRPr="00FE304A">
        <w:rPr>
          <w:noProof/>
          <w:color w:val="000000" w:themeColor="text1"/>
        </w:rPr>
        <w:t>: 39-49</w:t>
      </w:r>
      <w:r w:rsidR="00AC484D">
        <w:rPr>
          <w:noProof/>
          <w:color w:val="000000" w:themeColor="text1"/>
        </w:rPr>
        <w:t>.</w:t>
      </w:r>
    </w:p>
    <w:p w:rsidR="00A35CA0" w:rsidRDefault="00CC3C93" w:rsidP="00CA5FBB">
      <w:pPr>
        <w:spacing w:before="120" w:line="240" w:lineRule="auto"/>
        <w:jc w:val="left"/>
        <w:rPr>
          <w:rFonts w:asciiTheme="majorBidi" w:hAnsiTheme="majorBidi" w:cstheme="majorBidi"/>
          <w:color w:val="000000" w:themeColor="text1"/>
          <w:lang w:val="en-GB"/>
        </w:rPr>
      </w:pPr>
      <w:r w:rsidRPr="00FC2D89">
        <w:rPr>
          <w:rFonts w:asciiTheme="majorBidi" w:hAnsiTheme="majorBidi" w:cstheme="majorBidi"/>
          <w:color w:val="000000" w:themeColor="text1"/>
          <w:lang w:val="nl-NL"/>
        </w:rPr>
        <w:t xml:space="preserve">Stevens, D. </w:t>
      </w:r>
      <w:r>
        <w:rPr>
          <w:rFonts w:asciiTheme="majorBidi" w:hAnsiTheme="majorBidi" w:cstheme="majorBidi"/>
          <w:color w:val="000000" w:themeColor="text1"/>
          <w:lang w:val="nl-NL"/>
        </w:rPr>
        <w:t xml:space="preserve"> </w:t>
      </w:r>
      <w:r w:rsidRPr="00652522">
        <w:rPr>
          <w:rFonts w:asciiTheme="majorBidi" w:hAnsiTheme="majorBidi" w:cstheme="majorBidi"/>
          <w:color w:val="000000" w:themeColor="text1"/>
          <w:lang w:val="nl-NL"/>
        </w:rPr>
        <w:t xml:space="preserve">Boyer, B.  Bowen, C.  </w:t>
      </w:r>
      <w:proofErr w:type="gramStart"/>
      <w:r w:rsidRPr="00652522">
        <w:rPr>
          <w:rFonts w:asciiTheme="majorBidi" w:hAnsiTheme="majorBidi" w:cstheme="majorBidi"/>
          <w:color w:val="000000" w:themeColor="text1"/>
          <w:lang w:val="en-GB"/>
        </w:rPr>
        <w:t>Vaughan, A.</w:t>
      </w:r>
      <w:proofErr w:type="gramEnd"/>
      <w:r w:rsidRPr="00652522">
        <w:rPr>
          <w:rFonts w:asciiTheme="majorBidi" w:hAnsiTheme="majorBidi" w:cstheme="majorBidi"/>
          <w:color w:val="000000" w:themeColor="text1"/>
          <w:lang w:val="en-GB"/>
        </w:rPr>
        <w:t xml:space="preserve">  1999.  </w:t>
      </w:r>
      <w:r w:rsidRPr="00FC2D89">
        <w:rPr>
          <w:rFonts w:asciiTheme="majorBidi" w:hAnsiTheme="majorBidi" w:cstheme="majorBidi"/>
          <w:color w:val="000000" w:themeColor="text1"/>
          <w:lang w:val="en-GB"/>
        </w:rPr>
        <w:t>Transplantation of Epiphyseal Plate A</w:t>
      </w:r>
      <w:r>
        <w:rPr>
          <w:rFonts w:asciiTheme="majorBidi" w:hAnsiTheme="majorBidi" w:cstheme="majorBidi"/>
          <w:color w:val="000000" w:themeColor="text1"/>
          <w:lang w:val="en-GB"/>
        </w:rPr>
        <w:t xml:space="preserve">llografts </w:t>
      </w:r>
      <w:proofErr w:type="gramStart"/>
      <w:r>
        <w:rPr>
          <w:rFonts w:asciiTheme="majorBidi" w:hAnsiTheme="majorBidi" w:cstheme="majorBidi"/>
          <w:color w:val="000000" w:themeColor="text1"/>
          <w:lang w:val="en-GB"/>
        </w:rPr>
        <w:t>Between</w:t>
      </w:r>
      <w:proofErr w:type="gramEnd"/>
      <w:r>
        <w:rPr>
          <w:rFonts w:asciiTheme="majorBidi" w:hAnsiTheme="majorBidi" w:cstheme="majorBidi"/>
          <w:color w:val="000000" w:themeColor="text1"/>
          <w:lang w:val="en-GB"/>
        </w:rPr>
        <w:t xml:space="preserve"> Animals of Different Ages.  </w:t>
      </w:r>
      <w:r>
        <w:rPr>
          <w:rFonts w:asciiTheme="majorBidi" w:hAnsiTheme="majorBidi" w:cstheme="majorBidi"/>
          <w:i/>
          <w:iCs/>
          <w:color w:val="000000" w:themeColor="text1"/>
          <w:lang w:val="en-GB"/>
        </w:rPr>
        <w:t>Journal of Pediatric Orthopeadics</w:t>
      </w:r>
      <w:r>
        <w:rPr>
          <w:rFonts w:asciiTheme="majorBidi" w:hAnsiTheme="majorBidi" w:cstheme="majorBidi"/>
          <w:color w:val="000000" w:themeColor="text1"/>
          <w:lang w:val="en-GB"/>
        </w:rPr>
        <w:t xml:space="preserve"> 19(3): 398-403</w:t>
      </w:r>
      <w:r w:rsidR="00AC484D">
        <w:rPr>
          <w:rFonts w:asciiTheme="majorBidi" w:hAnsiTheme="majorBidi" w:cstheme="majorBidi"/>
          <w:color w:val="000000" w:themeColor="text1"/>
          <w:lang w:val="en-GB"/>
        </w:rPr>
        <w:t>.</w:t>
      </w:r>
    </w:p>
    <w:p w:rsidR="00A35CA0" w:rsidRDefault="00CC3C93" w:rsidP="00CA5FBB">
      <w:pPr>
        <w:spacing w:before="120" w:line="240" w:lineRule="auto"/>
        <w:jc w:val="left"/>
        <w:rPr>
          <w:rFonts w:asciiTheme="majorBidi" w:hAnsiTheme="majorBidi" w:cstheme="majorBidi"/>
          <w:color w:val="000000" w:themeColor="text1"/>
          <w:lang w:val="en-CA"/>
        </w:rPr>
      </w:pPr>
      <w:r w:rsidRPr="00FC2D89">
        <w:rPr>
          <w:rFonts w:asciiTheme="majorBidi" w:hAnsiTheme="majorBidi" w:cstheme="majorBidi"/>
          <w:color w:val="000000" w:themeColor="text1"/>
          <w:lang w:val="en-GB"/>
        </w:rPr>
        <w:t xml:space="preserve">Stevenson, P.H.  </w:t>
      </w:r>
      <w:r w:rsidRPr="00FC2D89">
        <w:rPr>
          <w:rFonts w:asciiTheme="majorBidi" w:hAnsiTheme="majorBidi" w:cstheme="majorBidi"/>
          <w:color w:val="000000" w:themeColor="text1"/>
          <w:lang w:val="en-CA"/>
        </w:rPr>
        <w:t xml:space="preserve">1924.  Age order of epiphyseal fusion in man.  </w:t>
      </w:r>
      <w:r w:rsidRPr="00FC2D89">
        <w:rPr>
          <w:rFonts w:asciiTheme="majorBidi" w:hAnsiTheme="majorBidi" w:cstheme="majorBidi"/>
          <w:i/>
          <w:color w:val="000000" w:themeColor="text1"/>
          <w:lang w:val="en-CA"/>
        </w:rPr>
        <w:t>American Journal of Physical Anthropology</w:t>
      </w:r>
      <w:r w:rsidRPr="00FC2D89">
        <w:rPr>
          <w:rFonts w:asciiTheme="majorBidi" w:hAnsiTheme="majorBidi" w:cstheme="majorBidi"/>
          <w:color w:val="000000" w:themeColor="text1"/>
          <w:lang w:val="en-CA"/>
        </w:rPr>
        <w:t xml:space="preserve"> 7</w:t>
      </w:r>
      <w:r w:rsidR="00AC484D">
        <w:rPr>
          <w:rFonts w:asciiTheme="majorBidi" w:hAnsiTheme="majorBidi" w:cstheme="majorBidi"/>
          <w:color w:val="000000" w:themeColor="text1"/>
          <w:lang w:val="en-CA"/>
        </w:rPr>
        <w:t>(1)</w:t>
      </w:r>
      <w:r w:rsidRPr="00FC2D89">
        <w:rPr>
          <w:rFonts w:asciiTheme="majorBidi" w:hAnsiTheme="majorBidi" w:cstheme="majorBidi"/>
          <w:color w:val="000000" w:themeColor="text1"/>
          <w:lang w:val="en-CA"/>
        </w:rPr>
        <w:t>:</w:t>
      </w:r>
      <w:r w:rsidR="00AC484D">
        <w:rPr>
          <w:rFonts w:asciiTheme="majorBidi" w:hAnsiTheme="majorBidi" w:cstheme="majorBidi"/>
          <w:color w:val="000000" w:themeColor="text1"/>
          <w:lang w:val="en-CA"/>
        </w:rPr>
        <w:t xml:space="preserve"> </w:t>
      </w:r>
      <w:r w:rsidRPr="00FC2D89">
        <w:rPr>
          <w:rFonts w:asciiTheme="majorBidi" w:hAnsiTheme="majorBidi" w:cstheme="majorBidi"/>
          <w:color w:val="000000" w:themeColor="text1"/>
          <w:lang w:val="en-CA"/>
        </w:rPr>
        <w:t>53-93</w:t>
      </w:r>
      <w:r w:rsidR="00AC484D">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Stewart, T.D.  1934.  Sequence of epiphyseal fusion, third molar eruption and suture closure in Eskimos and American Indians. </w:t>
      </w:r>
      <w:r w:rsidRPr="00667B89">
        <w:rPr>
          <w:rFonts w:asciiTheme="majorBidi" w:hAnsiTheme="majorBidi" w:cstheme="majorBidi"/>
          <w:i/>
          <w:color w:val="000000" w:themeColor="text1"/>
          <w:lang w:val="en-CA"/>
        </w:rPr>
        <w:t>American Journal of Physical Anthropology</w:t>
      </w:r>
      <w:r w:rsidRPr="00667B89">
        <w:rPr>
          <w:rFonts w:asciiTheme="majorBidi" w:hAnsiTheme="majorBidi" w:cstheme="majorBidi"/>
          <w:color w:val="000000" w:themeColor="text1"/>
          <w:lang w:val="en-CA"/>
        </w:rPr>
        <w:t xml:space="preserve"> 19</w:t>
      </w:r>
      <w:r w:rsidR="00AC484D">
        <w:rPr>
          <w:rFonts w:asciiTheme="majorBidi" w:hAnsiTheme="majorBidi" w:cstheme="majorBidi"/>
          <w:color w:val="000000" w:themeColor="text1"/>
          <w:lang w:val="en-CA"/>
        </w:rPr>
        <w:t>(3)</w:t>
      </w:r>
      <w:r w:rsidRPr="00667B89">
        <w:rPr>
          <w:rFonts w:asciiTheme="majorBidi" w:hAnsiTheme="majorBidi" w:cstheme="majorBidi"/>
          <w:color w:val="000000" w:themeColor="text1"/>
          <w:lang w:val="en-CA"/>
        </w:rPr>
        <w:t>: 433-452</w:t>
      </w:r>
      <w:r w:rsidR="00AC484D">
        <w:rPr>
          <w:rFonts w:asciiTheme="majorBidi" w:hAnsiTheme="majorBidi" w:cstheme="majorBidi"/>
          <w:color w:val="000000" w:themeColor="text1"/>
          <w:lang w:val="en-CA"/>
        </w:rPr>
        <w:t>.</w:t>
      </w:r>
    </w:p>
    <w:p w:rsidR="00A35CA0" w:rsidRDefault="00CC3C93" w:rsidP="00CA5FBB">
      <w:pPr>
        <w:spacing w:before="120" w:line="240" w:lineRule="auto"/>
        <w:jc w:val="left"/>
        <w:rPr>
          <w:rFonts w:asciiTheme="majorBidi" w:hAnsiTheme="majorBidi" w:cstheme="majorBidi"/>
          <w:bCs/>
          <w:color w:val="000000" w:themeColor="text1"/>
        </w:rPr>
      </w:pPr>
      <w:r w:rsidRPr="00667B89">
        <w:rPr>
          <w:rFonts w:asciiTheme="majorBidi" w:hAnsiTheme="majorBidi" w:cstheme="majorBidi"/>
          <w:color w:val="000000"/>
        </w:rPr>
        <w:t>Stini, W.A.  1969.  Nutritional stress and growth: Sex differences in adaptive response.</w:t>
      </w:r>
      <w:r w:rsidRPr="00667B89">
        <w:rPr>
          <w:rFonts w:asciiTheme="majorBidi" w:eastAsia="Times New Roman" w:hAnsiTheme="majorBidi" w:cstheme="majorBidi"/>
          <w:bCs/>
          <w:color w:val="000000"/>
        </w:rPr>
        <w:t xml:space="preserve">  </w:t>
      </w:r>
      <w:r w:rsidRPr="00667B89">
        <w:rPr>
          <w:rFonts w:asciiTheme="majorBidi" w:eastAsia="Times New Roman" w:hAnsiTheme="majorBidi" w:cstheme="majorBidi"/>
          <w:bCs/>
          <w:i/>
          <w:color w:val="000000"/>
        </w:rPr>
        <w:t>American Journal of Physical Anthropology</w:t>
      </w:r>
      <w:r w:rsidRPr="00667B89">
        <w:rPr>
          <w:rFonts w:asciiTheme="majorBidi" w:eastAsia="Times New Roman" w:hAnsiTheme="majorBidi" w:cstheme="majorBidi"/>
          <w:bCs/>
          <w:color w:val="000000"/>
        </w:rPr>
        <w:t xml:space="preserve"> 31(3): 417-426</w:t>
      </w:r>
      <w:r w:rsidR="00AC484D">
        <w:rPr>
          <w:rFonts w:asciiTheme="majorBidi" w:eastAsia="Times New Roman" w:hAnsiTheme="majorBidi" w:cstheme="majorBidi"/>
          <w:bCs/>
          <w:color w:val="000000"/>
        </w:rPr>
        <w:t>.</w:t>
      </w:r>
    </w:p>
    <w:p w:rsidR="00A35CA0" w:rsidRDefault="00CC3C93" w:rsidP="00CA5FBB">
      <w:pPr>
        <w:spacing w:before="120" w:line="240" w:lineRule="auto"/>
        <w:jc w:val="left"/>
        <w:rPr>
          <w:rFonts w:asciiTheme="majorBidi" w:hAnsiTheme="majorBidi" w:cstheme="majorBidi"/>
          <w:color w:val="000000" w:themeColor="text1"/>
        </w:rPr>
      </w:pPr>
      <w:proofErr w:type="gramStart"/>
      <w:r w:rsidRPr="00667B89">
        <w:rPr>
          <w:rFonts w:asciiTheme="majorBidi" w:hAnsiTheme="majorBidi" w:cstheme="majorBidi"/>
          <w:color w:val="000000" w:themeColor="text1"/>
        </w:rPr>
        <w:t>Stinson, S.</w:t>
      </w:r>
      <w:proofErr w:type="gramEnd"/>
      <w:r w:rsidRPr="00667B89">
        <w:rPr>
          <w:rFonts w:asciiTheme="majorBidi" w:hAnsiTheme="majorBidi" w:cstheme="majorBidi"/>
          <w:color w:val="000000" w:themeColor="text1"/>
        </w:rPr>
        <w:t xml:space="preserve">  1985.  Sex differences in Environmental Sensitivity </w:t>
      </w:r>
      <w:proofErr w:type="gramStart"/>
      <w:r w:rsidRPr="00667B89">
        <w:rPr>
          <w:rFonts w:asciiTheme="majorBidi" w:hAnsiTheme="majorBidi" w:cstheme="majorBidi"/>
          <w:color w:val="000000" w:themeColor="text1"/>
        </w:rPr>
        <w:t>During</w:t>
      </w:r>
      <w:proofErr w:type="gramEnd"/>
      <w:r w:rsidRPr="00667B89">
        <w:rPr>
          <w:rFonts w:asciiTheme="majorBidi" w:hAnsiTheme="majorBidi" w:cstheme="majorBidi"/>
          <w:color w:val="000000" w:themeColor="text1"/>
        </w:rPr>
        <w:t xml:space="preserve"> Growth.  </w:t>
      </w:r>
      <w:r w:rsidRPr="00667B89">
        <w:rPr>
          <w:rFonts w:asciiTheme="majorBidi" w:hAnsiTheme="majorBidi" w:cstheme="majorBidi"/>
          <w:i/>
          <w:color w:val="000000" w:themeColor="text1"/>
        </w:rPr>
        <w:t xml:space="preserve">Yearbook of Physical Anthropology </w:t>
      </w:r>
      <w:r w:rsidRPr="00667B89">
        <w:rPr>
          <w:rFonts w:asciiTheme="majorBidi" w:hAnsiTheme="majorBidi" w:cstheme="majorBidi"/>
          <w:color w:val="000000" w:themeColor="text1"/>
        </w:rPr>
        <w:t>28</w:t>
      </w:r>
      <w:r w:rsidR="00AC484D">
        <w:rPr>
          <w:rFonts w:asciiTheme="majorBidi" w:hAnsiTheme="majorBidi" w:cstheme="majorBidi"/>
          <w:color w:val="000000" w:themeColor="text1"/>
        </w:rPr>
        <w:t>(S6)</w:t>
      </w:r>
      <w:r w:rsidRPr="00667B89">
        <w:rPr>
          <w:rFonts w:asciiTheme="majorBidi" w:hAnsiTheme="majorBidi" w:cstheme="majorBidi"/>
          <w:color w:val="000000" w:themeColor="text1"/>
        </w:rPr>
        <w:t>: 123-147</w:t>
      </w:r>
      <w:r w:rsidR="00AC484D">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color w:val="000000"/>
        </w:rPr>
      </w:pPr>
      <w:r w:rsidRPr="00667B89">
        <w:rPr>
          <w:rFonts w:asciiTheme="majorBidi" w:hAnsiTheme="majorBidi" w:cstheme="majorBidi"/>
          <w:color w:val="000000"/>
        </w:rPr>
        <w:t xml:space="preserve">Stout, S.D.  Lueck, R.  1995.  Bone remodeling rates and skeletal maturation in three archaeological skeletal populations.  </w:t>
      </w:r>
      <w:r w:rsidRPr="00667B89">
        <w:rPr>
          <w:rFonts w:asciiTheme="majorBidi" w:hAnsiTheme="majorBidi" w:cstheme="majorBidi"/>
          <w:i/>
          <w:color w:val="000000"/>
        </w:rPr>
        <w:t xml:space="preserve">American Journal of Physical Anthropology </w:t>
      </w:r>
      <w:r w:rsidRPr="00667B89">
        <w:rPr>
          <w:rFonts w:asciiTheme="majorBidi" w:hAnsiTheme="majorBidi" w:cstheme="majorBidi"/>
          <w:color w:val="000000"/>
        </w:rPr>
        <w:t>98(2): 161-171</w:t>
      </w:r>
      <w:r w:rsidR="00AC484D">
        <w:rPr>
          <w:rFonts w:asciiTheme="majorBidi" w:hAnsiTheme="majorBidi" w:cstheme="majorBidi"/>
          <w:color w:val="000000"/>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 xml:space="preserve">Stumpf, R.  </w:t>
      </w:r>
      <w:r>
        <w:rPr>
          <w:rFonts w:asciiTheme="majorBidi" w:hAnsiTheme="majorBidi" w:cstheme="majorBidi"/>
          <w:color w:val="000000"/>
          <w:lang w:val="en-CA"/>
        </w:rPr>
        <w:t>2007</w:t>
      </w:r>
      <w:r w:rsidRPr="00667B89">
        <w:rPr>
          <w:rFonts w:asciiTheme="majorBidi" w:hAnsiTheme="majorBidi" w:cstheme="majorBidi"/>
          <w:color w:val="000000"/>
          <w:lang w:val="en-CA"/>
        </w:rPr>
        <w:t xml:space="preserve">.  Chimpanzees and Bonobos: Diversity within and Between Species.  </w:t>
      </w:r>
      <w:proofErr w:type="gramStart"/>
      <w:r w:rsidRPr="00667B89">
        <w:rPr>
          <w:rFonts w:asciiTheme="majorBidi" w:hAnsiTheme="majorBidi" w:cstheme="majorBidi"/>
          <w:color w:val="000000"/>
          <w:lang w:val="en-CA"/>
        </w:rPr>
        <w:t>In Campbell, C. Fuentes, A.</w:t>
      </w:r>
      <w:proofErr w:type="gramEnd"/>
      <w:r w:rsidRPr="00667B89">
        <w:rPr>
          <w:rFonts w:asciiTheme="majorBidi" w:hAnsiTheme="majorBidi" w:cstheme="majorBidi"/>
          <w:color w:val="000000"/>
          <w:lang w:val="en-CA"/>
        </w:rPr>
        <w:t xml:space="preserve">  MacKinnon, K.L.</w:t>
      </w:r>
      <w:r w:rsidRPr="00667B89">
        <w:rPr>
          <w:rFonts w:asciiTheme="majorBidi" w:hAnsiTheme="majorBidi" w:cstheme="majorBidi"/>
          <w:color w:val="000000"/>
          <w:lang w:val="en-CA"/>
        </w:rPr>
        <w:tab/>
        <w:t xml:space="preserve">Pagner, M.  </w:t>
      </w:r>
      <w:proofErr w:type="gramStart"/>
      <w:r w:rsidRPr="00667B89">
        <w:rPr>
          <w:rFonts w:asciiTheme="majorBidi" w:hAnsiTheme="majorBidi" w:cstheme="majorBidi"/>
          <w:color w:val="000000"/>
          <w:lang w:val="en-CA"/>
        </w:rPr>
        <w:t>Bearder, S.K.</w:t>
      </w:r>
      <w:proofErr w:type="gramEnd"/>
      <w:r w:rsidRPr="00667B89">
        <w:rPr>
          <w:rFonts w:asciiTheme="majorBidi" w:hAnsiTheme="majorBidi" w:cstheme="majorBidi"/>
          <w:color w:val="000000"/>
          <w:lang w:val="en-CA"/>
        </w:rPr>
        <w:t xml:space="preserve">  (Eds.)  </w:t>
      </w:r>
      <w:proofErr w:type="gramStart"/>
      <w:r w:rsidRPr="00667B89">
        <w:rPr>
          <w:rFonts w:asciiTheme="majorBidi" w:hAnsiTheme="majorBidi" w:cstheme="majorBidi"/>
          <w:i/>
          <w:color w:val="000000"/>
          <w:lang w:val="en-CA"/>
        </w:rPr>
        <w:t>Primates in Perspective</w:t>
      </w:r>
      <w:r w:rsidRPr="00667B89">
        <w:rPr>
          <w:rFonts w:asciiTheme="majorBidi" w:hAnsiTheme="majorBidi" w:cstheme="majorBidi"/>
          <w:color w:val="000000"/>
          <w:lang w:val="en-CA"/>
        </w:rPr>
        <w:t>.</w:t>
      </w:r>
      <w:proofErr w:type="gramEnd"/>
      <w:r w:rsidRPr="00667B89">
        <w:rPr>
          <w:rFonts w:asciiTheme="majorBidi" w:hAnsiTheme="majorBidi" w:cstheme="majorBidi"/>
          <w:color w:val="000000"/>
          <w:lang w:val="en-CA"/>
        </w:rPr>
        <w:t xml:space="preserve">  Oxford University Press</w:t>
      </w:r>
      <w:r w:rsidR="00BF4D04">
        <w:rPr>
          <w:rFonts w:asciiTheme="majorBidi" w:hAnsiTheme="majorBidi" w:cstheme="majorBidi"/>
          <w:color w:val="000000"/>
          <w:lang w:val="en-CA"/>
        </w:rPr>
        <w:t xml:space="preserve">: </w:t>
      </w:r>
      <w:proofErr w:type="gramStart"/>
      <w:r w:rsidR="00BF4D04">
        <w:rPr>
          <w:rFonts w:asciiTheme="majorBidi" w:hAnsiTheme="majorBidi" w:cstheme="majorBidi"/>
          <w:color w:val="000000"/>
          <w:lang w:val="en-CA"/>
        </w:rPr>
        <w:t xml:space="preserve">Oxford  </w:t>
      </w:r>
      <w:r w:rsidR="00BF4D04" w:rsidRPr="00667B89">
        <w:rPr>
          <w:rFonts w:asciiTheme="majorBidi" w:hAnsiTheme="majorBidi" w:cstheme="majorBidi"/>
          <w:color w:val="000000"/>
          <w:lang w:val="en-CA"/>
        </w:rPr>
        <w:t>pp.132</w:t>
      </w:r>
      <w:proofErr w:type="gramEnd"/>
      <w:r w:rsidR="00BF4D04" w:rsidRPr="00667B89">
        <w:rPr>
          <w:rFonts w:asciiTheme="majorBidi" w:hAnsiTheme="majorBidi" w:cstheme="majorBidi"/>
          <w:color w:val="000000"/>
          <w:lang w:val="en-CA"/>
        </w:rPr>
        <w:t>-344</w:t>
      </w:r>
      <w:r w:rsidRPr="00667B89">
        <w:rPr>
          <w:rFonts w:asciiTheme="majorBidi" w:hAnsiTheme="majorBidi" w:cstheme="majorBidi"/>
          <w:color w:val="000000"/>
          <w:lang w:val="en-CA"/>
        </w:rPr>
        <w:t>.</w:t>
      </w:r>
    </w:p>
    <w:p w:rsidR="00A35CA0" w:rsidRDefault="00CC3C93" w:rsidP="00CA5FBB">
      <w:pPr>
        <w:spacing w:before="120" w:line="240" w:lineRule="auto"/>
        <w:jc w:val="left"/>
        <w:rPr>
          <w:rFonts w:eastAsia="Times New Roman"/>
          <w:color w:val="000000"/>
          <w:lang w:val="en-GB" w:eastAsia="en-GB"/>
        </w:rPr>
      </w:pPr>
      <w:r w:rsidRPr="00CE4A50">
        <w:rPr>
          <w:rFonts w:eastAsia="Times New Roman"/>
          <w:color w:val="000000"/>
          <w:lang w:val="en-GB" w:eastAsia="en-GB"/>
        </w:rPr>
        <w:t xml:space="preserve">Sugiyama, Y.  1989.  Population dynamics of chimpanzees at Bossou, Guinea.  </w:t>
      </w:r>
      <w:proofErr w:type="gramStart"/>
      <w:r w:rsidRPr="00CE4A50">
        <w:rPr>
          <w:rFonts w:eastAsia="Times New Roman"/>
          <w:i/>
          <w:color w:val="000000"/>
          <w:lang w:val="en-GB" w:eastAsia="en-GB"/>
        </w:rPr>
        <w:t>In</w:t>
      </w:r>
      <w:r w:rsidRPr="00CE4A50">
        <w:rPr>
          <w:rFonts w:eastAsia="Times New Roman"/>
          <w:color w:val="000000"/>
          <w:lang w:val="en-GB" w:eastAsia="en-GB"/>
        </w:rPr>
        <w:t xml:space="preserve"> Heltne, P.G. and Marquardt, L.G.</w:t>
      </w:r>
      <w:proofErr w:type="gramEnd"/>
      <w:r w:rsidRPr="00CE4A50">
        <w:rPr>
          <w:rFonts w:eastAsia="Times New Roman"/>
          <w:color w:val="000000"/>
          <w:lang w:val="en-GB" w:eastAsia="en-GB"/>
        </w:rPr>
        <w:t xml:space="preserve">  </w:t>
      </w:r>
      <w:proofErr w:type="gramStart"/>
      <w:r w:rsidRPr="00CE4A50">
        <w:rPr>
          <w:rFonts w:eastAsia="Times New Roman"/>
          <w:color w:val="000000"/>
          <w:lang w:val="en-GB" w:eastAsia="en-GB"/>
        </w:rPr>
        <w:t>eds</w:t>
      </w:r>
      <w:proofErr w:type="gramEnd"/>
      <w:r w:rsidRPr="00CE4A50">
        <w:rPr>
          <w:rFonts w:eastAsia="Times New Roman"/>
          <w:color w:val="000000"/>
          <w:lang w:val="en-GB" w:eastAsia="en-GB"/>
        </w:rPr>
        <w:t xml:space="preserve">. </w:t>
      </w:r>
      <w:r w:rsidRPr="00CE4A50">
        <w:rPr>
          <w:rFonts w:eastAsia="Times New Roman"/>
          <w:i/>
          <w:color w:val="000000"/>
          <w:lang w:val="en-GB" w:eastAsia="en-GB"/>
        </w:rPr>
        <w:t>Understanding Chimpanzees</w:t>
      </w:r>
      <w:r w:rsidRPr="00CE4A50">
        <w:rPr>
          <w:rFonts w:eastAsia="Times New Roman"/>
          <w:color w:val="000000"/>
          <w:lang w:val="en-GB" w:eastAsia="en-GB"/>
        </w:rPr>
        <w:t>. Harvard University Press</w:t>
      </w:r>
      <w:r w:rsidR="00BF0C78">
        <w:rPr>
          <w:rFonts w:eastAsia="Times New Roman"/>
          <w:color w:val="000000"/>
          <w:lang w:val="en-GB" w:eastAsia="en-GB"/>
        </w:rPr>
        <w:t xml:space="preserve">: </w:t>
      </w:r>
      <w:proofErr w:type="gramStart"/>
      <w:r w:rsidRPr="00CE4A50">
        <w:rPr>
          <w:rFonts w:eastAsia="Times New Roman"/>
          <w:color w:val="000000"/>
          <w:lang w:val="en-GB" w:eastAsia="en-GB"/>
        </w:rPr>
        <w:t>Cambridge</w:t>
      </w:r>
      <w:r w:rsidR="00BF0C78">
        <w:rPr>
          <w:rFonts w:eastAsia="Times New Roman"/>
          <w:color w:val="000000"/>
          <w:lang w:val="en-GB" w:eastAsia="en-GB"/>
        </w:rPr>
        <w:t xml:space="preserve">  </w:t>
      </w:r>
      <w:r w:rsidRPr="00CE4A50">
        <w:rPr>
          <w:rFonts w:eastAsia="Times New Roman"/>
          <w:color w:val="000000"/>
          <w:lang w:val="en-GB" w:eastAsia="en-GB"/>
        </w:rPr>
        <w:t>pp.134</w:t>
      </w:r>
      <w:proofErr w:type="gramEnd"/>
      <w:r w:rsidRPr="00CE4A50">
        <w:rPr>
          <w:rFonts w:eastAsia="Times New Roman"/>
          <w:color w:val="000000"/>
          <w:lang w:val="en-GB" w:eastAsia="en-GB"/>
        </w:rPr>
        <w:t>-145</w:t>
      </w:r>
      <w:r w:rsidR="00BF0C78">
        <w:rPr>
          <w:rFonts w:eastAsia="Times New Roman"/>
          <w:color w:val="000000"/>
          <w:lang w:val="en-GB" w:eastAsia="en-GB"/>
        </w:rPr>
        <w:t>.</w:t>
      </w:r>
    </w:p>
    <w:p w:rsidR="00A35CA0" w:rsidRDefault="00CC3C93" w:rsidP="00CA5FBB">
      <w:pPr>
        <w:spacing w:before="120" w:line="240" w:lineRule="auto"/>
        <w:jc w:val="left"/>
        <w:rPr>
          <w:rFonts w:eastAsia="Times New Roman"/>
          <w:color w:val="000000"/>
          <w:lang w:val="en-GB" w:eastAsia="en-GB"/>
        </w:rPr>
      </w:pPr>
      <w:r w:rsidRPr="00CE4A50">
        <w:rPr>
          <w:rFonts w:eastAsia="Times New Roman"/>
          <w:color w:val="000000"/>
          <w:lang w:val="en-GB" w:eastAsia="en-GB"/>
        </w:rPr>
        <w:t xml:space="preserve">Sugiyama, Y.  2004.  Demographic parameters and life history of chimpanzees at Bossou, Guinea.  </w:t>
      </w:r>
      <w:r w:rsidRPr="00CE4A50">
        <w:rPr>
          <w:rFonts w:eastAsia="Times New Roman"/>
          <w:i/>
          <w:color w:val="000000"/>
          <w:lang w:val="en-GB" w:eastAsia="en-GB"/>
        </w:rPr>
        <w:t xml:space="preserve">American Journal of Physical Anthropology </w:t>
      </w:r>
      <w:r w:rsidRPr="00CE4A50">
        <w:rPr>
          <w:rFonts w:eastAsia="Times New Roman"/>
          <w:color w:val="000000"/>
          <w:lang w:val="en-GB" w:eastAsia="en-GB"/>
        </w:rPr>
        <w:t>124(2): 154-165</w:t>
      </w:r>
      <w:r w:rsidR="00BF0C78">
        <w:rPr>
          <w:rFonts w:eastAsia="Times New Roman"/>
          <w:color w:val="000000"/>
          <w:lang w:val="en-GB" w:eastAsia="en-GB"/>
        </w:rPr>
        <w:t>.</w:t>
      </w:r>
    </w:p>
    <w:p w:rsidR="00A35CA0" w:rsidRDefault="00CC3C93" w:rsidP="00CA5FBB">
      <w:pPr>
        <w:autoSpaceDE w:val="0"/>
        <w:autoSpaceDN w:val="0"/>
        <w:adjustRightInd w:val="0"/>
        <w:spacing w:before="120" w:line="240" w:lineRule="auto"/>
        <w:jc w:val="left"/>
        <w:rPr>
          <w:rFonts w:asciiTheme="majorBidi" w:hAnsiTheme="majorBidi" w:cstheme="majorBidi"/>
          <w:color w:val="000000" w:themeColor="text1"/>
        </w:rPr>
      </w:pPr>
      <w:proofErr w:type="gramStart"/>
      <w:r w:rsidRPr="00667B89">
        <w:rPr>
          <w:rFonts w:asciiTheme="majorBidi" w:hAnsiTheme="majorBidi" w:cstheme="majorBidi"/>
          <w:color w:val="000000" w:themeColor="text1"/>
        </w:rPr>
        <w:t>Sullivan, E.G.</w:t>
      </w:r>
      <w:proofErr w:type="gramEnd"/>
      <w:r w:rsidRPr="00667B89">
        <w:rPr>
          <w:rFonts w:asciiTheme="majorBidi" w:hAnsiTheme="majorBidi" w:cstheme="majorBidi"/>
          <w:color w:val="000000" w:themeColor="text1"/>
        </w:rPr>
        <w:t xml:space="preserve">  Haugen, A.O.  1976. Age determination of foxes by x-ray of forefeet.  </w:t>
      </w:r>
      <w:r w:rsidRPr="00667B89">
        <w:rPr>
          <w:rFonts w:asciiTheme="majorBidi" w:hAnsiTheme="majorBidi" w:cstheme="majorBidi"/>
          <w:i/>
          <w:color w:val="000000" w:themeColor="text1"/>
        </w:rPr>
        <w:t>Journal of Wildlife Management</w:t>
      </w:r>
      <w:r w:rsidRPr="00667B89">
        <w:rPr>
          <w:rFonts w:asciiTheme="majorBidi" w:hAnsiTheme="majorBidi" w:cstheme="majorBidi"/>
          <w:color w:val="000000" w:themeColor="text1"/>
        </w:rPr>
        <w:t xml:space="preserve"> 20</w:t>
      </w:r>
      <w:r w:rsidR="00BF0C78">
        <w:rPr>
          <w:rFonts w:asciiTheme="majorBidi" w:hAnsiTheme="majorBidi" w:cstheme="majorBidi"/>
          <w:color w:val="000000" w:themeColor="text1"/>
        </w:rPr>
        <w:t>(2)</w:t>
      </w:r>
      <w:r w:rsidRPr="00667B89">
        <w:rPr>
          <w:rFonts w:asciiTheme="majorBidi" w:hAnsiTheme="majorBidi" w:cstheme="majorBidi"/>
          <w:color w:val="000000" w:themeColor="text1"/>
        </w:rPr>
        <w:t>:</w:t>
      </w:r>
      <w:r w:rsidR="00BF0C78">
        <w:rPr>
          <w:rFonts w:asciiTheme="majorBidi" w:hAnsiTheme="majorBidi" w:cstheme="majorBidi"/>
          <w:color w:val="000000" w:themeColor="text1"/>
        </w:rPr>
        <w:t xml:space="preserve"> </w:t>
      </w:r>
      <w:r w:rsidRPr="00667B89">
        <w:rPr>
          <w:rFonts w:asciiTheme="majorBidi" w:hAnsiTheme="majorBidi" w:cstheme="majorBidi"/>
          <w:color w:val="000000" w:themeColor="text1"/>
        </w:rPr>
        <w:t>210</w:t>
      </w:r>
      <w:r w:rsidR="00BF0C78">
        <w:rPr>
          <w:rFonts w:asciiTheme="majorBidi" w:hAnsiTheme="majorBidi" w:cstheme="majorBidi"/>
          <w:color w:val="000000" w:themeColor="text1"/>
        </w:rPr>
        <w:t>.</w:t>
      </w:r>
    </w:p>
    <w:p w:rsidR="00A35CA0" w:rsidRDefault="00CC3C93" w:rsidP="00CA5FBB">
      <w:pPr>
        <w:spacing w:before="120" w:line="240" w:lineRule="auto"/>
        <w:jc w:val="left"/>
        <w:rPr>
          <w:rFonts w:asciiTheme="majorBidi" w:hAnsiTheme="majorBidi" w:cstheme="majorBidi"/>
          <w:color w:val="000000"/>
        </w:rPr>
      </w:pPr>
      <w:proofErr w:type="gramStart"/>
      <w:r w:rsidRPr="00667B89">
        <w:rPr>
          <w:rFonts w:asciiTheme="majorBidi" w:hAnsiTheme="majorBidi" w:cstheme="majorBidi"/>
          <w:color w:val="000000"/>
        </w:rPr>
        <w:t>Sumner-Smith, G.</w:t>
      </w:r>
      <w:proofErr w:type="gramEnd"/>
      <w:r w:rsidRPr="00667B89">
        <w:rPr>
          <w:rFonts w:asciiTheme="majorBidi" w:hAnsiTheme="majorBidi" w:cstheme="majorBidi"/>
          <w:color w:val="000000"/>
        </w:rPr>
        <w:t xml:space="preserve">  1966.  Observations on Epiphyseal Fusion of the Canine Appendicular Skeleton.  </w:t>
      </w:r>
      <w:r w:rsidRPr="00667B89">
        <w:rPr>
          <w:rFonts w:asciiTheme="majorBidi" w:hAnsiTheme="majorBidi" w:cstheme="majorBidi"/>
          <w:i/>
          <w:color w:val="000000"/>
        </w:rPr>
        <w:t>Journal of Small Animal Practice</w:t>
      </w:r>
      <w:r w:rsidRPr="00667B89">
        <w:rPr>
          <w:rFonts w:asciiTheme="majorBidi" w:hAnsiTheme="majorBidi" w:cstheme="majorBidi"/>
          <w:color w:val="000000"/>
        </w:rPr>
        <w:t xml:space="preserve"> 7</w:t>
      </w:r>
      <w:r w:rsidR="00BF0C78">
        <w:rPr>
          <w:rFonts w:asciiTheme="majorBidi" w:hAnsiTheme="majorBidi" w:cstheme="majorBidi"/>
          <w:color w:val="000000"/>
        </w:rPr>
        <w:t>(</w:t>
      </w:r>
      <w:r w:rsidRPr="00667B89">
        <w:rPr>
          <w:rFonts w:asciiTheme="majorBidi" w:hAnsiTheme="majorBidi" w:cstheme="majorBidi"/>
          <w:color w:val="000000"/>
        </w:rPr>
        <w:t>4</w:t>
      </w:r>
      <w:r w:rsidR="00BF0C78">
        <w:rPr>
          <w:rFonts w:asciiTheme="majorBidi" w:hAnsiTheme="majorBidi" w:cstheme="majorBidi"/>
          <w:color w:val="000000"/>
        </w:rPr>
        <w:t>)</w:t>
      </w:r>
      <w:r w:rsidRPr="00667B89">
        <w:rPr>
          <w:rFonts w:asciiTheme="majorBidi" w:hAnsiTheme="majorBidi" w:cstheme="majorBidi"/>
          <w:color w:val="000000"/>
        </w:rPr>
        <w:t>: 303-311</w:t>
      </w:r>
      <w:r w:rsidR="002C4204">
        <w:rPr>
          <w:rFonts w:asciiTheme="majorBidi" w:hAnsiTheme="majorBidi" w:cstheme="majorBidi"/>
          <w:color w:val="000000"/>
        </w:rPr>
        <w:t>.</w:t>
      </w:r>
    </w:p>
    <w:p w:rsidR="00A35CA0" w:rsidRDefault="00CC3C93" w:rsidP="00CA5FBB">
      <w:pPr>
        <w:spacing w:before="120" w:line="240" w:lineRule="auto"/>
        <w:jc w:val="left"/>
        <w:rPr>
          <w:noProof/>
        </w:rPr>
      </w:pPr>
      <w:r w:rsidRPr="00B65277">
        <w:rPr>
          <w:noProof/>
        </w:rPr>
        <w:t>Surbey, M</w:t>
      </w:r>
      <w:r>
        <w:rPr>
          <w:noProof/>
        </w:rPr>
        <w:t>.</w:t>
      </w:r>
      <w:r w:rsidRPr="00B65277">
        <w:rPr>
          <w:noProof/>
        </w:rPr>
        <w:t xml:space="preserve">K. </w:t>
      </w:r>
      <w:r>
        <w:rPr>
          <w:noProof/>
        </w:rPr>
        <w:t xml:space="preserve"> 1990.  </w:t>
      </w:r>
      <w:r w:rsidRPr="00B65277">
        <w:rPr>
          <w:i/>
          <w:noProof/>
        </w:rPr>
        <w:t>Family composition, stress, and the timing of human menarche</w:t>
      </w:r>
      <w:r>
        <w:rPr>
          <w:noProof/>
        </w:rPr>
        <w:t xml:space="preserve">.  In </w:t>
      </w:r>
      <w:r w:rsidRPr="00B65277">
        <w:rPr>
          <w:noProof/>
        </w:rPr>
        <w:t xml:space="preserve">Ziegler, </w:t>
      </w:r>
      <w:r>
        <w:rPr>
          <w:noProof/>
        </w:rPr>
        <w:t>T. E.</w:t>
      </w:r>
      <w:r w:rsidRPr="00B65277">
        <w:rPr>
          <w:noProof/>
        </w:rPr>
        <w:t xml:space="preserve"> </w:t>
      </w:r>
      <w:r>
        <w:rPr>
          <w:noProof/>
        </w:rPr>
        <w:t xml:space="preserve"> </w:t>
      </w:r>
      <w:r w:rsidRPr="00B65277">
        <w:rPr>
          <w:noProof/>
        </w:rPr>
        <w:t>Bercovitch, F</w:t>
      </w:r>
      <w:r>
        <w:rPr>
          <w:noProof/>
        </w:rPr>
        <w:t>. B. (e</w:t>
      </w:r>
      <w:r w:rsidRPr="00B65277">
        <w:rPr>
          <w:noProof/>
        </w:rPr>
        <w:t>d</w:t>
      </w:r>
      <w:r>
        <w:rPr>
          <w:noProof/>
        </w:rPr>
        <w:t>s.</w:t>
      </w:r>
      <w:r w:rsidRPr="00B65277">
        <w:rPr>
          <w:noProof/>
        </w:rPr>
        <w:t>). Socioendocrinology of primate reproduction. Monographs in primatology, Vol</w:t>
      </w:r>
      <w:r>
        <w:rPr>
          <w:noProof/>
        </w:rPr>
        <w:t>ume</w:t>
      </w:r>
      <w:r w:rsidRPr="00B65277">
        <w:rPr>
          <w:noProof/>
        </w:rPr>
        <w:t>. 13.</w:t>
      </w:r>
      <w:r>
        <w:rPr>
          <w:noProof/>
        </w:rPr>
        <w:t xml:space="preserve"> </w:t>
      </w:r>
      <w:r w:rsidRPr="00B65277">
        <w:rPr>
          <w:noProof/>
        </w:rPr>
        <w:t>Wiley-Liss</w:t>
      </w:r>
      <w:r>
        <w:rPr>
          <w:noProof/>
        </w:rPr>
        <w:t xml:space="preserve">: New York </w:t>
      </w:r>
      <w:r w:rsidR="002C4204">
        <w:rPr>
          <w:noProof/>
        </w:rPr>
        <w:t xml:space="preserve"> </w:t>
      </w:r>
      <w:r>
        <w:rPr>
          <w:noProof/>
        </w:rPr>
        <w:t>pp. 11-32</w:t>
      </w:r>
      <w:r w:rsidR="002C4204">
        <w:rPr>
          <w:noProof/>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lang w:val="en-CA"/>
        </w:rPr>
        <w:t xml:space="preserve">Susman, R.L. 1979.  </w:t>
      </w:r>
      <w:proofErr w:type="gramStart"/>
      <w:r w:rsidRPr="00667B89">
        <w:rPr>
          <w:rFonts w:asciiTheme="majorBidi" w:hAnsiTheme="majorBidi" w:cstheme="majorBidi"/>
          <w:color w:val="000000"/>
          <w:lang w:val="en-CA"/>
        </w:rPr>
        <w:t>Comparative and functional morphology of hominoid fingers.</w:t>
      </w:r>
      <w:proofErr w:type="gramEnd"/>
      <w:r w:rsidRPr="00667B89">
        <w:rPr>
          <w:rFonts w:asciiTheme="majorBidi" w:hAnsiTheme="majorBidi" w:cstheme="majorBidi"/>
          <w:color w:val="000000"/>
          <w:lang w:val="en-CA"/>
        </w:rPr>
        <w:t xml:space="preserve">  </w:t>
      </w:r>
      <w:r w:rsidRPr="00667B89">
        <w:rPr>
          <w:rFonts w:asciiTheme="majorBidi" w:hAnsiTheme="majorBidi" w:cstheme="majorBidi"/>
          <w:i/>
          <w:color w:val="000000"/>
          <w:lang w:val="en-CA"/>
        </w:rPr>
        <w:t>American</w:t>
      </w:r>
      <w:r w:rsidRPr="00667B89">
        <w:rPr>
          <w:rFonts w:asciiTheme="majorBidi" w:hAnsiTheme="majorBidi" w:cstheme="majorBidi"/>
          <w:color w:val="000000"/>
          <w:lang w:val="en-CA"/>
        </w:rPr>
        <w:t xml:space="preserve"> </w:t>
      </w:r>
      <w:r w:rsidRPr="00667B89">
        <w:rPr>
          <w:rFonts w:asciiTheme="majorBidi" w:hAnsiTheme="majorBidi" w:cstheme="majorBidi"/>
          <w:i/>
          <w:color w:val="000000"/>
          <w:lang w:val="en-CA"/>
        </w:rPr>
        <w:t xml:space="preserve">Journal of </w:t>
      </w:r>
      <w:r w:rsidRPr="00667B89">
        <w:rPr>
          <w:rFonts w:asciiTheme="majorBidi" w:hAnsiTheme="majorBidi" w:cstheme="majorBidi"/>
          <w:i/>
          <w:color w:val="000000" w:themeColor="text1"/>
          <w:lang w:val="en-CA"/>
        </w:rPr>
        <w:t>Physical Anthropology</w:t>
      </w:r>
      <w:r w:rsidRPr="00667B89">
        <w:rPr>
          <w:rFonts w:asciiTheme="majorBidi" w:hAnsiTheme="majorBidi" w:cstheme="majorBidi"/>
          <w:color w:val="000000" w:themeColor="text1"/>
          <w:lang w:val="en-CA"/>
        </w:rPr>
        <w:t xml:space="preserve"> 50</w:t>
      </w:r>
      <w:r w:rsidR="002C4204">
        <w:rPr>
          <w:rFonts w:asciiTheme="majorBidi" w:hAnsiTheme="majorBidi" w:cstheme="majorBidi"/>
          <w:color w:val="000000" w:themeColor="text1"/>
          <w:lang w:val="en-CA"/>
        </w:rPr>
        <w:t>(2)</w:t>
      </w:r>
      <w:r w:rsidRPr="00667B89">
        <w:rPr>
          <w:rFonts w:asciiTheme="majorBidi" w:hAnsiTheme="majorBidi" w:cstheme="majorBidi"/>
          <w:color w:val="000000" w:themeColor="text1"/>
          <w:lang w:val="en-CA"/>
        </w:rPr>
        <w:t>:</w:t>
      </w:r>
      <w:r w:rsidR="002C4204">
        <w:rPr>
          <w:rFonts w:asciiTheme="majorBidi" w:hAnsiTheme="majorBidi" w:cstheme="majorBidi"/>
          <w:color w:val="000000" w:themeColor="text1"/>
          <w:lang w:val="en-CA"/>
        </w:rPr>
        <w:t xml:space="preserve"> </w:t>
      </w:r>
      <w:r w:rsidRPr="00667B89">
        <w:rPr>
          <w:rFonts w:asciiTheme="majorBidi" w:hAnsiTheme="majorBidi" w:cstheme="majorBidi"/>
          <w:color w:val="000000" w:themeColor="text1"/>
          <w:lang w:val="en-CA"/>
        </w:rPr>
        <w:t>215-236</w:t>
      </w:r>
      <w:r w:rsidR="002C4204">
        <w:rPr>
          <w:rFonts w:asciiTheme="majorBidi" w:hAnsiTheme="majorBidi" w:cstheme="majorBidi"/>
          <w:color w:val="000000" w:themeColor="text1"/>
          <w:lang w:val="en-CA"/>
        </w:rPr>
        <w:t>.</w:t>
      </w:r>
    </w:p>
    <w:p w:rsidR="00A35CA0" w:rsidRDefault="00CC3C93" w:rsidP="00CA5FBB">
      <w:pPr>
        <w:spacing w:before="120" w:line="240" w:lineRule="auto"/>
        <w:jc w:val="left"/>
        <w:rPr>
          <w:noProof/>
          <w:color w:val="000000"/>
        </w:rPr>
      </w:pPr>
      <w:r>
        <w:rPr>
          <w:noProof/>
          <w:color w:val="000000"/>
        </w:rPr>
        <w:t xml:space="preserve">Swindler, D.R.  Emel, L.M.  Anemone, R.L.  1998.  Dental Variability of the Liberian Chimpanzee, </w:t>
      </w:r>
      <w:r>
        <w:rPr>
          <w:i/>
          <w:noProof/>
          <w:color w:val="000000"/>
        </w:rPr>
        <w:t>Pan troglodytes verus</w:t>
      </w:r>
      <w:r>
        <w:rPr>
          <w:noProof/>
          <w:color w:val="000000"/>
        </w:rPr>
        <w:t xml:space="preserve">.  </w:t>
      </w:r>
      <w:r>
        <w:rPr>
          <w:i/>
          <w:noProof/>
          <w:color w:val="000000"/>
        </w:rPr>
        <w:t>Human Evolution</w:t>
      </w:r>
      <w:r>
        <w:rPr>
          <w:noProof/>
          <w:color w:val="000000"/>
        </w:rPr>
        <w:t xml:space="preserve"> 13(3-4):235-249</w:t>
      </w:r>
      <w:r w:rsidR="002C4204">
        <w:rPr>
          <w:noProof/>
          <w:color w:val="000000"/>
        </w:rPr>
        <w:t>.</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Tanner, J.M.  Whitehouse, R.H.  </w:t>
      </w:r>
      <w:proofErr w:type="gramStart"/>
      <w:r w:rsidRPr="00667B89">
        <w:rPr>
          <w:rFonts w:asciiTheme="majorBidi" w:hAnsiTheme="majorBidi" w:cstheme="majorBidi"/>
          <w:color w:val="000000" w:themeColor="text1"/>
          <w:lang w:val="en-CA"/>
        </w:rPr>
        <w:t>Cameron, N.</w:t>
      </w:r>
      <w:proofErr w:type="gramEnd"/>
      <w:r w:rsidRPr="00667B89">
        <w:rPr>
          <w:rFonts w:asciiTheme="majorBidi" w:hAnsiTheme="majorBidi" w:cstheme="majorBidi"/>
          <w:color w:val="000000" w:themeColor="text1"/>
          <w:lang w:val="en-CA"/>
        </w:rPr>
        <w:t xml:space="preserve">  Marshall W.A.  Healy, M.J.R.  </w:t>
      </w:r>
      <w:proofErr w:type="gramStart"/>
      <w:r w:rsidRPr="00667B89">
        <w:rPr>
          <w:rFonts w:asciiTheme="majorBidi" w:hAnsiTheme="majorBidi" w:cstheme="majorBidi"/>
          <w:color w:val="000000" w:themeColor="text1"/>
          <w:lang w:val="en-CA"/>
        </w:rPr>
        <w:t>and</w:t>
      </w:r>
      <w:proofErr w:type="gramEnd"/>
      <w:r w:rsidRPr="00667B89">
        <w:rPr>
          <w:rFonts w:asciiTheme="majorBidi" w:hAnsiTheme="majorBidi" w:cstheme="majorBidi"/>
          <w:color w:val="000000" w:themeColor="text1"/>
          <w:lang w:val="en-CA"/>
        </w:rPr>
        <w:t xml:space="preserve"> Goldstein, H.  1983.  </w:t>
      </w:r>
      <w:r w:rsidRPr="00667B89">
        <w:rPr>
          <w:rFonts w:asciiTheme="majorBidi" w:hAnsiTheme="majorBidi" w:cstheme="majorBidi"/>
          <w:i/>
          <w:color w:val="000000" w:themeColor="text1"/>
          <w:lang w:val="en-CA"/>
        </w:rPr>
        <w:t xml:space="preserve">Assessment of Skeletal Maturity and Prediction of Adult Height (TW2 Method), </w:t>
      </w:r>
      <w:r w:rsidRPr="00667B89">
        <w:rPr>
          <w:rFonts w:asciiTheme="majorBidi" w:hAnsiTheme="majorBidi" w:cstheme="majorBidi"/>
          <w:color w:val="000000" w:themeColor="text1"/>
          <w:lang w:val="en-CA"/>
        </w:rPr>
        <w:t>2</w:t>
      </w:r>
      <w:r w:rsidRPr="00667B89">
        <w:rPr>
          <w:rFonts w:asciiTheme="majorBidi" w:hAnsiTheme="majorBidi" w:cstheme="majorBidi"/>
          <w:color w:val="000000" w:themeColor="text1"/>
          <w:vertAlign w:val="superscript"/>
          <w:lang w:val="en-CA"/>
        </w:rPr>
        <w:t>nd</w:t>
      </w:r>
      <w:r w:rsidRPr="00667B89">
        <w:rPr>
          <w:rFonts w:asciiTheme="majorBidi" w:hAnsiTheme="majorBidi" w:cstheme="majorBidi"/>
          <w:color w:val="000000" w:themeColor="text1"/>
          <w:lang w:val="en-CA"/>
        </w:rPr>
        <w:t xml:space="preserve"> edition.  </w:t>
      </w:r>
      <w:r w:rsidR="002C4204" w:rsidRPr="00667B89">
        <w:rPr>
          <w:rFonts w:asciiTheme="majorBidi" w:hAnsiTheme="majorBidi" w:cstheme="majorBidi"/>
          <w:color w:val="000000" w:themeColor="text1"/>
          <w:lang w:val="en-CA"/>
        </w:rPr>
        <w:t>Academic Press</w:t>
      </w:r>
      <w:r w:rsidR="002C4204">
        <w:rPr>
          <w:rFonts w:asciiTheme="majorBidi" w:hAnsiTheme="majorBidi" w:cstheme="majorBidi"/>
          <w:color w:val="000000" w:themeColor="text1"/>
          <w:lang w:val="en-CA"/>
        </w:rPr>
        <w:t>:</w:t>
      </w:r>
      <w:r w:rsidR="002C4204" w:rsidRPr="00667B89">
        <w:rPr>
          <w:rFonts w:asciiTheme="majorBidi" w:hAnsiTheme="majorBidi" w:cstheme="majorBidi"/>
          <w:color w:val="000000" w:themeColor="text1"/>
          <w:lang w:val="en-CA"/>
        </w:rPr>
        <w:t xml:space="preserve"> </w:t>
      </w:r>
      <w:r w:rsidRPr="00667B89">
        <w:rPr>
          <w:rFonts w:asciiTheme="majorBidi" w:hAnsiTheme="majorBidi" w:cstheme="majorBidi"/>
          <w:color w:val="000000" w:themeColor="text1"/>
          <w:lang w:val="en-CA"/>
        </w:rPr>
        <w:t>London</w:t>
      </w:r>
      <w:r w:rsidR="002C4204">
        <w:rPr>
          <w:rFonts w:asciiTheme="majorBidi" w:hAnsiTheme="majorBidi" w:cstheme="majorBidi"/>
          <w:color w:val="000000" w:themeColor="text1"/>
          <w:lang w:val="en-CA"/>
        </w:rPr>
        <w:t>.</w:t>
      </w:r>
    </w:p>
    <w:p w:rsidR="00A35CA0" w:rsidRDefault="00CC3C93" w:rsidP="00CA5FBB">
      <w:pPr>
        <w:autoSpaceDE w:val="0"/>
        <w:autoSpaceDN w:val="0"/>
        <w:adjustRightInd w:val="0"/>
        <w:spacing w:before="120" w:line="240" w:lineRule="auto"/>
        <w:jc w:val="left"/>
        <w:rPr>
          <w:rFonts w:asciiTheme="majorBidi" w:hAnsiTheme="majorBidi" w:cstheme="majorBidi"/>
          <w:color w:val="000000"/>
        </w:rPr>
      </w:pPr>
      <w:r w:rsidRPr="00667B89">
        <w:rPr>
          <w:rFonts w:asciiTheme="majorBidi" w:hAnsiTheme="majorBidi" w:cstheme="majorBidi"/>
          <w:color w:val="000000"/>
        </w:rPr>
        <w:lastRenderedPageBreak/>
        <w:t xml:space="preserve">Tanner, J.M.  Whitehouse, R.H.  </w:t>
      </w:r>
      <w:proofErr w:type="gramStart"/>
      <w:r w:rsidRPr="00667B89">
        <w:rPr>
          <w:rFonts w:asciiTheme="majorBidi" w:hAnsiTheme="majorBidi" w:cstheme="majorBidi"/>
          <w:color w:val="000000"/>
        </w:rPr>
        <w:t>Cameron, N.</w:t>
      </w:r>
      <w:proofErr w:type="gramEnd"/>
      <w:r w:rsidRPr="00667B89">
        <w:rPr>
          <w:rFonts w:asciiTheme="majorBidi" w:hAnsiTheme="majorBidi" w:cstheme="majorBidi"/>
          <w:color w:val="000000"/>
        </w:rPr>
        <w:t xml:space="preserve">  Marshall, W.A.  Healy, M.J.R.  Goldstein, N.H. 2001.  </w:t>
      </w:r>
      <w:proofErr w:type="gramStart"/>
      <w:r w:rsidRPr="00667B89">
        <w:rPr>
          <w:rFonts w:asciiTheme="majorBidi" w:hAnsiTheme="majorBidi" w:cstheme="majorBidi"/>
          <w:i/>
          <w:color w:val="000000"/>
        </w:rPr>
        <w:t>Assessment of skeletal maturity and prediction of adult height (TW3 method).</w:t>
      </w:r>
      <w:proofErr w:type="gramEnd"/>
      <w:r w:rsidRPr="00667B89">
        <w:rPr>
          <w:rFonts w:asciiTheme="majorBidi" w:hAnsiTheme="majorBidi" w:cstheme="majorBidi"/>
          <w:color w:val="000000"/>
        </w:rPr>
        <w:t xml:space="preserve"> 3rd ed. WB Saunders: London</w:t>
      </w:r>
      <w:r w:rsidR="002C4204">
        <w:rPr>
          <w:rFonts w:asciiTheme="majorBidi" w:hAnsiTheme="majorBidi" w:cstheme="majorBidi"/>
          <w:color w:val="000000"/>
        </w:rPr>
        <w:t>.</w:t>
      </w:r>
    </w:p>
    <w:p w:rsidR="00A35CA0" w:rsidRDefault="00CC3C93" w:rsidP="00CA5FBB">
      <w:pPr>
        <w:spacing w:before="120" w:line="240" w:lineRule="auto"/>
        <w:jc w:val="left"/>
        <w:rPr>
          <w:rFonts w:asciiTheme="majorBidi" w:hAnsiTheme="majorBidi" w:cstheme="majorBidi"/>
          <w:i/>
          <w:noProof/>
        </w:rPr>
      </w:pPr>
      <w:r w:rsidRPr="00667B89">
        <w:rPr>
          <w:rFonts w:asciiTheme="majorBidi" w:hAnsiTheme="majorBidi" w:cstheme="majorBidi"/>
          <w:noProof/>
        </w:rPr>
        <w:t xml:space="preserve">Tappan, N.C.  Severson, A.  1971.  Sequence of eruption of permanent teeth and epiphyseal union in new world monkeys. </w:t>
      </w:r>
      <w:r w:rsidRPr="00667B89">
        <w:rPr>
          <w:rFonts w:asciiTheme="majorBidi" w:hAnsiTheme="majorBidi" w:cstheme="majorBidi"/>
          <w:i/>
          <w:noProof/>
        </w:rPr>
        <w:t xml:space="preserve">Folia Primatologica </w:t>
      </w:r>
      <w:r w:rsidRPr="00667B89">
        <w:rPr>
          <w:rFonts w:asciiTheme="majorBidi" w:hAnsiTheme="majorBidi" w:cstheme="majorBidi"/>
          <w:noProof/>
        </w:rPr>
        <w:t>15</w:t>
      </w:r>
      <w:r w:rsidR="008950C6">
        <w:rPr>
          <w:rFonts w:asciiTheme="majorBidi" w:hAnsiTheme="majorBidi" w:cstheme="majorBidi"/>
          <w:noProof/>
        </w:rPr>
        <w:t>(3-4)</w:t>
      </w:r>
      <w:r w:rsidRPr="00667B89">
        <w:rPr>
          <w:rFonts w:asciiTheme="majorBidi" w:hAnsiTheme="majorBidi" w:cstheme="majorBidi"/>
          <w:noProof/>
        </w:rPr>
        <w:t>: 293-312</w:t>
      </w:r>
      <w:r w:rsidR="002C4204">
        <w:rPr>
          <w:rFonts w:asciiTheme="majorBidi" w:hAnsiTheme="majorBidi" w:cstheme="majorBidi"/>
          <w:noProof/>
        </w:rPr>
        <w:t>.</w:t>
      </w:r>
    </w:p>
    <w:p w:rsidR="00A35CA0" w:rsidRDefault="00CC3C93" w:rsidP="00CA5FBB">
      <w:pPr>
        <w:spacing w:before="120" w:line="240" w:lineRule="auto"/>
        <w:jc w:val="left"/>
        <w:rPr>
          <w:rFonts w:asciiTheme="majorBidi" w:hAnsiTheme="majorBidi" w:cstheme="majorBidi"/>
          <w:lang w:val="en-CA"/>
        </w:rPr>
      </w:pPr>
      <w:r>
        <w:rPr>
          <w:rFonts w:asciiTheme="majorBidi" w:hAnsiTheme="majorBidi" w:cstheme="majorBidi"/>
          <w:lang w:val="en-CA"/>
        </w:rPr>
        <w:t>Teivens A, Mörnstad H.  2001a</w:t>
      </w:r>
      <w:proofErr w:type="gramStart"/>
      <w:r>
        <w:rPr>
          <w:rFonts w:asciiTheme="majorBidi" w:hAnsiTheme="majorBidi" w:cstheme="majorBidi"/>
          <w:lang w:val="en-CA"/>
        </w:rPr>
        <w:t xml:space="preserve">.  </w:t>
      </w:r>
      <w:r w:rsidRPr="007B6EF9">
        <w:rPr>
          <w:rFonts w:asciiTheme="majorBidi" w:hAnsiTheme="majorBidi" w:cstheme="majorBidi"/>
          <w:lang w:val="en-CA"/>
        </w:rPr>
        <w:t>A</w:t>
      </w:r>
      <w:proofErr w:type="gramEnd"/>
      <w:r w:rsidRPr="007B6EF9">
        <w:rPr>
          <w:rFonts w:asciiTheme="majorBidi" w:hAnsiTheme="majorBidi" w:cstheme="majorBidi"/>
          <w:lang w:val="en-CA"/>
        </w:rPr>
        <w:t xml:space="preserve"> modification of the Demirjian method </w:t>
      </w:r>
      <w:r>
        <w:rPr>
          <w:rFonts w:asciiTheme="majorBidi" w:hAnsiTheme="majorBidi" w:cstheme="majorBidi"/>
          <w:lang w:val="en-CA"/>
        </w:rPr>
        <w:t xml:space="preserve">for age estimation in children.  </w:t>
      </w:r>
      <w:r w:rsidRPr="007B6EF9">
        <w:rPr>
          <w:rFonts w:asciiTheme="majorBidi" w:hAnsiTheme="majorBidi" w:cstheme="majorBidi"/>
          <w:i/>
          <w:lang w:val="en-CA"/>
        </w:rPr>
        <w:t>The Journal of Forensic Odonto-stomatology</w:t>
      </w:r>
      <w:r>
        <w:rPr>
          <w:rFonts w:asciiTheme="majorBidi" w:hAnsiTheme="majorBidi" w:cstheme="majorBidi"/>
          <w:lang w:val="en-CA"/>
        </w:rPr>
        <w:t xml:space="preserve"> </w:t>
      </w:r>
      <w:r w:rsidRPr="007B6EF9">
        <w:rPr>
          <w:rFonts w:asciiTheme="majorBidi" w:hAnsiTheme="majorBidi" w:cstheme="majorBidi"/>
          <w:lang w:val="en-CA"/>
        </w:rPr>
        <w:t>19(2):</w:t>
      </w:r>
      <w:r w:rsidR="008950C6">
        <w:rPr>
          <w:rFonts w:asciiTheme="majorBidi" w:hAnsiTheme="majorBidi" w:cstheme="majorBidi"/>
          <w:lang w:val="en-CA"/>
        </w:rPr>
        <w:t xml:space="preserve"> </w:t>
      </w:r>
      <w:r w:rsidRPr="007B6EF9">
        <w:rPr>
          <w:rFonts w:asciiTheme="majorBidi" w:hAnsiTheme="majorBidi" w:cstheme="majorBidi"/>
          <w:lang w:val="en-CA"/>
        </w:rPr>
        <w:t>26-30</w:t>
      </w:r>
      <w:r w:rsidR="008950C6">
        <w:rPr>
          <w:rFonts w:asciiTheme="majorBidi" w:hAnsiTheme="majorBidi" w:cstheme="majorBidi"/>
          <w:lang w:val="en-CA"/>
        </w:rPr>
        <w:t>.</w:t>
      </w:r>
    </w:p>
    <w:p w:rsidR="00A35CA0" w:rsidRDefault="00CC3C93" w:rsidP="00CA5FBB">
      <w:pPr>
        <w:spacing w:before="120" w:line="240" w:lineRule="auto"/>
        <w:jc w:val="left"/>
        <w:rPr>
          <w:rFonts w:asciiTheme="majorBidi" w:hAnsiTheme="majorBidi" w:cstheme="majorBidi"/>
          <w:lang w:val="en-CA"/>
        </w:rPr>
      </w:pPr>
      <w:r w:rsidRPr="007B6EF9">
        <w:rPr>
          <w:rFonts w:asciiTheme="majorBidi" w:hAnsiTheme="majorBidi" w:cstheme="majorBidi"/>
          <w:lang w:val="en-CA"/>
        </w:rPr>
        <w:t>Teivens A, Mörnstad H.</w:t>
      </w:r>
      <w:r>
        <w:rPr>
          <w:rFonts w:asciiTheme="majorBidi" w:hAnsiTheme="majorBidi" w:cstheme="majorBidi"/>
          <w:lang w:val="en-CA"/>
        </w:rPr>
        <w:t xml:space="preserve">  2001b</w:t>
      </w:r>
      <w:proofErr w:type="gramStart"/>
      <w:r>
        <w:rPr>
          <w:rFonts w:asciiTheme="majorBidi" w:hAnsiTheme="majorBidi" w:cstheme="majorBidi"/>
          <w:lang w:val="en-CA"/>
        </w:rPr>
        <w:t xml:space="preserve">.  </w:t>
      </w:r>
      <w:r w:rsidRPr="007B6EF9">
        <w:rPr>
          <w:rFonts w:asciiTheme="majorBidi" w:hAnsiTheme="majorBidi" w:cstheme="majorBidi"/>
          <w:lang w:val="en-CA"/>
        </w:rPr>
        <w:t>A</w:t>
      </w:r>
      <w:proofErr w:type="gramEnd"/>
      <w:r w:rsidRPr="007B6EF9">
        <w:rPr>
          <w:rFonts w:asciiTheme="majorBidi" w:hAnsiTheme="majorBidi" w:cstheme="majorBidi"/>
          <w:lang w:val="en-CA"/>
        </w:rPr>
        <w:t xml:space="preserve"> comparison between dental maturity rate in the Swedish and Korean populations usi</w:t>
      </w:r>
      <w:r>
        <w:rPr>
          <w:rFonts w:asciiTheme="majorBidi" w:hAnsiTheme="majorBidi" w:cstheme="majorBidi"/>
          <w:lang w:val="en-CA"/>
        </w:rPr>
        <w:t xml:space="preserve">ng a modified Demirjian method.  </w:t>
      </w:r>
      <w:proofErr w:type="gramStart"/>
      <w:r w:rsidRPr="007B6EF9">
        <w:rPr>
          <w:rFonts w:asciiTheme="majorBidi" w:hAnsiTheme="majorBidi" w:cstheme="majorBidi"/>
          <w:i/>
          <w:lang w:val="en-CA"/>
        </w:rPr>
        <w:t>The Journal of Forensic Odonto-stomatology</w:t>
      </w:r>
      <w:r w:rsidRPr="007B6EF9">
        <w:rPr>
          <w:rFonts w:asciiTheme="majorBidi" w:hAnsiTheme="majorBidi" w:cstheme="majorBidi"/>
          <w:lang w:val="en-CA"/>
        </w:rPr>
        <w:t>.</w:t>
      </w:r>
      <w:proofErr w:type="gramEnd"/>
      <w:r w:rsidRPr="007B6EF9">
        <w:rPr>
          <w:rFonts w:asciiTheme="majorBidi" w:hAnsiTheme="majorBidi" w:cstheme="majorBidi"/>
          <w:lang w:val="en-CA"/>
        </w:rPr>
        <w:t xml:space="preserve"> 19(2):</w:t>
      </w:r>
      <w:r w:rsidR="009525A3">
        <w:rPr>
          <w:rFonts w:asciiTheme="majorBidi" w:hAnsiTheme="majorBidi" w:cstheme="majorBidi"/>
          <w:lang w:val="en-CA"/>
        </w:rPr>
        <w:t xml:space="preserve"> </w:t>
      </w:r>
      <w:r w:rsidRPr="007B6EF9">
        <w:rPr>
          <w:rFonts w:asciiTheme="majorBidi" w:hAnsiTheme="majorBidi" w:cstheme="majorBidi"/>
          <w:lang w:val="en-CA"/>
        </w:rPr>
        <w:t>31-</w:t>
      </w:r>
      <w:r>
        <w:rPr>
          <w:rFonts w:asciiTheme="majorBidi" w:hAnsiTheme="majorBidi" w:cstheme="majorBidi"/>
          <w:lang w:val="en-CA"/>
        </w:rPr>
        <w:t>35.</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Todd, T.W.  1930.  The anatomical features of epiphyseal union.  </w:t>
      </w:r>
      <w:r w:rsidRPr="00667B89">
        <w:rPr>
          <w:rFonts w:asciiTheme="majorBidi" w:hAnsiTheme="majorBidi" w:cstheme="majorBidi"/>
          <w:i/>
          <w:color w:val="000000" w:themeColor="text1"/>
          <w:lang w:val="en-CA"/>
        </w:rPr>
        <w:t>Child Development</w:t>
      </w:r>
      <w:r w:rsidRPr="00667B89">
        <w:rPr>
          <w:rFonts w:asciiTheme="majorBidi" w:hAnsiTheme="majorBidi" w:cstheme="majorBidi"/>
          <w:color w:val="000000" w:themeColor="text1"/>
          <w:lang w:val="en-CA"/>
        </w:rPr>
        <w:t xml:space="preserve"> 1</w:t>
      </w:r>
      <w:r w:rsidR="009525A3">
        <w:rPr>
          <w:rFonts w:asciiTheme="majorBidi" w:hAnsiTheme="majorBidi" w:cstheme="majorBidi"/>
          <w:color w:val="000000" w:themeColor="text1"/>
          <w:lang w:val="en-CA"/>
        </w:rPr>
        <w:t>(3)</w:t>
      </w:r>
      <w:r w:rsidRPr="00667B89">
        <w:rPr>
          <w:rFonts w:asciiTheme="majorBidi" w:hAnsiTheme="majorBidi" w:cstheme="majorBidi"/>
          <w:color w:val="000000" w:themeColor="text1"/>
          <w:lang w:val="en-CA"/>
        </w:rPr>
        <w:t>: 186-194</w:t>
      </w:r>
      <w:r w:rsidR="009525A3">
        <w:rPr>
          <w:rFonts w:asciiTheme="majorBidi" w:hAnsiTheme="majorBidi" w:cstheme="majorBidi"/>
          <w:color w:val="000000" w:themeColor="text1"/>
          <w:lang w:val="en-CA"/>
        </w:rPr>
        <w:t>.</w:t>
      </w:r>
    </w:p>
    <w:p w:rsidR="00A35CA0" w:rsidRPr="00732311" w:rsidRDefault="00CC3C93" w:rsidP="00CA5FBB">
      <w:pPr>
        <w:tabs>
          <w:tab w:val="left" w:pos="360"/>
        </w:tabs>
        <w:spacing w:before="120" w:line="240" w:lineRule="auto"/>
        <w:jc w:val="left"/>
        <w:rPr>
          <w:rFonts w:asciiTheme="majorBidi" w:hAnsiTheme="majorBidi" w:cstheme="majorBidi"/>
          <w:noProof/>
          <w:color w:val="000000" w:themeColor="text1"/>
        </w:rPr>
      </w:pPr>
      <w:r w:rsidRPr="00667B89">
        <w:rPr>
          <w:rFonts w:asciiTheme="majorBidi" w:hAnsiTheme="majorBidi" w:cstheme="majorBidi"/>
          <w:noProof/>
          <w:color w:val="000000"/>
        </w:rPr>
        <w:t xml:space="preserve">Toratora, G.J. and Anagnostakos, N.P.  1984.  </w:t>
      </w:r>
      <w:r w:rsidRPr="00667B89">
        <w:rPr>
          <w:rFonts w:asciiTheme="majorBidi" w:hAnsiTheme="majorBidi" w:cstheme="majorBidi"/>
          <w:i/>
          <w:noProof/>
          <w:color w:val="000000"/>
        </w:rPr>
        <w:t>Principles of Anatomy</w:t>
      </w:r>
      <w:r w:rsidRPr="00667B89">
        <w:rPr>
          <w:rFonts w:asciiTheme="majorBidi" w:hAnsiTheme="majorBidi" w:cstheme="majorBidi"/>
          <w:noProof/>
          <w:color w:val="000000"/>
        </w:rPr>
        <w:t xml:space="preserve">. Fourth Edition.  Harper and Row </w:t>
      </w:r>
      <w:r w:rsidRPr="00732311">
        <w:rPr>
          <w:rFonts w:asciiTheme="majorBidi" w:hAnsiTheme="majorBidi" w:cstheme="majorBidi"/>
          <w:noProof/>
          <w:color w:val="000000" w:themeColor="text1"/>
        </w:rPr>
        <w:t>Publishers</w:t>
      </w:r>
      <w:r w:rsidR="009525A3" w:rsidRPr="00732311">
        <w:rPr>
          <w:rFonts w:asciiTheme="majorBidi" w:hAnsiTheme="majorBidi" w:cstheme="majorBidi"/>
          <w:noProof/>
          <w:color w:val="000000" w:themeColor="text1"/>
        </w:rPr>
        <w:t xml:space="preserve">: </w:t>
      </w:r>
      <w:r w:rsidRPr="00732311">
        <w:rPr>
          <w:rFonts w:asciiTheme="majorBidi" w:hAnsiTheme="majorBidi" w:cstheme="majorBidi"/>
          <w:noProof/>
          <w:color w:val="000000" w:themeColor="text1"/>
        </w:rPr>
        <w:t>New York.  p. 127</w:t>
      </w:r>
      <w:r w:rsidR="009525A3" w:rsidRPr="00732311">
        <w:rPr>
          <w:rFonts w:asciiTheme="majorBidi" w:hAnsiTheme="majorBidi" w:cstheme="majorBidi"/>
          <w:noProof/>
          <w:color w:val="000000" w:themeColor="text1"/>
        </w:rPr>
        <w:t>.</w:t>
      </w:r>
    </w:p>
    <w:p w:rsidR="00A35CA0" w:rsidRPr="00732311" w:rsidRDefault="00CC3C93" w:rsidP="00CA5FBB">
      <w:pPr>
        <w:spacing w:before="120" w:line="240" w:lineRule="auto"/>
        <w:jc w:val="left"/>
        <w:rPr>
          <w:rFonts w:asciiTheme="majorBidi" w:hAnsiTheme="majorBidi" w:cstheme="majorBidi"/>
          <w:iCs/>
          <w:color w:val="000000" w:themeColor="text1"/>
        </w:rPr>
      </w:pPr>
      <w:r w:rsidRPr="00732311">
        <w:rPr>
          <w:rFonts w:asciiTheme="majorBidi" w:hAnsiTheme="majorBidi" w:cstheme="majorBidi"/>
          <w:iCs/>
          <w:color w:val="000000" w:themeColor="text1"/>
        </w:rPr>
        <w:t xml:space="preserve">Trivers, R.L.  Willard, D.E.  1973.  Natural Selection of Parental Ability to Vary the Sex Ratio of Offspring.  </w:t>
      </w:r>
      <w:r w:rsidRPr="00732311">
        <w:rPr>
          <w:rFonts w:asciiTheme="majorBidi" w:hAnsiTheme="majorBidi" w:cstheme="majorBidi"/>
          <w:i/>
          <w:iCs/>
          <w:color w:val="000000" w:themeColor="text1"/>
        </w:rPr>
        <w:t>Science</w:t>
      </w:r>
      <w:r w:rsidRPr="00732311">
        <w:rPr>
          <w:rFonts w:asciiTheme="majorBidi" w:hAnsiTheme="majorBidi" w:cstheme="majorBidi"/>
          <w:iCs/>
          <w:color w:val="000000" w:themeColor="text1"/>
        </w:rPr>
        <w:t xml:space="preserve"> 179(4068): 90-92</w:t>
      </w:r>
      <w:r w:rsidR="009525A3" w:rsidRPr="00732311">
        <w:rPr>
          <w:rFonts w:asciiTheme="majorBidi" w:hAnsiTheme="majorBidi" w:cstheme="majorBidi"/>
          <w:iCs/>
          <w:color w:val="000000" w:themeColor="text1"/>
        </w:rPr>
        <w:t>.</w:t>
      </w:r>
    </w:p>
    <w:p w:rsidR="00A35CA0" w:rsidRPr="00732311" w:rsidRDefault="00CC3C93" w:rsidP="00CA5FBB">
      <w:pPr>
        <w:spacing w:before="120" w:line="240" w:lineRule="auto"/>
        <w:jc w:val="left"/>
        <w:rPr>
          <w:rFonts w:asciiTheme="majorBidi" w:hAnsiTheme="majorBidi" w:cstheme="majorBidi"/>
          <w:color w:val="000000" w:themeColor="text1"/>
          <w:lang w:val="en-CA"/>
        </w:rPr>
      </w:pPr>
      <w:r w:rsidRPr="00732311">
        <w:rPr>
          <w:rFonts w:asciiTheme="majorBidi" w:hAnsiTheme="majorBidi" w:cstheme="majorBidi"/>
          <w:color w:val="000000" w:themeColor="text1"/>
          <w:lang w:val="en-CA"/>
        </w:rPr>
        <w:t xml:space="preserve">Ubelaker, D.H.  1987.  Estimating age at death from immature human skeletons: An overview.  </w:t>
      </w:r>
      <w:r w:rsidRPr="00732311">
        <w:rPr>
          <w:rFonts w:asciiTheme="majorBidi" w:hAnsiTheme="majorBidi" w:cstheme="majorBidi"/>
          <w:i/>
          <w:color w:val="000000" w:themeColor="text1"/>
          <w:lang w:val="en-CA"/>
        </w:rPr>
        <w:t>Journal of Forensic Science</w:t>
      </w:r>
      <w:r w:rsidRPr="00732311">
        <w:rPr>
          <w:rFonts w:asciiTheme="majorBidi" w:hAnsiTheme="majorBidi" w:cstheme="majorBidi"/>
          <w:color w:val="000000" w:themeColor="text1"/>
          <w:lang w:val="en-CA"/>
        </w:rPr>
        <w:t xml:space="preserve"> 32</w:t>
      </w:r>
      <w:r w:rsidR="009525A3" w:rsidRPr="00732311">
        <w:rPr>
          <w:rFonts w:asciiTheme="majorBidi" w:hAnsiTheme="majorBidi" w:cstheme="majorBidi"/>
          <w:color w:val="000000" w:themeColor="text1"/>
          <w:lang w:val="en-CA"/>
        </w:rPr>
        <w:t>(5)</w:t>
      </w:r>
      <w:r w:rsidRPr="00732311">
        <w:rPr>
          <w:rFonts w:asciiTheme="majorBidi" w:hAnsiTheme="majorBidi" w:cstheme="majorBidi"/>
          <w:color w:val="000000" w:themeColor="text1"/>
          <w:lang w:val="en-CA"/>
        </w:rPr>
        <w:t>:</w:t>
      </w:r>
      <w:r w:rsidR="009525A3" w:rsidRPr="00732311">
        <w:rPr>
          <w:rFonts w:asciiTheme="majorBidi" w:hAnsiTheme="majorBidi" w:cstheme="majorBidi"/>
          <w:color w:val="000000" w:themeColor="text1"/>
          <w:lang w:val="en-CA"/>
        </w:rPr>
        <w:t xml:space="preserve"> </w:t>
      </w:r>
      <w:r w:rsidRPr="00732311">
        <w:rPr>
          <w:rFonts w:asciiTheme="majorBidi" w:hAnsiTheme="majorBidi" w:cstheme="majorBidi"/>
          <w:color w:val="000000" w:themeColor="text1"/>
          <w:lang w:val="en-CA"/>
        </w:rPr>
        <w:t>1254-1263</w:t>
      </w:r>
      <w:r w:rsidR="009525A3" w:rsidRPr="00732311">
        <w:rPr>
          <w:rFonts w:asciiTheme="majorBidi" w:hAnsiTheme="majorBidi" w:cstheme="majorBidi"/>
          <w:color w:val="000000" w:themeColor="text1"/>
          <w:lang w:val="en-CA"/>
        </w:rPr>
        <w:t>.</w:t>
      </w:r>
    </w:p>
    <w:p w:rsidR="00A35CA0" w:rsidRPr="00732311" w:rsidRDefault="00CC3C93" w:rsidP="00CA5FBB">
      <w:pPr>
        <w:spacing w:before="120" w:line="240" w:lineRule="auto"/>
        <w:jc w:val="left"/>
        <w:rPr>
          <w:rFonts w:asciiTheme="majorBidi" w:hAnsiTheme="majorBidi" w:cstheme="majorBidi"/>
          <w:color w:val="000000" w:themeColor="text1"/>
          <w:lang w:val="en-CA"/>
        </w:rPr>
      </w:pPr>
      <w:r w:rsidRPr="00732311">
        <w:rPr>
          <w:rFonts w:asciiTheme="majorBidi" w:hAnsiTheme="majorBidi" w:cstheme="majorBidi"/>
          <w:color w:val="000000" w:themeColor="text1"/>
          <w:lang w:val="en-CA"/>
        </w:rPr>
        <w:t xml:space="preserve">Ubelaker, D.H.  1989.  The estimation of age at death from immature human bone.  </w:t>
      </w:r>
      <w:proofErr w:type="gramStart"/>
      <w:r w:rsidRPr="00732311">
        <w:rPr>
          <w:rFonts w:asciiTheme="majorBidi" w:hAnsiTheme="majorBidi" w:cstheme="majorBidi"/>
          <w:color w:val="000000" w:themeColor="text1"/>
          <w:lang w:val="en-CA"/>
        </w:rPr>
        <w:t xml:space="preserve">In </w:t>
      </w:r>
      <w:r w:rsidRPr="00732311">
        <w:rPr>
          <w:rFonts w:asciiTheme="majorBidi" w:hAnsiTheme="majorBidi" w:cstheme="majorBidi"/>
          <w:i/>
          <w:color w:val="000000" w:themeColor="text1"/>
          <w:lang w:val="en-CA"/>
        </w:rPr>
        <w:t>Age Markers in the Human Skeleton</w:t>
      </w:r>
      <w:r w:rsidRPr="00732311">
        <w:rPr>
          <w:rFonts w:asciiTheme="majorBidi" w:hAnsiTheme="majorBidi" w:cstheme="majorBidi"/>
          <w:color w:val="000000" w:themeColor="text1"/>
          <w:lang w:val="en-CA"/>
        </w:rPr>
        <w:t>.</w:t>
      </w:r>
      <w:proofErr w:type="gramEnd"/>
      <w:r w:rsidRPr="00732311">
        <w:rPr>
          <w:rFonts w:asciiTheme="majorBidi" w:hAnsiTheme="majorBidi" w:cstheme="majorBidi"/>
          <w:color w:val="000000" w:themeColor="text1"/>
          <w:lang w:val="en-CA"/>
        </w:rPr>
        <w:t xml:space="preserve">  Iscan, M.Y.  </w:t>
      </w:r>
      <w:r w:rsidR="003A2314" w:rsidRPr="00732311">
        <w:rPr>
          <w:rFonts w:asciiTheme="majorBidi" w:hAnsiTheme="majorBidi" w:cstheme="majorBidi"/>
          <w:color w:val="000000" w:themeColor="text1"/>
          <w:lang w:val="en-CA"/>
        </w:rPr>
        <w:t>(</w:t>
      </w:r>
      <w:proofErr w:type="gramStart"/>
      <w:r w:rsidRPr="00732311">
        <w:rPr>
          <w:rFonts w:asciiTheme="majorBidi" w:hAnsiTheme="majorBidi" w:cstheme="majorBidi"/>
          <w:color w:val="000000" w:themeColor="text1"/>
          <w:lang w:val="en-CA"/>
        </w:rPr>
        <w:t>ed</w:t>
      </w:r>
      <w:proofErr w:type="gramEnd"/>
      <w:r w:rsidRPr="00732311">
        <w:rPr>
          <w:rFonts w:asciiTheme="majorBidi" w:hAnsiTheme="majorBidi" w:cstheme="majorBidi"/>
          <w:color w:val="000000" w:themeColor="text1"/>
          <w:lang w:val="en-CA"/>
        </w:rPr>
        <w:t>.</w:t>
      </w:r>
      <w:r w:rsidR="003A2314" w:rsidRPr="00732311">
        <w:rPr>
          <w:rFonts w:asciiTheme="majorBidi" w:hAnsiTheme="majorBidi" w:cstheme="majorBidi"/>
          <w:color w:val="000000" w:themeColor="text1"/>
          <w:lang w:val="en-CA"/>
        </w:rPr>
        <w:t>)</w:t>
      </w:r>
      <w:r w:rsidRPr="00732311">
        <w:rPr>
          <w:rFonts w:asciiTheme="majorBidi" w:hAnsiTheme="majorBidi" w:cstheme="majorBidi"/>
          <w:color w:val="000000" w:themeColor="text1"/>
          <w:lang w:val="en-CA"/>
        </w:rPr>
        <w:t xml:space="preserve">  Charles C. Thomas: </w:t>
      </w:r>
      <w:proofErr w:type="gramStart"/>
      <w:r w:rsidRPr="00732311">
        <w:rPr>
          <w:rFonts w:asciiTheme="majorBidi" w:hAnsiTheme="majorBidi" w:cstheme="majorBidi"/>
          <w:color w:val="000000" w:themeColor="text1"/>
          <w:lang w:val="en-CA"/>
        </w:rPr>
        <w:t>Springfield  pp.55</w:t>
      </w:r>
      <w:proofErr w:type="gramEnd"/>
      <w:r w:rsidRPr="00732311">
        <w:rPr>
          <w:rFonts w:asciiTheme="majorBidi" w:hAnsiTheme="majorBidi" w:cstheme="majorBidi"/>
          <w:color w:val="000000" w:themeColor="text1"/>
          <w:lang w:val="en-CA"/>
        </w:rPr>
        <w:t>-70</w:t>
      </w:r>
      <w:r w:rsidR="003A2314" w:rsidRPr="00732311">
        <w:rPr>
          <w:rFonts w:asciiTheme="majorBidi" w:hAnsiTheme="majorBidi" w:cstheme="majorBidi"/>
          <w:color w:val="000000" w:themeColor="text1"/>
          <w:lang w:val="en-CA"/>
        </w:rPr>
        <w:t>.</w:t>
      </w:r>
    </w:p>
    <w:p w:rsidR="00284611" w:rsidRPr="00732311" w:rsidRDefault="00284611" w:rsidP="00284611">
      <w:pPr>
        <w:spacing w:before="120" w:line="240" w:lineRule="auto"/>
        <w:jc w:val="left"/>
        <w:rPr>
          <w:rFonts w:asciiTheme="majorBidi" w:hAnsiTheme="majorBidi" w:cstheme="majorBidi"/>
          <w:color w:val="000000" w:themeColor="text1"/>
        </w:rPr>
      </w:pPr>
      <w:r w:rsidRPr="00732311">
        <w:rPr>
          <w:rFonts w:asciiTheme="majorBidi" w:hAnsiTheme="majorBidi" w:cstheme="majorBidi"/>
          <w:color w:val="000000" w:themeColor="text1"/>
        </w:rPr>
        <w:t xml:space="preserve">Ungar, P.S.  M’Kirera, F.  2003.  A solution to the worn tooth conundrum in primate functional anatomy.  </w:t>
      </w:r>
      <w:r w:rsidRPr="00732311">
        <w:rPr>
          <w:rFonts w:asciiTheme="majorBidi" w:hAnsiTheme="majorBidi" w:cstheme="majorBidi"/>
          <w:i/>
          <w:color w:val="000000" w:themeColor="text1"/>
        </w:rPr>
        <w:t>Proceedings of the National Academy of Sciences of the United States of America</w:t>
      </w:r>
      <w:r w:rsidRPr="00732311">
        <w:rPr>
          <w:rFonts w:asciiTheme="majorBidi" w:hAnsiTheme="majorBidi" w:cstheme="majorBidi"/>
          <w:color w:val="000000" w:themeColor="text1"/>
        </w:rPr>
        <w:t xml:space="preserve"> 100(7): 3874-3877.</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732311">
        <w:rPr>
          <w:rFonts w:asciiTheme="majorBidi" w:hAnsiTheme="majorBidi" w:cstheme="majorBidi"/>
          <w:color w:val="000000" w:themeColor="text1"/>
        </w:rPr>
        <w:t>Velhagen</w:t>
      </w:r>
      <w:proofErr w:type="gramStart"/>
      <w:r w:rsidRPr="00732311">
        <w:rPr>
          <w:rFonts w:asciiTheme="majorBidi" w:hAnsiTheme="majorBidi" w:cstheme="majorBidi"/>
          <w:color w:val="000000" w:themeColor="text1"/>
        </w:rPr>
        <w:t>,W</w:t>
      </w:r>
      <w:proofErr w:type="gramEnd"/>
      <w:r w:rsidRPr="00732311">
        <w:rPr>
          <w:rFonts w:asciiTheme="majorBidi" w:hAnsiTheme="majorBidi" w:cstheme="majorBidi"/>
          <w:color w:val="000000" w:themeColor="text1"/>
        </w:rPr>
        <w:t>. A.</w:t>
      </w:r>
      <w:r w:rsidRPr="00667B89">
        <w:rPr>
          <w:rFonts w:asciiTheme="majorBidi" w:hAnsiTheme="majorBidi" w:cstheme="majorBidi"/>
        </w:rPr>
        <w:t xml:space="preserve">  1997. Analyzing developmental sequences using sequence units. </w:t>
      </w:r>
      <w:r w:rsidRPr="00667B89">
        <w:rPr>
          <w:rFonts w:asciiTheme="majorBidi" w:hAnsiTheme="majorBidi" w:cstheme="majorBidi"/>
          <w:i/>
        </w:rPr>
        <w:t>Systematic Biology</w:t>
      </w:r>
      <w:r w:rsidRPr="00667B89">
        <w:rPr>
          <w:rFonts w:asciiTheme="majorBidi" w:hAnsiTheme="majorBidi" w:cstheme="majorBidi"/>
        </w:rPr>
        <w:t xml:space="preserve"> 46:1: 204–210.</w:t>
      </w:r>
    </w:p>
    <w:p w:rsidR="00A35CA0" w:rsidRDefault="00CC3C93" w:rsidP="00CA5FBB">
      <w:pPr>
        <w:tabs>
          <w:tab w:val="left" w:pos="360"/>
        </w:tabs>
        <w:spacing w:before="120" w:line="240" w:lineRule="auto"/>
        <w:jc w:val="left"/>
        <w:rPr>
          <w:noProof/>
          <w:color w:val="000000"/>
        </w:rPr>
      </w:pPr>
      <w:r w:rsidRPr="007659DA">
        <w:rPr>
          <w:noProof/>
          <w:color w:val="000000"/>
        </w:rPr>
        <w:t xml:space="preserve">Vrba, E.S.  1996.  Climate, heterochrony, and human evolution.  </w:t>
      </w:r>
      <w:r w:rsidRPr="007659DA">
        <w:rPr>
          <w:i/>
          <w:noProof/>
          <w:color w:val="000000"/>
        </w:rPr>
        <w:t>Journal of Anthropological Research</w:t>
      </w:r>
      <w:r w:rsidRPr="007659DA">
        <w:rPr>
          <w:noProof/>
          <w:color w:val="000000"/>
        </w:rPr>
        <w:t xml:space="preserve"> 52(1): 1–28</w:t>
      </w:r>
      <w:r w:rsidR="003A2314">
        <w:rPr>
          <w:noProof/>
          <w:color w:val="000000"/>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52522">
        <w:rPr>
          <w:rFonts w:asciiTheme="majorBidi" w:hAnsiTheme="majorBidi" w:cstheme="majorBidi"/>
          <w:lang w:val="nl-NL"/>
        </w:rPr>
        <w:t xml:space="preserve">Wagenen, G. van  Asling, C.W.  </w:t>
      </w:r>
      <w:r w:rsidRPr="00667B89">
        <w:rPr>
          <w:rFonts w:asciiTheme="majorBidi" w:hAnsiTheme="majorBidi" w:cstheme="majorBidi"/>
        </w:rPr>
        <w:t xml:space="preserve">1958.  </w:t>
      </w:r>
      <w:proofErr w:type="gramStart"/>
      <w:r w:rsidRPr="00667B89">
        <w:rPr>
          <w:rFonts w:asciiTheme="majorBidi" w:hAnsiTheme="majorBidi" w:cstheme="majorBidi"/>
        </w:rPr>
        <w:t xml:space="preserve">Roentgenographic estimation of bone age in the rhesus monkey </w:t>
      </w:r>
      <w:r w:rsidRPr="003A2314">
        <w:rPr>
          <w:rFonts w:asciiTheme="majorBidi" w:hAnsiTheme="majorBidi" w:cstheme="majorBidi"/>
          <w:bCs/>
          <w:iCs/>
        </w:rPr>
        <w:t>(</w:t>
      </w:r>
      <w:r w:rsidRPr="00667B89">
        <w:rPr>
          <w:rFonts w:asciiTheme="majorBidi" w:hAnsiTheme="majorBidi" w:cstheme="majorBidi"/>
          <w:bCs/>
          <w:i/>
          <w:iCs/>
        </w:rPr>
        <w:t>Macaca</w:t>
      </w:r>
      <w:r w:rsidRPr="00667B89">
        <w:rPr>
          <w:rFonts w:asciiTheme="majorBidi" w:hAnsiTheme="majorBidi" w:cstheme="majorBidi"/>
        </w:rPr>
        <w:t xml:space="preserve"> </w:t>
      </w:r>
      <w:r w:rsidRPr="00667B89">
        <w:rPr>
          <w:rFonts w:asciiTheme="majorBidi" w:hAnsiTheme="majorBidi" w:cstheme="majorBidi"/>
          <w:i/>
          <w:iCs/>
        </w:rPr>
        <w:t>mulatta</w:t>
      </w:r>
      <w:r w:rsidRPr="003A2314">
        <w:rPr>
          <w:rFonts w:asciiTheme="majorBidi" w:hAnsiTheme="majorBidi" w:cstheme="majorBidi"/>
          <w:iCs/>
        </w:rPr>
        <w:t>)</w:t>
      </w:r>
      <w:r w:rsidRPr="00667B89">
        <w:rPr>
          <w:rFonts w:asciiTheme="majorBidi" w:hAnsiTheme="majorBidi" w:cstheme="majorBidi"/>
          <w:i/>
          <w:iCs/>
        </w:rPr>
        <w:t>.</w:t>
      </w:r>
      <w:proofErr w:type="gramEnd"/>
      <w:r w:rsidRPr="00667B89">
        <w:rPr>
          <w:rFonts w:asciiTheme="majorBidi" w:hAnsiTheme="majorBidi" w:cstheme="majorBidi"/>
          <w:i/>
          <w:iCs/>
        </w:rPr>
        <w:t xml:space="preserve"> </w:t>
      </w:r>
      <w:r w:rsidRPr="00667B89">
        <w:rPr>
          <w:rFonts w:asciiTheme="majorBidi" w:hAnsiTheme="majorBidi" w:cstheme="majorBidi"/>
          <w:bCs/>
          <w:i/>
        </w:rPr>
        <w:t xml:space="preserve">American </w:t>
      </w:r>
      <w:r w:rsidRPr="00667B89">
        <w:rPr>
          <w:rFonts w:asciiTheme="majorBidi" w:hAnsiTheme="majorBidi" w:cstheme="majorBidi"/>
          <w:i/>
        </w:rPr>
        <w:t>Journal of Anatomy</w:t>
      </w:r>
      <w:r w:rsidRPr="00667B89">
        <w:rPr>
          <w:rFonts w:asciiTheme="majorBidi" w:hAnsiTheme="majorBidi" w:cstheme="majorBidi"/>
        </w:rPr>
        <w:t xml:space="preserve"> 103</w:t>
      </w:r>
      <w:r w:rsidR="003A2314">
        <w:rPr>
          <w:rFonts w:asciiTheme="majorBidi" w:hAnsiTheme="majorBidi" w:cstheme="majorBidi"/>
        </w:rPr>
        <w:t>(2)</w:t>
      </w:r>
      <w:r w:rsidRPr="00667B89">
        <w:rPr>
          <w:rFonts w:asciiTheme="majorBidi" w:hAnsiTheme="majorBidi" w:cstheme="majorBidi"/>
        </w:rPr>
        <w:t>:</w:t>
      </w:r>
      <w:r w:rsidR="003A2314">
        <w:rPr>
          <w:rFonts w:asciiTheme="majorBidi" w:hAnsiTheme="majorBidi" w:cstheme="majorBidi"/>
        </w:rPr>
        <w:t xml:space="preserve"> </w:t>
      </w:r>
      <w:r w:rsidRPr="00667B89">
        <w:rPr>
          <w:rFonts w:asciiTheme="majorBidi" w:hAnsiTheme="majorBidi" w:cstheme="majorBidi"/>
        </w:rPr>
        <w:t>163-185</w:t>
      </w:r>
      <w:r w:rsidR="003A2314">
        <w:rPr>
          <w:rFonts w:asciiTheme="majorBidi" w:hAnsiTheme="majorBidi" w:cstheme="majorBidi"/>
        </w:rPr>
        <w:t>.</w:t>
      </w:r>
    </w:p>
    <w:p w:rsidR="00A35CA0" w:rsidRDefault="00CC3C93" w:rsidP="00CA5FBB">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Walker, D.N.  1987.  Sequence of epiphyseal fusion in the Rocky Mountain Bighorn Sheep.  </w:t>
      </w:r>
      <w:r w:rsidRPr="00667B89">
        <w:rPr>
          <w:rFonts w:asciiTheme="majorBidi" w:hAnsiTheme="majorBidi" w:cstheme="majorBidi"/>
          <w:i/>
        </w:rPr>
        <w:t>Western North American Naturalist</w:t>
      </w:r>
      <w:r w:rsidRPr="00667B89">
        <w:rPr>
          <w:rFonts w:asciiTheme="majorBidi" w:hAnsiTheme="majorBidi" w:cstheme="majorBidi"/>
        </w:rPr>
        <w:t xml:space="preserve"> 47</w:t>
      </w:r>
      <w:r w:rsidR="003A2314">
        <w:rPr>
          <w:rFonts w:asciiTheme="majorBidi" w:hAnsiTheme="majorBidi" w:cstheme="majorBidi"/>
        </w:rPr>
        <w:t>(</w:t>
      </w:r>
      <w:r w:rsidRPr="00667B89">
        <w:rPr>
          <w:rFonts w:asciiTheme="majorBidi" w:hAnsiTheme="majorBidi" w:cstheme="majorBidi"/>
        </w:rPr>
        <w:t>1</w:t>
      </w:r>
      <w:r w:rsidR="003A2314">
        <w:rPr>
          <w:rFonts w:asciiTheme="majorBidi" w:hAnsiTheme="majorBidi" w:cstheme="majorBidi"/>
        </w:rPr>
        <w:t>)</w:t>
      </w:r>
      <w:r w:rsidRPr="00667B89">
        <w:rPr>
          <w:rFonts w:asciiTheme="majorBidi" w:hAnsiTheme="majorBidi" w:cstheme="majorBidi"/>
        </w:rPr>
        <w:t>: 7-12</w:t>
      </w:r>
      <w:r w:rsidR="003A2314">
        <w:rPr>
          <w:rFonts w:asciiTheme="majorBidi" w:hAnsiTheme="majorBidi" w:cstheme="majorBidi"/>
        </w:rPr>
        <w:t>.</w:t>
      </w:r>
    </w:p>
    <w:p w:rsidR="00150A70" w:rsidRDefault="00CC3C93" w:rsidP="00E53F3C">
      <w:pPr>
        <w:autoSpaceDE w:val="0"/>
        <w:autoSpaceDN w:val="0"/>
        <w:adjustRightInd w:val="0"/>
        <w:spacing w:before="120" w:line="240" w:lineRule="auto"/>
        <w:jc w:val="left"/>
        <w:rPr>
          <w:rFonts w:asciiTheme="majorBidi" w:hAnsiTheme="majorBidi" w:cstheme="majorBidi"/>
        </w:rPr>
      </w:pPr>
      <w:proofErr w:type="gramStart"/>
      <w:r w:rsidRPr="00667B89">
        <w:rPr>
          <w:rFonts w:asciiTheme="majorBidi" w:hAnsiTheme="majorBidi" w:cstheme="majorBidi"/>
        </w:rPr>
        <w:t>Walker, A.</w:t>
      </w:r>
      <w:proofErr w:type="gramEnd"/>
      <w:r w:rsidRPr="00667B89">
        <w:rPr>
          <w:rFonts w:asciiTheme="majorBidi" w:hAnsiTheme="majorBidi" w:cstheme="majorBidi"/>
        </w:rPr>
        <w:t xml:space="preserve">  Leakey, R.  1993.  </w:t>
      </w:r>
      <w:r w:rsidRPr="00667B89">
        <w:rPr>
          <w:rFonts w:asciiTheme="majorBidi" w:hAnsiTheme="majorBidi" w:cstheme="majorBidi"/>
          <w:i/>
        </w:rPr>
        <w:t xml:space="preserve">The Nariokotome Homo </w:t>
      </w:r>
      <w:proofErr w:type="gramStart"/>
      <w:r w:rsidRPr="00667B89">
        <w:rPr>
          <w:rFonts w:asciiTheme="majorBidi" w:hAnsiTheme="majorBidi" w:cstheme="majorBidi"/>
          <w:i/>
        </w:rPr>
        <w:t>Erectus</w:t>
      </w:r>
      <w:proofErr w:type="gramEnd"/>
      <w:r w:rsidRPr="00667B89">
        <w:rPr>
          <w:rFonts w:asciiTheme="majorBidi" w:hAnsiTheme="majorBidi" w:cstheme="majorBidi"/>
          <w:i/>
        </w:rPr>
        <w:t xml:space="preserve"> Skeleton.</w:t>
      </w:r>
      <w:r w:rsidRPr="00667B89">
        <w:rPr>
          <w:rFonts w:asciiTheme="majorBidi" w:hAnsiTheme="majorBidi" w:cstheme="majorBidi"/>
        </w:rPr>
        <w:t xml:space="preserve"> Springer-Verlag: Berlin. </w:t>
      </w:r>
      <w:proofErr w:type="gramStart"/>
      <w:r w:rsidRPr="00667B89">
        <w:rPr>
          <w:rFonts w:asciiTheme="majorBidi" w:hAnsiTheme="majorBidi" w:cstheme="majorBidi"/>
        </w:rPr>
        <w:t>p. 235</w:t>
      </w:r>
      <w:r w:rsidR="008157C8">
        <w:rPr>
          <w:rFonts w:asciiTheme="majorBidi" w:hAnsiTheme="majorBidi" w:cstheme="majorBidi"/>
        </w:rPr>
        <w:t>.</w:t>
      </w:r>
      <w:proofErr w:type="gramEnd"/>
    </w:p>
    <w:p w:rsidR="00150A70" w:rsidRPr="00150A70" w:rsidRDefault="00150A70" w:rsidP="00E53F3C">
      <w:pPr>
        <w:autoSpaceDE w:val="0"/>
        <w:autoSpaceDN w:val="0"/>
        <w:adjustRightInd w:val="0"/>
        <w:spacing w:before="120" w:line="240" w:lineRule="auto"/>
        <w:jc w:val="left"/>
        <w:rPr>
          <w:rFonts w:asciiTheme="majorBidi" w:hAnsiTheme="majorBidi" w:cstheme="majorBidi"/>
        </w:rPr>
      </w:pPr>
      <w:r>
        <w:rPr>
          <w:noProof/>
        </w:rPr>
        <w:t xml:space="preserve">Wang, J.  Zhou, J.  Bondy, C.A.  </w:t>
      </w:r>
      <w:r w:rsidRPr="00E36392">
        <w:rPr>
          <w:noProof/>
        </w:rPr>
        <w:t>1999</w:t>
      </w:r>
      <w:r>
        <w:rPr>
          <w:noProof/>
        </w:rPr>
        <w:t xml:space="preserve">.  </w:t>
      </w:r>
      <w:r w:rsidRPr="00E36392">
        <w:rPr>
          <w:noProof/>
        </w:rPr>
        <w:t>Igf1 promotes longitudinal bone growth by insulin-like actions augmenting chondrocyte hypertrophy.</w:t>
      </w:r>
      <w:r>
        <w:rPr>
          <w:noProof/>
        </w:rPr>
        <w:t xml:space="preserve">  </w:t>
      </w:r>
      <w:r>
        <w:rPr>
          <w:i/>
          <w:noProof/>
        </w:rPr>
        <w:t>Federation of American Societies for Experimental Biology</w:t>
      </w:r>
      <w:r w:rsidRPr="00E36392">
        <w:rPr>
          <w:noProof/>
        </w:rPr>
        <w:t xml:space="preserve"> 13(14):1985-</w:t>
      </w:r>
      <w:r>
        <w:rPr>
          <w:noProof/>
        </w:rPr>
        <w:t>19</w:t>
      </w:r>
      <w:r w:rsidRPr="00E36392">
        <w:rPr>
          <w:noProof/>
        </w:rPr>
        <w:t>90.</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 xml:space="preserve">Watts, E.S.  1971.  </w:t>
      </w:r>
      <w:r w:rsidRPr="00667B89">
        <w:rPr>
          <w:rFonts w:asciiTheme="majorBidi" w:hAnsiTheme="majorBidi" w:cstheme="majorBidi"/>
          <w:i/>
          <w:color w:val="000000"/>
          <w:lang w:val="en-CA"/>
        </w:rPr>
        <w:t>A comparative study of skeletal maturation in the chimpanzee and rhesus monkey and its relationship to growth and sexual maturity.</w:t>
      </w:r>
      <w:r w:rsidRPr="00667B89">
        <w:rPr>
          <w:rFonts w:asciiTheme="majorBidi" w:hAnsiTheme="majorBidi" w:cstheme="majorBidi"/>
          <w:color w:val="000000"/>
          <w:lang w:val="en-CA"/>
        </w:rPr>
        <w:t xml:space="preserve">  </w:t>
      </w:r>
      <w:proofErr w:type="gramStart"/>
      <w:r w:rsidRPr="00667B89">
        <w:rPr>
          <w:rFonts w:asciiTheme="majorBidi" w:hAnsiTheme="majorBidi" w:cstheme="majorBidi"/>
          <w:color w:val="000000"/>
          <w:lang w:val="en-CA"/>
        </w:rPr>
        <w:t>Ph.D. thesis, University of Pennsylvania, Philadelphia PA.</w:t>
      </w:r>
      <w:proofErr w:type="gramEnd"/>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Watts, E.S.  1982</w:t>
      </w:r>
      <w:r>
        <w:rPr>
          <w:rFonts w:asciiTheme="majorBidi" w:hAnsiTheme="majorBidi" w:cstheme="majorBidi"/>
          <w:color w:val="000000"/>
          <w:lang w:val="en-CA"/>
        </w:rPr>
        <w:t>.</w:t>
      </w:r>
      <w:r w:rsidRPr="00667B89">
        <w:rPr>
          <w:rFonts w:asciiTheme="majorBidi" w:hAnsiTheme="majorBidi" w:cstheme="majorBidi"/>
          <w:color w:val="000000"/>
          <w:lang w:val="en-CA"/>
        </w:rPr>
        <w:t xml:space="preserve">  Postnatal growth of nonhuman primates: the problem of adolescent spurt.  </w:t>
      </w:r>
      <w:r w:rsidRPr="00667B89">
        <w:rPr>
          <w:rFonts w:asciiTheme="majorBidi" w:hAnsiTheme="majorBidi" w:cstheme="majorBidi"/>
          <w:i/>
          <w:color w:val="000000"/>
          <w:lang w:val="en-CA"/>
        </w:rPr>
        <w:t>Human Biology</w:t>
      </w:r>
      <w:r w:rsidRPr="00667B89">
        <w:rPr>
          <w:rFonts w:asciiTheme="majorBidi" w:hAnsiTheme="majorBidi" w:cstheme="majorBidi"/>
          <w:color w:val="000000"/>
          <w:lang w:val="en-CA"/>
        </w:rPr>
        <w:t xml:space="preserve"> 54</w:t>
      </w:r>
      <w:r w:rsidR="008157C8">
        <w:rPr>
          <w:rFonts w:asciiTheme="majorBidi" w:hAnsiTheme="majorBidi" w:cstheme="majorBidi"/>
          <w:color w:val="000000"/>
          <w:lang w:val="en-CA"/>
        </w:rPr>
        <w:t>(1)</w:t>
      </w:r>
      <w:r w:rsidRPr="00667B89">
        <w:rPr>
          <w:rFonts w:asciiTheme="majorBidi" w:hAnsiTheme="majorBidi" w:cstheme="majorBidi"/>
          <w:color w:val="000000"/>
          <w:lang w:val="en-CA"/>
        </w:rPr>
        <w:t>:</w:t>
      </w:r>
      <w:r w:rsidR="008157C8">
        <w:rPr>
          <w:rFonts w:asciiTheme="majorBidi" w:hAnsiTheme="majorBidi" w:cstheme="majorBidi"/>
          <w:color w:val="000000"/>
          <w:lang w:val="en-CA"/>
        </w:rPr>
        <w:t xml:space="preserve"> </w:t>
      </w:r>
      <w:r w:rsidRPr="00667B89">
        <w:rPr>
          <w:rFonts w:asciiTheme="majorBidi" w:hAnsiTheme="majorBidi" w:cstheme="majorBidi"/>
          <w:color w:val="000000"/>
          <w:lang w:val="en-CA"/>
        </w:rPr>
        <w:t>53-70</w:t>
      </w:r>
      <w:r w:rsidR="008157C8">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sidRPr="00667B89">
        <w:rPr>
          <w:rFonts w:asciiTheme="majorBidi" w:hAnsiTheme="majorBidi" w:cstheme="majorBidi"/>
          <w:color w:val="000000"/>
          <w:lang w:val="en-CA"/>
        </w:rPr>
        <w:t xml:space="preserve">Watts, E.S.  1985. </w:t>
      </w:r>
      <w:r w:rsidRPr="00667B89">
        <w:rPr>
          <w:rFonts w:asciiTheme="majorBidi" w:hAnsiTheme="majorBidi" w:cstheme="majorBidi"/>
          <w:i/>
          <w:color w:val="000000"/>
          <w:lang w:val="en-CA"/>
        </w:rPr>
        <w:t>Adolescent growth and development of monkeys, apes and humans</w:t>
      </w:r>
      <w:r w:rsidRPr="00667B89">
        <w:rPr>
          <w:rFonts w:asciiTheme="majorBidi" w:hAnsiTheme="majorBidi" w:cstheme="majorBidi"/>
          <w:color w:val="000000"/>
          <w:lang w:val="en-CA"/>
        </w:rPr>
        <w:t>.  In: Watts, E.S. (ed</w:t>
      </w:r>
      <w:r w:rsidR="008157C8">
        <w:rPr>
          <w:rFonts w:asciiTheme="majorBidi" w:hAnsiTheme="majorBidi" w:cstheme="majorBidi"/>
          <w:color w:val="000000"/>
          <w:lang w:val="en-CA"/>
        </w:rPr>
        <w:t>.</w:t>
      </w:r>
      <w:r w:rsidRPr="00667B89">
        <w:rPr>
          <w:rFonts w:asciiTheme="majorBidi" w:hAnsiTheme="majorBidi" w:cstheme="majorBidi"/>
          <w:color w:val="000000"/>
          <w:lang w:val="en-CA"/>
        </w:rPr>
        <w:t xml:space="preserve">) Nonhuman primate models for human growth and development.  Liss: New York.  </w:t>
      </w:r>
      <w:proofErr w:type="gramStart"/>
      <w:r w:rsidRPr="00667B89">
        <w:rPr>
          <w:rFonts w:asciiTheme="majorBidi" w:hAnsiTheme="majorBidi" w:cstheme="majorBidi"/>
          <w:color w:val="000000"/>
          <w:lang w:val="en-CA"/>
        </w:rPr>
        <w:t>pp.41-65</w:t>
      </w:r>
      <w:proofErr w:type="gramEnd"/>
      <w:r w:rsidR="008157C8">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r w:rsidRPr="00601921">
        <w:rPr>
          <w:rFonts w:asciiTheme="majorBidi" w:hAnsiTheme="majorBidi" w:cstheme="majorBidi"/>
          <w:color w:val="000000"/>
          <w:lang w:val="en-CA"/>
        </w:rPr>
        <w:lastRenderedPageBreak/>
        <w:t>Watts</w:t>
      </w:r>
      <w:r>
        <w:rPr>
          <w:rFonts w:asciiTheme="majorBidi" w:hAnsiTheme="majorBidi" w:cstheme="majorBidi"/>
          <w:color w:val="000000"/>
          <w:lang w:val="en-CA"/>
        </w:rPr>
        <w:t>,</w:t>
      </w:r>
      <w:r w:rsidRPr="00601921">
        <w:rPr>
          <w:rFonts w:asciiTheme="majorBidi" w:hAnsiTheme="majorBidi" w:cstheme="majorBidi"/>
          <w:color w:val="000000"/>
          <w:lang w:val="en-CA"/>
        </w:rPr>
        <w:t xml:space="preserve"> E</w:t>
      </w:r>
      <w:r>
        <w:rPr>
          <w:rFonts w:asciiTheme="majorBidi" w:hAnsiTheme="majorBidi" w:cstheme="majorBidi"/>
          <w:color w:val="000000"/>
          <w:lang w:val="en-CA"/>
        </w:rPr>
        <w:t>.</w:t>
      </w:r>
      <w:r w:rsidRPr="00601921">
        <w:rPr>
          <w:rFonts w:asciiTheme="majorBidi" w:hAnsiTheme="majorBidi" w:cstheme="majorBidi"/>
          <w:color w:val="000000"/>
          <w:lang w:val="en-CA"/>
        </w:rPr>
        <w:t>S</w:t>
      </w:r>
      <w:r>
        <w:rPr>
          <w:rFonts w:asciiTheme="majorBidi" w:hAnsiTheme="majorBidi" w:cstheme="majorBidi"/>
          <w:color w:val="000000"/>
          <w:lang w:val="en-CA"/>
        </w:rPr>
        <w:t>.</w:t>
      </w:r>
      <w:r w:rsidRPr="00601921">
        <w:rPr>
          <w:rFonts w:asciiTheme="majorBidi" w:hAnsiTheme="majorBidi" w:cstheme="majorBidi"/>
          <w:color w:val="000000"/>
          <w:lang w:val="en-CA"/>
        </w:rPr>
        <w:t xml:space="preserve"> </w:t>
      </w:r>
      <w:r>
        <w:rPr>
          <w:rFonts w:asciiTheme="majorBidi" w:hAnsiTheme="majorBidi" w:cstheme="majorBidi"/>
          <w:color w:val="000000"/>
          <w:lang w:val="en-CA"/>
        </w:rPr>
        <w:t xml:space="preserve"> </w:t>
      </w:r>
      <w:r w:rsidRPr="00601921">
        <w:rPr>
          <w:rFonts w:asciiTheme="majorBidi" w:hAnsiTheme="majorBidi" w:cstheme="majorBidi"/>
          <w:color w:val="000000"/>
          <w:lang w:val="en-CA"/>
        </w:rPr>
        <w:t>Gava</w:t>
      </w:r>
      <w:r>
        <w:rPr>
          <w:rFonts w:asciiTheme="majorBidi" w:hAnsiTheme="majorBidi" w:cstheme="majorBidi"/>
          <w:color w:val="000000"/>
          <w:lang w:val="en-CA"/>
        </w:rPr>
        <w:t xml:space="preserve">n, J.A.  1982.  Postnatal growth of </w:t>
      </w:r>
      <w:r w:rsidRPr="00601921">
        <w:rPr>
          <w:rFonts w:asciiTheme="majorBidi" w:hAnsiTheme="majorBidi" w:cstheme="majorBidi"/>
          <w:color w:val="000000"/>
          <w:lang w:val="en-CA"/>
        </w:rPr>
        <w:t>nonhuman primates</w:t>
      </w:r>
      <w:r>
        <w:rPr>
          <w:rFonts w:asciiTheme="majorBidi" w:hAnsiTheme="majorBidi" w:cstheme="majorBidi"/>
          <w:color w:val="000000"/>
          <w:lang w:val="en-CA"/>
        </w:rPr>
        <w:t xml:space="preserve">: The problem of the adolescent </w:t>
      </w:r>
      <w:r w:rsidRPr="00601921">
        <w:rPr>
          <w:rFonts w:asciiTheme="majorBidi" w:hAnsiTheme="majorBidi" w:cstheme="majorBidi"/>
          <w:color w:val="000000"/>
          <w:lang w:val="en-CA"/>
        </w:rPr>
        <w:t xml:space="preserve">spurt. </w:t>
      </w:r>
      <w:r>
        <w:rPr>
          <w:rFonts w:asciiTheme="majorBidi" w:hAnsiTheme="majorBidi" w:cstheme="majorBidi"/>
          <w:color w:val="000000"/>
          <w:lang w:val="en-CA"/>
        </w:rPr>
        <w:t xml:space="preserve"> </w:t>
      </w:r>
      <w:r w:rsidRPr="00601921">
        <w:rPr>
          <w:rFonts w:asciiTheme="majorBidi" w:hAnsiTheme="majorBidi" w:cstheme="majorBidi"/>
          <w:i/>
          <w:color w:val="000000"/>
          <w:lang w:val="en-CA"/>
        </w:rPr>
        <w:t>Human Biology</w:t>
      </w:r>
      <w:r w:rsidRPr="00601921">
        <w:rPr>
          <w:rFonts w:asciiTheme="majorBidi" w:hAnsiTheme="majorBidi" w:cstheme="majorBidi"/>
          <w:color w:val="000000"/>
          <w:lang w:val="en-CA"/>
        </w:rPr>
        <w:t xml:space="preserve"> 54</w:t>
      </w:r>
      <w:r>
        <w:rPr>
          <w:rFonts w:asciiTheme="majorBidi" w:hAnsiTheme="majorBidi" w:cstheme="majorBidi"/>
          <w:color w:val="000000"/>
          <w:lang w:val="en-CA"/>
        </w:rPr>
        <w:t>(1)</w:t>
      </w:r>
      <w:r w:rsidRPr="00601921">
        <w:rPr>
          <w:rFonts w:asciiTheme="majorBidi" w:hAnsiTheme="majorBidi" w:cstheme="majorBidi"/>
          <w:color w:val="000000"/>
          <w:lang w:val="en-CA"/>
        </w:rPr>
        <w:t>:</w:t>
      </w:r>
      <w:r>
        <w:rPr>
          <w:rFonts w:asciiTheme="majorBidi" w:hAnsiTheme="majorBidi" w:cstheme="majorBidi"/>
          <w:color w:val="000000"/>
          <w:lang w:val="en-CA"/>
        </w:rPr>
        <w:t xml:space="preserve"> </w:t>
      </w:r>
      <w:r w:rsidRPr="00601921">
        <w:rPr>
          <w:rFonts w:asciiTheme="majorBidi" w:hAnsiTheme="majorBidi" w:cstheme="majorBidi"/>
          <w:color w:val="000000"/>
          <w:lang w:val="en-CA"/>
        </w:rPr>
        <w:t>53–70.</w:t>
      </w:r>
    </w:p>
    <w:p w:rsidR="00A35CA0" w:rsidRDefault="00CC3C93" w:rsidP="00CA5FBB">
      <w:pPr>
        <w:spacing w:before="120" w:line="240" w:lineRule="auto"/>
        <w:jc w:val="left"/>
        <w:rPr>
          <w:rFonts w:asciiTheme="majorBidi" w:hAnsiTheme="majorBidi" w:cstheme="majorBidi"/>
          <w:color w:val="000000" w:themeColor="text1"/>
          <w:lang w:val="en-CA"/>
        </w:rPr>
      </w:pPr>
      <w:r w:rsidRPr="00667B89">
        <w:rPr>
          <w:rFonts w:asciiTheme="majorBidi" w:hAnsiTheme="majorBidi" w:cstheme="majorBidi"/>
          <w:color w:val="000000" w:themeColor="text1"/>
          <w:lang w:val="en-CA"/>
        </w:rPr>
        <w:t xml:space="preserve">Webb, P.A.O.  Suchey, J.M.  1985.  Epiphyseal fusion of the anterior iliac crest and the medial clavicle in a modern sample of American males and females.  </w:t>
      </w:r>
      <w:r w:rsidRPr="00667B89">
        <w:rPr>
          <w:rFonts w:asciiTheme="majorBidi" w:hAnsiTheme="majorBidi" w:cstheme="majorBidi"/>
          <w:i/>
          <w:color w:val="000000" w:themeColor="text1"/>
          <w:lang w:val="en-CA"/>
        </w:rPr>
        <w:t>American Journal of Physical Anthropology</w:t>
      </w:r>
      <w:r w:rsidRPr="00667B89">
        <w:rPr>
          <w:rFonts w:asciiTheme="majorBidi" w:hAnsiTheme="majorBidi" w:cstheme="majorBidi"/>
          <w:color w:val="000000" w:themeColor="text1"/>
          <w:lang w:val="en-CA"/>
        </w:rPr>
        <w:t xml:space="preserve"> 68</w:t>
      </w:r>
      <w:r w:rsidR="006616E8">
        <w:rPr>
          <w:rFonts w:asciiTheme="majorBidi" w:hAnsiTheme="majorBidi" w:cstheme="majorBidi"/>
          <w:color w:val="000000" w:themeColor="text1"/>
          <w:lang w:val="en-CA"/>
        </w:rPr>
        <w:t>(4)</w:t>
      </w:r>
      <w:r w:rsidRPr="00667B89">
        <w:rPr>
          <w:rFonts w:asciiTheme="majorBidi" w:hAnsiTheme="majorBidi" w:cstheme="majorBidi"/>
          <w:color w:val="000000" w:themeColor="text1"/>
          <w:lang w:val="en-CA"/>
        </w:rPr>
        <w:t>: 457-466</w:t>
      </w:r>
      <w:r w:rsidR="006616E8">
        <w:rPr>
          <w:rFonts w:asciiTheme="majorBidi" w:hAnsiTheme="majorBidi" w:cstheme="majorBidi"/>
          <w:color w:val="000000" w:themeColor="text1"/>
          <w:lang w:val="en-CA"/>
        </w:rPr>
        <w:t>.</w:t>
      </w:r>
    </w:p>
    <w:p w:rsidR="00A35CA0" w:rsidRDefault="00CC3C93" w:rsidP="00CA5FBB">
      <w:pPr>
        <w:pStyle w:val="ListParagraph"/>
        <w:spacing w:before="120" w:line="240" w:lineRule="auto"/>
        <w:ind w:left="0"/>
        <w:jc w:val="left"/>
        <w:rPr>
          <w:noProof/>
        </w:rPr>
      </w:pPr>
      <w:r>
        <w:rPr>
          <w:noProof/>
        </w:rPr>
        <w:t xml:space="preserve">Weaver, T.D.  </w:t>
      </w:r>
      <w:r w:rsidRPr="00FD60C4">
        <w:rPr>
          <w:noProof/>
        </w:rPr>
        <w:t>Steudel-Numbers</w:t>
      </w:r>
      <w:r>
        <w:rPr>
          <w:noProof/>
        </w:rPr>
        <w:t xml:space="preserve">, K.  2005.  </w:t>
      </w:r>
      <w:r w:rsidRPr="00FD60C4">
        <w:rPr>
          <w:noProof/>
        </w:rPr>
        <w:t>Does climate or mobility explain the differences in body proportions between Neandertals and their Upper Paleolithic successors?</w:t>
      </w:r>
      <w:r>
        <w:rPr>
          <w:noProof/>
        </w:rPr>
        <w:t xml:space="preserve">  </w:t>
      </w:r>
      <w:r>
        <w:rPr>
          <w:i/>
          <w:noProof/>
        </w:rPr>
        <w:t>Evolutionary Anthropology</w:t>
      </w:r>
      <w:r>
        <w:rPr>
          <w:noProof/>
        </w:rPr>
        <w:t xml:space="preserve"> 14(6): 218-223</w:t>
      </w:r>
      <w:r w:rsidR="006616E8">
        <w:rPr>
          <w:noProof/>
        </w:rPr>
        <w:t>.</w:t>
      </w:r>
    </w:p>
    <w:p w:rsidR="00A35CA0" w:rsidRDefault="00CC3C93" w:rsidP="00CA5FBB">
      <w:pPr>
        <w:spacing w:before="120" w:line="240" w:lineRule="auto"/>
        <w:jc w:val="left"/>
        <w:rPr>
          <w:rFonts w:asciiTheme="majorBidi" w:hAnsiTheme="majorBidi" w:cstheme="majorBidi"/>
        </w:rPr>
      </w:pPr>
      <w:r w:rsidRPr="00652522">
        <w:rPr>
          <w:rFonts w:asciiTheme="majorBidi" w:hAnsiTheme="majorBidi" w:cstheme="majorBidi"/>
          <w:color w:val="000000"/>
          <w:lang w:val="sv-SE"/>
        </w:rPr>
        <w:t xml:space="preserve">Weise, M.  De-Levi, S.  Barnes, K.M.  Gafni, R.I.  Abad, V.  Baron, J.  </w:t>
      </w:r>
      <w:r w:rsidRPr="00667B89">
        <w:rPr>
          <w:rFonts w:asciiTheme="majorBidi" w:eastAsia="Times New Roman" w:hAnsiTheme="majorBidi" w:cstheme="majorBidi"/>
          <w:color w:val="000000"/>
        </w:rPr>
        <w:t xml:space="preserve">2001.  </w:t>
      </w:r>
      <w:r w:rsidRPr="00667B89">
        <w:rPr>
          <w:rFonts w:asciiTheme="majorBidi" w:hAnsiTheme="majorBidi" w:cstheme="majorBidi"/>
        </w:rPr>
        <w:t xml:space="preserve">Effects of estrogen on growth plate senescence and epiphyseal fusion. </w:t>
      </w:r>
      <w:r w:rsidRPr="00667B89">
        <w:rPr>
          <w:rFonts w:asciiTheme="majorBidi" w:hAnsiTheme="majorBidi" w:cstheme="majorBidi"/>
          <w:i/>
        </w:rPr>
        <w:t>Proceedings of the National Academy of Science</w:t>
      </w:r>
      <w:r w:rsidR="006616E8">
        <w:rPr>
          <w:rFonts w:asciiTheme="majorBidi" w:hAnsiTheme="majorBidi" w:cstheme="majorBidi"/>
          <w:i/>
        </w:rPr>
        <w:t>s of the United States of America</w:t>
      </w:r>
      <w:r w:rsidRPr="00667B89">
        <w:rPr>
          <w:rFonts w:asciiTheme="majorBidi" w:hAnsiTheme="majorBidi" w:cstheme="majorBidi"/>
        </w:rPr>
        <w:t xml:space="preserve"> 98</w:t>
      </w:r>
      <w:r w:rsidR="006616E8">
        <w:rPr>
          <w:rFonts w:asciiTheme="majorBidi" w:hAnsiTheme="majorBidi" w:cstheme="majorBidi"/>
        </w:rPr>
        <w:t>(12)</w:t>
      </w:r>
      <w:r w:rsidRPr="00667B89">
        <w:rPr>
          <w:rFonts w:asciiTheme="majorBidi" w:hAnsiTheme="majorBidi" w:cstheme="majorBidi"/>
        </w:rPr>
        <w:t>: 6871–6876</w:t>
      </w:r>
      <w:r w:rsidR="006616E8">
        <w:rPr>
          <w:rFonts w:asciiTheme="majorBidi" w:hAnsiTheme="majorBidi" w:cstheme="majorBidi"/>
        </w:rPr>
        <w:t>.</w:t>
      </w:r>
    </w:p>
    <w:p w:rsidR="00A35CA0" w:rsidRDefault="00CC3C93" w:rsidP="00CA5FBB">
      <w:pPr>
        <w:spacing w:before="120" w:line="240" w:lineRule="auto"/>
        <w:jc w:val="left"/>
        <w:rPr>
          <w:rFonts w:asciiTheme="majorBidi" w:hAnsiTheme="majorBidi" w:cstheme="majorBidi"/>
          <w:iCs/>
        </w:rPr>
      </w:pPr>
      <w:r w:rsidRPr="00667B89">
        <w:rPr>
          <w:rFonts w:asciiTheme="majorBidi" w:hAnsiTheme="majorBidi" w:cstheme="majorBidi"/>
          <w:iCs/>
        </w:rPr>
        <w:t xml:space="preserve">Wells, J.C.K.  2000.  Natural Selection and Sex Differences in Morbidity and Mortality in Early Life.  </w:t>
      </w:r>
      <w:r w:rsidRPr="00667B89">
        <w:rPr>
          <w:rFonts w:asciiTheme="majorBidi" w:hAnsiTheme="majorBidi" w:cstheme="majorBidi"/>
          <w:i/>
          <w:iCs/>
        </w:rPr>
        <w:t>Journal of Theoretical Biology</w:t>
      </w:r>
      <w:r w:rsidRPr="00667B89">
        <w:rPr>
          <w:rFonts w:asciiTheme="majorBidi" w:hAnsiTheme="majorBidi" w:cstheme="majorBidi"/>
          <w:iCs/>
        </w:rPr>
        <w:t xml:space="preserve"> 202</w:t>
      </w:r>
      <w:r w:rsidR="00144949">
        <w:rPr>
          <w:rFonts w:asciiTheme="majorBidi" w:hAnsiTheme="majorBidi" w:cstheme="majorBidi"/>
          <w:iCs/>
        </w:rPr>
        <w:t>(1)</w:t>
      </w:r>
      <w:r w:rsidRPr="00667B89">
        <w:rPr>
          <w:rFonts w:asciiTheme="majorBidi" w:hAnsiTheme="majorBidi" w:cstheme="majorBidi"/>
          <w:iCs/>
        </w:rPr>
        <w:t>: 65-76</w:t>
      </w:r>
      <w:r w:rsidR="00144949">
        <w:rPr>
          <w:rFonts w:asciiTheme="majorBidi" w:hAnsiTheme="majorBidi" w:cstheme="majorBidi"/>
          <w:iCs/>
        </w:rPr>
        <w:t>.</w:t>
      </w:r>
    </w:p>
    <w:p w:rsidR="00A35CA0" w:rsidRDefault="00CC3C93" w:rsidP="00CA5FBB">
      <w:pPr>
        <w:spacing w:before="120" w:line="240" w:lineRule="auto"/>
        <w:jc w:val="left"/>
        <w:rPr>
          <w:rFonts w:asciiTheme="majorBidi" w:hAnsiTheme="majorBidi" w:cstheme="majorBidi"/>
          <w:i/>
          <w:color w:val="000000"/>
          <w:lang w:val="en-CA"/>
        </w:rPr>
      </w:pPr>
      <w:r>
        <w:rPr>
          <w:rFonts w:asciiTheme="majorBidi" w:hAnsiTheme="majorBidi" w:cstheme="majorBidi"/>
          <w:color w:val="000000"/>
          <w:lang w:val="en-CA"/>
        </w:rPr>
        <w:t xml:space="preserve">White, T.  2000.  </w:t>
      </w:r>
      <w:r w:rsidRPr="00B12596">
        <w:rPr>
          <w:rFonts w:asciiTheme="majorBidi" w:hAnsiTheme="majorBidi" w:cstheme="majorBidi"/>
          <w:color w:val="000000"/>
          <w:lang w:val="en-CA"/>
        </w:rPr>
        <w:t>Human Osteology</w:t>
      </w:r>
      <w:r>
        <w:rPr>
          <w:rFonts w:asciiTheme="majorBidi" w:hAnsiTheme="majorBidi" w:cstheme="majorBidi"/>
          <w:color w:val="000000"/>
          <w:lang w:val="en-CA"/>
        </w:rPr>
        <w:t>, 2</w:t>
      </w:r>
      <w:r w:rsidRPr="00B12596">
        <w:rPr>
          <w:rFonts w:asciiTheme="majorBidi" w:hAnsiTheme="majorBidi" w:cstheme="majorBidi"/>
          <w:color w:val="000000"/>
          <w:vertAlign w:val="superscript"/>
          <w:lang w:val="en-CA"/>
        </w:rPr>
        <w:t>nd</w:t>
      </w:r>
      <w:r>
        <w:rPr>
          <w:rFonts w:asciiTheme="majorBidi" w:hAnsiTheme="majorBidi" w:cstheme="majorBidi"/>
          <w:color w:val="000000"/>
          <w:lang w:val="en-CA"/>
        </w:rPr>
        <w:t xml:space="preserve"> Edition.  Academic Press</w:t>
      </w:r>
      <w:r w:rsidR="00144949">
        <w:rPr>
          <w:rFonts w:asciiTheme="majorBidi" w:hAnsiTheme="majorBidi" w:cstheme="majorBidi"/>
          <w:color w:val="000000"/>
          <w:lang w:val="en-CA"/>
        </w:rPr>
        <w:t>:</w:t>
      </w:r>
      <w:r>
        <w:rPr>
          <w:rFonts w:asciiTheme="majorBidi" w:hAnsiTheme="majorBidi" w:cstheme="majorBidi"/>
          <w:color w:val="000000"/>
          <w:lang w:val="en-CA"/>
        </w:rPr>
        <w:t xml:space="preserve"> San Diego.</w:t>
      </w:r>
    </w:p>
    <w:p w:rsidR="00A35CA0" w:rsidRDefault="00CC3C93" w:rsidP="00CA5FBB">
      <w:pPr>
        <w:spacing w:before="120" w:line="240" w:lineRule="auto"/>
        <w:jc w:val="left"/>
        <w:rPr>
          <w:rFonts w:asciiTheme="majorBidi" w:hAnsiTheme="majorBidi" w:cstheme="majorBidi"/>
          <w:color w:val="000000"/>
          <w:lang w:val="en-CA"/>
        </w:rPr>
      </w:pPr>
      <w:proofErr w:type="gramStart"/>
      <w:r w:rsidRPr="00667B89">
        <w:rPr>
          <w:rFonts w:asciiTheme="majorBidi" w:hAnsiTheme="majorBidi" w:cstheme="majorBidi"/>
          <w:color w:val="000000"/>
          <w:lang w:val="en-CA"/>
        </w:rPr>
        <w:t>Winkler, L.A.</w:t>
      </w:r>
      <w:proofErr w:type="gramEnd"/>
      <w:r w:rsidRPr="00667B89">
        <w:rPr>
          <w:rFonts w:asciiTheme="majorBidi" w:hAnsiTheme="majorBidi" w:cstheme="majorBidi"/>
          <w:color w:val="000000"/>
          <w:lang w:val="en-CA"/>
        </w:rPr>
        <w:t xml:space="preserve">  1996.  Appearance of Ossification Centers of the Lower Arm, Wrist, Lower Leg, and Ankle in Immature Orangutans and Chimpanzees </w:t>
      </w:r>
      <w:proofErr w:type="gramStart"/>
      <w:r w:rsidRPr="00667B89">
        <w:rPr>
          <w:rFonts w:asciiTheme="majorBidi" w:hAnsiTheme="majorBidi" w:cstheme="majorBidi"/>
          <w:color w:val="000000"/>
          <w:lang w:val="en-CA"/>
        </w:rPr>
        <w:t>With</w:t>
      </w:r>
      <w:proofErr w:type="gramEnd"/>
      <w:r w:rsidRPr="00667B89">
        <w:rPr>
          <w:rFonts w:asciiTheme="majorBidi" w:hAnsiTheme="majorBidi" w:cstheme="majorBidi"/>
          <w:color w:val="000000"/>
          <w:lang w:val="en-CA"/>
        </w:rPr>
        <w:t xml:space="preserve"> an Assessment of the Relationship of Ossification to Dental Development.  </w:t>
      </w:r>
      <w:r w:rsidRPr="00667B89">
        <w:rPr>
          <w:rFonts w:asciiTheme="majorBidi" w:hAnsiTheme="majorBidi" w:cstheme="majorBidi"/>
          <w:i/>
          <w:color w:val="000000"/>
          <w:lang w:val="en-CA"/>
        </w:rPr>
        <w:t>American Journal of Physical Anthropology</w:t>
      </w:r>
      <w:r w:rsidRPr="00667B89">
        <w:rPr>
          <w:rFonts w:asciiTheme="majorBidi" w:hAnsiTheme="majorBidi" w:cstheme="majorBidi"/>
          <w:color w:val="000000"/>
          <w:lang w:val="en-CA"/>
        </w:rPr>
        <w:t xml:space="preserve"> 99</w:t>
      </w:r>
      <w:r w:rsidR="007D31AC">
        <w:rPr>
          <w:rFonts w:asciiTheme="majorBidi" w:hAnsiTheme="majorBidi" w:cstheme="majorBidi"/>
          <w:color w:val="000000"/>
          <w:lang w:val="en-CA"/>
        </w:rPr>
        <w:t>(1)</w:t>
      </w:r>
      <w:r w:rsidRPr="00667B89">
        <w:rPr>
          <w:rFonts w:asciiTheme="majorBidi" w:hAnsiTheme="majorBidi" w:cstheme="majorBidi"/>
          <w:color w:val="000000"/>
          <w:lang w:val="en-CA"/>
        </w:rPr>
        <w:t>:</w:t>
      </w:r>
      <w:r w:rsidR="007D31AC">
        <w:rPr>
          <w:rFonts w:asciiTheme="majorBidi" w:hAnsiTheme="majorBidi" w:cstheme="majorBidi"/>
          <w:color w:val="000000"/>
          <w:lang w:val="en-CA"/>
        </w:rPr>
        <w:t xml:space="preserve"> </w:t>
      </w:r>
      <w:r w:rsidRPr="00667B89">
        <w:rPr>
          <w:rFonts w:asciiTheme="majorBidi" w:hAnsiTheme="majorBidi" w:cstheme="majorBidi"/>
          <w:color w:val="000000"/>
          <w:lang w:val="en-CA"/>
        </w:rPr>
        <w:t>191-203</w:t>
      </w:r>
      <w:r w:rsidR="007D31AC">
        <w:rPr>
          <w:rFonts w:asciiTheme="majorBidi" w:hAnsiTheme="majorBidi" w:cstheme="majorBidi"/>
          <w:color w:val="000000"/>
          <w:lang w:val="en-CA"/>
        </w:rPr>
        <w:t>.</w:t>
      </w:r>
    </w:p>
    <w:p w:rsidR="00A35CA0" w:rsidRDefault="00CC3C93" w:rsidP="00CA5FBB">
      <w:pPr>
        <w:tabs>
          <w:tab w:val="left" w:pos="360"/>
        </w:tabs>
        <w:spacing w:before="120" w:line="240" w:lineRule="auto"/>
        <w:jc w:val="left"/>
        <w:rPr>
          <w:rFonts w:asciiTheme="majorBidi" w:hAnsiTheme="majorBidi" w:cstheme="majorBidi"/>
        </w:rPr>
      </w:pPr>
      <w:r w:rsidRPr="00667B89">
        <w:rPr>
          <w:rFonts w:asciiTheme="majorBidi" w:hAnsiTheme="majorBidi" w:cstheme="majorBidi"/>
          <w:noProof/>
          <w:color w:val="000000"/>
        </w:rPr>
        <w:t xml:space="preserve">Wintheiser, J.G.  Clauser, D.A.  Tappen, N.C.  1977.  Sequence of Eruption of Permanent Teeth and Epiphyseal Union in Three Species of African Monkeys.  </w:t>
      </w:r>
      <w:r w:rsidRPr="00667B89">
        <w:rPr>
          <w:rFonts w:asciiTheme="majorBidi" w:hAnsiTheme="majorBidi" w:cstheme="majorBidi"/>
          <w:i/>
          <w:noProof/>
          <w:color w:val="000000"/>
        </w:rPr>
        <w:t>Folia Primatologica</w:t>
      </w:r>
      <w:r w:rsidRPr="00667B89">
        <w:rPr>
          <w:rFonts w:asciiTheme="majorBidi" w:hAnsiTheme="majorBidi" w:cstheme="majorBidi"/>
          <w:noProof/>
          <w:color w:val="000000"/>
        </w:rPr>
        <w:t xml:space="preserve"> 27</w:t>
      </w:r>
      <w:r w:rsidR="007D31AC">
        <w:rPr>
          <w:rFonts w:asciiTheme="majorBidi" w:hAnsiTheme="majorBidi" w:cstheme="majorBidi"/>
          <w:noProof/>
          <w:color w:val="000000"/>
        </w:rPr>
        <w:t>(</w:t>
      </w:r>
      <w:r w:rsidRPr="00667B89">
        <w:rPr>
          <w:rFonts w:asciiTheme="majorBidi" w:hAnsiTheme="majorBidi" w:cstheme="majorBidi"/>
          <w:noProof/>
          <w:color w:val="000000"/>
        </w:rPr>
        <w:t>3</w:t>
      </w:r>
      <w:r w:rsidR="007D31AC">
        <w:rPr>
          <w:rFonts w:asciiTheme="majorBidi" w:hAnsiTheme="majorBidi" w:cstheme="majorBidi"/>
          <w:noProof/>
          <w:color w:val="000000"/>
        </w:rPr>
        <w:t>)</w:t>
      </w:r>
      <w:r w:rsidRPr="00667B89">
        <w:rPr>
          <w:rFonts w:asciiTheme="majorBidi" w:hAnsiTheme="majorBidi" w:cstheme="majorBidi"/>
          <w:noProof/>
          <w:color w:val="000000"/>
        </w:rPr>
        <w:t>: 178-197</w:t>
      </w:r>
      <w:r w:rsidR="007D31AC">
        <w:rPr>
          <w:rFonts w:asciiTheme="majorBidi" w:hAnsiTheme="majorBidi" w:cstheme="majorBidi"/>
          <w:noProof/>
          <w:color w:val="000000"/>
        </w:rPr>
        <w:t>.</w:t>
      </w:r>
    </w:p>
    <w:p w:rsidR="00A35CA0" w:rsidRDefault="00CC3C93" w:rsidP="00CA5FBB">
      <w:pPr>
        <w:autoSpaceDE w:val="0"/>
        <w:autoSpaceDN w:val="0"/>
        <w:adjustRightInd w:val="0"/>
        <w:spacing w:before="120" w:line="240" w:lineRule="auto"/>
        <w:jc w:val="left"/>
        <w:rPr>
          <w:rFonts w:asciiTheme="majorBidi" w:hAnsiTheme="majorBidi" w:cstheme="majorBidi"/>
        </w:rPr>
      </w:pPr>
      <w:proofErr w:type="gramStart"/>
      <w:r w:rsidRPr="00667B89">
        <w:rPr>
          <w:rFonts w:asciiTheme="majorBidi" w:hAnsiTheme="majorBidi" w:cstheme="majorBidi"/>
        </w:rPr>
        <w:t>Witschi, E. 1962.</w:t>
      </w:r>
      <w:proofErr w:type="gramEnd"/>
      <w:r w:rsidRPr="00667B89">
        <w:rPr>
          <w:rFonts w:asciiTheme="majorBidi" w:hAnsiTheme="majorBidi" w:cstheme="majorBidi"/>
        </w:rPr>
        <w:t xml:space="preserve"> </w:t>
      </w:r>
      <w:r>
        <w:rPr>
          <w:rFonts w:asciiTheme="majorBidi" w:hAnsiTheme="majorBidi" w:cstheme="majorBidi"/>
        </w:rPr>
        <w:t xml:space="preserve"> </w:t>
      </w:r>
      <w:r w:rsidRPr="00667B89">
        <w:rPr>
          <w:rFonts w:asciiTheme="majorBidi" w:hAnsiTheme="majorBidi" w:cstheme="majorBidi"/>
        </w:rPr>
        <w:t xml:space="preserve">Development: rat. In: Altman PL, Dittmer DS, editors. </w:t>
      </w:r>
      <w:proofErr w:type="gramStart"/>
      <w:r w:rsidRPr="00667B89">
        <w:rPr>
          <w:rFonts w:asciiTheme="majorBidi" w:hAnsiTheme="majorBidi" w:cstheme="majorBidi"/>
          <w:i/>
        </w:rPr>
        <w:t>Growth Including Reproductive and Morphological Development</w:t>
      </w:r>
      <w:r w:rsidRPr="00667B89">
        <w:rPr>
          <w:rFonts w:asciiTheme="majorBidi" w:hAnsiTheme="majorBidi" w:cstheme="majorBidi"/>
        </w:rPr>
        <w:t>.</w:t>
      </w:r>
      <w:proofErr w:type="gramEnd"/>
      <w:r w:rsidRPr="00667B89">
        <w:rPr>
          <w:rFonts w:asciiTheme="majorBidi" w:hAnsiTheme="majorBidi" w:cstheme="majorBidi"/>
        </w:rPr>
        <w:t xml:space="preserve"> </w:t>
      </w:r>
      <w:r w:rsidR="002045F5">
        <w:rPr>
          <w:rFonts w:asciiTheme="majorBidi" w:hAnsiTheme="majorBidi" w:cstheme="majorBidi"/>
        </w:rPr>
        <w:t xml:space="preserve"> </w:t>
      </w:r>
      <w:r w:rsidRPr="00667B89">
        <w:rPr>
          <w:rFonts w:asciiTheme="majorBidi" w:hAnsiTheme="majorBidi" w:cstheme="majorBidi"/>
        </w:rPr>
        <w:t>Biological Handbooks of the Federation of American Societies for Experimental Biology</w:t>
      </w:r>
      <w:r w:rsidR="002045F5">
        <w:rPr>
          <w:rFonts w:asciiTheme="majorBidi" w:hAnsiTheme="majorBidi" w:cstheme="majorBidi"/>
        </w:rPr>
        <w:t>: Washington.</w:t>
      </w:r>
      <w:r w:rsidRPr="00667B89">
        <w:rPr>
          <w:rFonts w:asciiTheme="majorBidi" w:hAnsiTheme="majorBidi" w:cstheme="majorBidi"/>
        </w:rPr>
        <w:t xml:space="preserve"> </w:t>
      </w:r>
      <w:r w:rsidR="002045F5">
        <w:rPr>
          <w:rFonts w:asciiTheme="majorBidi" w:hAnsiTheme="majorBidi" w:cstheme="majorBidi"/>
        </w:rPr>
        <w:t xml:space="preserve"> p</w:t>
      </w:r>
      <w:r w:rsidRPr="00667B89">
        <w:rPr>
          <w:rFonts w:asciiTheme="majorBidi" w:hAnsiTheme="majorBidi" w:cstheme="majorBidi"/>
        </w:rPr>
        <w:t>p 302–314.</w:t>
      </w:r>
    </w:p>
    <w:p w:rsidR="00A35CA0" w:rsidRDefault="00CC3C93" w:rsidP="00CA5FBB">
      <w:pPr>
        <w:spacing w:before="120" w:line="240" w:lineRule="auto"/>
        <w:jc w:val="left"/>
        <w:rPr>
          <w:rFonts w:asciiTheme="majorBidi" w:hAnsiTheme="majorBidi" w:cstheme="majorBidi"/>
          <w:noProof/>
          <w:color w:val="000000" w:themeColor="text1"/>
        </w:rPr>
      </w:pPr>
      <w:r w:rsidRPr="00667B89">
        <w:rPr>
          <w:rFonts w:asciiTheme="majorBidi" w:hAnsiTheme="majorBidi" w:cstheme="majorBidi"/>
          <w:noProof/>
          <w:color w:val="000000" w:themeColor="text1"/>
        </w:rPr>
        <w:t xml:space="preserve">Ye, Y.  Wang, C.  Cao, L.  1992.  Skeletal maturity of the hand and wrist in Chinese children in Changsha assessed by TW2 method.  </w:t>
      </w:r>
      <w:r w:rsidRPr="00667B89">
        <w:rPr>
          <w:rFonts w:asciiTheme="majorBidi" w:hAnsiTheme="majorBidi" w:cstheme="majorBidi"/>
          <w:i/>
          <w:noProof/>
          <w:color w:val="000000" w:themeColor="text1"/>
        </w:rPr>
        <w:t>Annals of Human Biology</w:t>
      </w:r>
      <w:r w:rsidRPr="00667B89">
        <w:rPr>
          <w:rFonts w:asciiTheme="majorBidi" w:hAnsiTheme="majorBidi" w:cstheme="majorBidi"/>
          <w:noProof/>
          <w:color w:val="000000" w:themeColor="text1"/>
        </w:rPr>
        <w:t xml:space="preserve"> 19</w:t>
      </w:r>
      <w:r w:rsidR="003A286F">
        <w:rPr>
          <w:rFonts w:asciiTheme="majorBidi" w:hAnsiTheme="majorBidi" w:cstheme="majorBidi"/>
          <w:noProof/>
          <w:color w:val="000000" w:themeColor="text1"/>
        </w:rPr>
        <w:t>(4)</w:t>
      </w:r>
      <w:r w:rsidRPr="00667B89">
        <w:rPr>
          <w:rFonts w:asciiTheme="majorBidi" w:hAnsiTheme="majorBidi" w:cstheme="majorBidi"/>
          <w:noProof/>
          <w:color w:val="000000" w:themeColor="text1"/>
        </w:rPr>
        <w:t>: 427-430</w:t>
      </w:r>
      <w:r w:rsidR="003A286F">
        <w:rPr>
          <w:rFonts w:asciiTheme="majorBidi" w:hAnsiTheme="majorBidi" w:cstheme="majorBidi"/>
          <w:noProof/>
          <w:color w:val="000000" w:themeColor="text1"/>
        </w:rPr>
        <w:t>.</w:t>
      </w:r>
    </w:p>
    <w:p w:rsidR="00A35CA0" w:rsidRDefault="00CC3C93" w:rsidP="00CA5FBB">
      <w:pPr>
        <w:pStyle w:val="ListParagraph"/>
        <w:spacing w:before="120" w:line="240" w:lineRule="auto"/>
        <w:ind w:left="0"/>
        <w:jc w:val="left"/>
        <w:rPr>
          <w:noProof/>
        </w:rPr>
      </w:pPr>
      <w:r w:rsidRPr="006300ED">
        <w:rPr>
          <w:noProof/>
        </w:rPr>
        <w:t>Yu</w:t>
      </w:r>
      <w:r>
        <w:rPr>
          <w:noProof/>
        </w:rPr>
        <w:t>,</w:t>
      </w:r>
      <w:r w:rsidRPr="006300ED">
        <w:rPr>
          <w:noProof/>
        </w:rPr>
        <w:t xml:space="preserve"> N</w:t>
      </w:r>
      <w:r>
        <w:rPr>
          <w:noProof/>
        </w:rPr>
        <w:t xml:space="preserve">. </w:t>
      </w:r>
      <w:r w:rsidRPr="006300ED">
        <w:rPr>
          <w:noProof/>
        </w:rPr>
        <w:t xml:space="preserve"> Jensen-Seaman</w:t>
      </w:r>
      <w:r>
        <w:rPr>
          <w:noProof/>
        </w:rPr>
        <w:t>,</w:t>
      </w:r>
      <w:r w:rsidRPr="006300ED">
        <w:rPr>
          <w:noProof/>
        </w:rPr>
        <w:t xml:space="preserve"> M</w:t>
      </w:r>
      <w:r>
        <w:rPr>
          <w:noProof/>
        </w:rPr>
        <w:t>.</w:t>
      </w:r>
      <w:r w:rsidRPr="006300ED">
        <w:rPr>
          <w:noProof/>
        </w:rPr>
        <w:t>I</w:t>
      </w:r>
      <w:r>
        <w:rPr>
          <w:noProof/>
        </w:rPr>
        <w:t>.</w:t>
      </w:r>
      <w:r w:rsidRPr="006300ED">
        <w:rPr>
          <w:noProof/>
        </w:rPr>
        <w:t xml:space="preserve"> </w:t>
      </w:r>
      <w:r>
        <w:rPr>
          <w:noProof/>
        </w:rPr>
        <w:t xml:space="preserve"> </w:t>
      </w:r>
      <w:r w:rsidRPr="006300ED">
        <w:rPr>
          <w:noProof/>
        </w:rPr>
        <w:t>Chemnick</w:t>
      </w:r>
      <w:r>
        <w:rPr>
          <w:noProof/>
        </w:rPr>
        <w:t>,</w:t>
      </w:r>
      <w:r w:rsidRPr="006300ED">
        <w:rPr>
          <w:noProof/>
        </w:rPr>
        <w:t xml:space="preserve"> L</w:t>
      </w:r>
      <w:r>
        <w:rPr>
          <w:noProof/>
        </w:rPr>
        <w:t>.</w:t>
      </w:r>
      <w:r w:rsidRPr="006300ED">
        <w:rPr>
          <w:noProof/>
        </w:rPr>
        <w:t xml:space="preserve"> </w:t>
      </w:r>
      <w:r>
        <w:rPr>
          <w:noProof/>
        </w:rPr>
        <w:t xml:space="preserve"> </w:t>
      </w:r>
      <w:r w:rsidRPr="006300ED">
        <w:rPr>
          <w:noProof/>
        </w:rPr>
        <w:t>Kidd</w:t>
      </w:r>
      <w:r>
        <w:rPr>
          <w:noProof/>
        </w:rPr>
        <w:t>,</w:t>
      </w:r>
      <w:r w:rsidRPr="006300ED">
        <w:rPr>
          <w:noProof/>
        </w:rPr>
        <w:t xml:space="preserve"> J</w:t>
      </w:r>
      <w:r>
        <w:rPr>
          <w:noProof/>
        </w:rPr>
        <w:t>.</w:t>
      </w:r>
      <w:r w:rsidRPr="006300ED">
        <w:rPr>
          <w:noProof/>
        </w:rPr>
        <w:t>R</w:t>
      </w:r>
      <w:r>
        <w:rPr>
          <w:noProof/>
        </w:rPr>
        <w:t>.</w:t>
      </w:r>
      <w:r w:rsidRPr="006300ED">
        <w:rPr>
          <w:noProof/>
        </w:rPr>
        <w:t xml:space="preserve"> </w:t>
      </w:r>
      <w:r>
        <w:rPr>
          <w:noProof/>
        </w:rPr>
        <w:t xml:space="preserve"> </w:t>
      </w:r>
      <w:r w:rsidRPr="006300ED">
        <w:rPr>
          <w:noProof/>
        </w:rPr>
        <w:t>Deinard</w:t>
      </w:r>
      <w:r>
        <w:rPr>
          <w:noProof/>
        </w:rPr>
        <w:t>,</w:t>
      </w:r>
      <w:r w:rsidRPr="006300ED">
        <w:rPr>
          <w:noProof/>
        </w:rPr>
        <w:t xml:space="preserve"> A</w:t>
      </w:r>
      <w:r>
        <w:rPr>
          <w:noProof/>
        </w:rPr>
        <w:t>.</w:t>
      </w:r>
      <w:r w:rsidRPr="006300ED">
        <w:rPr>
          <w:noProof/>
        </w:rPr>
        <w:t>S</w:t>
      </w:r>
      <w:r>
        <w:rPr>
          <w:noProof/>
        </w:rPr>
        <w:t>.</w:t>
      </w:r>
      <w:r w:rsidRPr="006300ED">
        <w:rPr>
          <w:noProof/>
        </w:rPr>
        <w:t xml:space="preserve"> </w:t>
      </w:r>
      <w:r>
        <w:rPr>
          <w:noProof/>
        </w:rPr>
        <w:t xml:space="preserve"> </w:t>
      </w:r>
      <w:r w:rsidRPr="006300ED">
        <w:rPr>
          <w:noProof/>
        </w:rPr>
        <w:t>Ryder</w:t>
      </w:r>
      <w:r>
        <w:rPr>
          <w:noProof/>
        </w:rPr>
        <w:t>, O.</w:t>
      </w:r>
      <w:r w:rsidRPr="006300ED">
        <w:rPr>
          <w:noProof/>
        </w:rPr>
        <w:t xml:space="preserve"> </w:t>
      </w:r>
      <w:r>
        <w:rPr>
          <w:noProof/>
        </w:rPr>
        <w:t xml:space="preserve"> </w:t>
      </w:r>
      <w:r w:rsidRPr="006300ED">
        <w:rPr>
          <w:noProof/>
        </w:rPr>
        <w:t>Kidd</w:t>
      </w:r>
      <w:r>
        <w:rPr>
          <w:noProof/>
        </w:rPr>
        <w:t>,</w:t>
      </w:r>
      <w:r w:rsidRPr="006300ED">
        <w:rPr>
          <w:noProof/>
        </w:rPr>
        <w:t xml:space="preserve"> K</w:t>
      </w:r>
      <w:r>
        <w:rPr>
          <w:noProof/>
        </w:rPr>
        <w:t>.</w:t>
      </w:r>
      <w:r w:rsidRPr="006300ED">
        <w:rPr>
          <w:noProof/>
        </w:rPr>
        <w:t>K</w:t>
      </w:r>
      <w:r>
        <w:rPr>
          <w:noProof/>
        </w:rPr>
        <w:t>.</w:t>
      </w:r>
      <w:r w:rsidRPr="006300ED">
        <w:rPr>
          <w:noProof/>
        </w:rPr>
        <w:t xml:space="preserve"> </w:t>
      </w:r>
      <w:r>
        <w:rPr>
          <w:noProof/>
        </w:rPr>
        <w:t xml:space="preserve"> </w:t>
      </w:r>
      <w:r w:rsidRPr="006300ED">
        <w:rPr>
          <w:noProof/>
        </w:rPr>
        <w:t>Li</w:t>
      </w:r>
      <w:r>
        <w:rPr>
          <w:noProof/>
        </w:rPr>
        <w:t>,</w:t>
      </w:r>
      <w:r w:rsidRPr="006300ED">
        <w:rPr>
          <w:noProof/>
        </w:rPr>
        <w:t xml:space="preserve"> W</w:t>
      </w:r>
      <w:r>
        <w:rPr>
          <w:noProof/>
        </w:rPr>
        <w:t>.</w:t>
      </w:r>
      <w:r w:rsidRPr="006300ED">
        <w:rPr>
          <w:noProof/>
        </w:rPr>
        <w:t xml:space="preserve">H. </w:t>
      </w:r>
      <w:r>
        <w:rPr>
          <w:noProof/>
        </w:rPr>
        <w:t xml:space="preserve">2003.  </w:t>
      </w:r>
      <w:r w:rsidRPr="006300ED">
        <w:rPr>
          <w:noProof/>
        </w:rPr>
        <w:t xml:space="preserve">Low nucleotide diversity in chimpanzees and bonobos. </w:t>
      </w:r>
      <w:r>
        <w:rPr>
          <w:noProof/>
        </w:rPr>
        <w:t xml:space="preserve"> </w:t>
      </w:r>
      <w:r w:rsidRPr="00433614">
        <w:rPr>
          <w:i/>
          <w:noProof/>
        </w:rPr>
        <w:t>Genetics</w:t>
      </w:r>
      <w:r w:rsidRPr="006300ED">
        <w:rPr>
          <w:noProof/>
        </w:rPr>
        <w:t xml:space="preserve"> 164</w:t>
      </w:r>
      <w:r w:rsidR="007C3F23">
        <w:rPr>
          <w:noProof/>
        </w:rPr>
        <w:t>(4)</w:t>
      </w:r>
      <w:r w:rsidRPr="006300ED">
        <w:rPr>
          <w:noProof/>
        </w:rPr>
        <w:t>:</w:t>
      </w:r>
      <w:r w:rsidR="007C3F23">
        <w:rPr>
          <w:noProof/>
        </w:rPr>
        <w:t xml:space="preserve"> </w:t>
      </w:r>
      <w:r w:rsidRPr="006300ED">
        <w:rPr>
          <w:noProof/>
        </w:rPr>
        <w:t>1511-1518</w:t>
      </w:r>
      <w:r w:rsidR="007C3F23">
        <w:rPr>
          <w:noProof/>
        </w:rPr>
        <w:t>.</w:t>
      </w:r>
    </w:p>
    <w:p w:rsidR="00A35CA0" w:rsidRDefault="00CC3C93" w:rsidP="00CA5FBB">
      <w:pPr>
        <w:pStyle w:val="ListParagraph"/>
        <w:spacing w:before="120" w:line="240" w:lineRule="auto"/>
        <w:ind w:left="0"/>
        <w:jc w:val="left"/>
        <w:rPr>
          <w:noProof/>
        </w:rPr>
      </w:pPr>
      <w:r>
        <w:rPr>
          <w:noProof/>
        </w:rPr>
        <w:t xml:space="preserve">Zihlman, A.  1984.  </w:t>
      </w:r>
      <w:r w:rsidRPr="00AE0932">
        <w:rPr>
          <w:i/>
          <w:noProof/>
        </w:rPr>
        <w:t>Body Build and Tissue Composition in Pan paniscus and Pan troglodytes, with Comparisons to Other Hominoids</w:t>
      </w:r>
      <w:r>
        <w:rPr>
          <w:noProof/>
        </w:rPr>
        <w:t>.</w:t>
      </w:r>
      <w:r w:rsidRPr="00AE0932">
        <w:t xml:space="preserve"> </w:t>
      </w:r>
      <w:r>
        <w:t xml:space="preserve"> </w:t>
      </w:r>
      <w:r w:rsidRPr="00AE0932">
        <w:rPr>
          <w:noProof/>
        </w:rPr>
        <w:t>Susman</w:t>
      </w:r>
      <w:r>
        <w:rPr>
          <w:noProof/>
        </w:rPr>
        <w:t>, R.L.</w:t>
      </w:r>
      <w:r w:rsidRPr="00AE0932">
        <w:rPr>
          <w:noProof/>
        </w:rPr>
        <w:t xml:space="preserve"> </w:t>
      </w:r>
      <w:r>
        <w:rPr>
          <w:noProof/>
        </w:rPr>
        <w:t xml:space="preserve">(ed.)  </w:t>
      </w:r>
      <w:r w:rsidRPr="008E42B8">
        <w:rPr>
          <w:noProof/>
        </w:rPr>
        <w:t>The Pygmy Chimpanzee</w:t>
      </w:r>
      <w:r>
        <w:rPr>
          <w:noProof/>
        </w:rPr>
        <w:t>.</w:t>
      </w:r>
      <w:r w:rsidRPr="00AE0932">
        <w:rPr>
          <w:noProof/>
        </w:rPr>
        <w:t xml:space="preserve"> </w:t>
      </w:r>
      <w:r>
        <w:rPr>
          <w:noProof/>
        </w:rPr>
        <w:t>Springer</w:t>
      </w:r>
      <w:r w:rsidR="007C3F23">
        <w:rPr>
          <w:noProof/>
        </w:rPr>
        <w:t xml:space="preserve">: </w:t>
      </w:r>
      <w:r>
        <w:rPr>
          <w:noProof/>
        </w:rPr>
        <w:t>Netherlands.  p</w:t>
      </w:r>
      <w:r w:rsidRPr="008E42B8">
        <w:rPr>
          <w:noProof/>
        </w:rPr>
        <w:t>p</w:t>
      </w:r>
      <w:r>
        <w:rPr>
          <w:noProof/>
        </w:rPr>
        <w:t>.</w:t>
      </w:r>
      <w:r w:rsidRPr="008E42B8">
        <w:rPr>
          <w:noProof/>
        </w:rPr>
        <w:t xml:space="preserve"> 179-200</w:t>
      </w:r>
      <w:r w:rsidR="007C3F23">
        <w:rPr>
          <w:noProof/>
        </w:rPr>
        <w:t>.</w:t>
      </w:r>
    </w:p>
    <w:p w:rsidR="00A35CA0" w:rsidRDefault="00CC3C93" w:rsidP="00CA5FBB">
      <w:pPr>
        <w:spacing w:before="120" w:line="240" w:lineRule="auto"/>
        <w:jc w:val="left"/>
        <w:rPr>
          <w:rFonts w:asciiTheme="majorBidi" w:hAnsiTheme="majorBidi" w:cstheme="majorBidi"/>
          <w:color w:val="000000"/>
          <w:lang w:val="en-CA"/>
        </w:rPr>
      </w:pPr>
      <w:proofErr w:type="gramStart"/>
      <w:r w:rsidRPr="00667B89">
        <w:rPr>
          <w:rFonts w:asciiTheme="majorBidi" w:hAnsiTheme="majorBidi" w:cstheme="majorBidi"/>
          <w:color w:val="000000"/>
          <w:lang w:val="en-CA"/>
        </w:rPr>
        <w:t>Zihlman, A.</w:t>
      </w:r>
      <w:proofErr w:type="gramEnd"/>
      <w:r w:rsidRPr="00667B89">
        <w:rPr>
          <w:rFonts w:asciiTheme="majorBidi" w:hAnsiTheme="majorBidi" w:cstheme="majorBidi"/>
          <w:color w:val="000000"/>
          <w:lang w:val="en-CA"/>
        </w:rPr>
        <w:t xml:space="preserve">  </w:t>
      </w:r>
      <w:proofErr w:type="gramStart"/>
      <w:r w:rsidRPr="00667B89">
        <w:rPr>
          <w:rFonts w:asciiTheme="majorBidi" w:hAnsiTheme="majorBidi" w:cstheme="majorBidi"/>
          <w:color w:val="000000"/>
          <w:lang w:val="en-CA"/>
        </w:rPr>
        <w:t>Bolter, D. &amp; Boesch, C.</w:t>
      </w:r>
      <w:proofErr w:type="gramEnd"/>
      <w:r w:rsidRPr="00667B89">
        <w:rPr>
          <w:rFonts w:asciiTheme="majorBidi" w:hAnsiTheme="majorBidi" w:cstheme="majorBidi"/>
          <w:color w:val="000000"/>
          <w:lang w:val="en-CA"/>
        </w:rPr>
        <w:t xml:space="preserve">  2004. Wild chimpanzee dentition and its implications for assessing life history in immature hominin fossils. </w:t>
      </w:r>
      <w:r w:rsidR="00605AB6">
        <w:rPr>
          <w:rFonts w:asciiTheme="majorBidi" w:hAnsiTheme="majorBidi" w:cstheme="majorBidi"/>
          <w:color w:val="000000"/>
          <w:lang w:val="en-CA"/>
        </w:rPr>
        <w:t xml:space="preserve"> </w:t>
      </w:r>
      <w:r w:rsidRPr="00667B89">
        <w:rPr>
          <w:rFonts w:asciiTheme="majorBidi" w:hAnsiTheme="majorBidi" w:cstheme="majorBidi"/>
          <w:i/>
          <w:color w:val="000000"/>
          <w:lang w:val="en-CA"/>
        </w:rPr>
        <w:t>Proceedings of the National Academy of Sciences</w:t>
      </w:r>
      <w:r w:rsidR="00605AB6">
        <w:rPr>
          <w:rFonts w:asciiTheme="majorBidi" w:hAnsiTheme="majorBidi" w:cstheme="majorBidi"/>
          <w:i/>
          <w:color w:val="000000"/>
          <w:lang w:val="en-CA"/>
        </w:rPr>
        <w:t xml:space="preserve"> of the United States of America</w:t>
      </w:r>
      <w:r w:rsidRPr="00667B89">
        <w:rPr>
          <w:rFonts w:asciiTheme="majorBidi" w:hAnsiTheme="majorBidi" w:cstheme="majorBidi"/>
          <w:color w:val="000000"/>
          <w:lang w:val="en-CA"/>
        </w:rPr>
        <w:t xml:space="preserve"> 101(29), 10541-10543</w:t>
      </w:r>
      <w:r w:rsidR="007C3F23">
        <w:rPr>
          <w:rFonts w:asciiTheme="majorBidi" w:hAnsiTheme="majorBidi" w:cstheme="majorBidi"/>
          <w:color w:val="000000"/>
          <w:lang w:val="en-CA"/>
        </w:rPr>
        <w:t>.</w:t>
      </w:r>
    </w:p>
    <w:p w:rsidR="00A35CA0" w:rsidRDefault="00CC3C93" w:rsidP="00CA5FBB">
      <w:pPr>
        <w:spacing w:before="120" w:line="240" w:lineRule="auto"/>
        <w:jc w:val="left"/>
        <w:rPr>
          <w:rFonts w:asciiTheme="majorBidi" w:hAnsiTheme="majorBidi" w:cstheme="majorBidi"/>
          <w:color w:val="000000"/>
          <w:lang w:val="en-CA"/>
        </w:rPr>
      </w:pPr>
      <w:proofErr w:type="gramStart"/>
      <w:r w:rsidRPr="00667B89">
        <w:rPr>
          <w:rFonts w:asciiTheme="majorBidi" w:hAnsiTheme="majorBidi" w:cstheme="majorBidi"/>
          <w:color w:val="000000"/>
          <w:lang w:val="en-CA"/>
        </w:rPr>
        <w:t>Zihlman, A.</w:t>
      </w:r>
      <w:proofErr w:type="gramEnd"/>
      <w:r w:rsidRPr="00667B89">
        <w:rPr>
          <w:rFonts w:asciiTheme="majorBidi" w:hAnsiTheme="majorBidi" w:cstheme="majorBidi"/>
          <w:color w:val="000000"/>
          <w:lang w:val="en-CA"/>
        </w:rPr>
        <w:t xml:space="preserve">  </w:t>
      </w:r>
      <w:proofErr w:type="gramStart"/>
      <w:r w:rsidRPr="00667B89">
        <w:rPr>
          <w:rFonts w:asciiTheme="majorBidi" w:hAnsiTheme="majorBidi" w:cstheme="majorBidi"/>
          <w:color w:val="000000"/>
          <w:lang w:val="en-CA"/>
        </w:rPr>
        <w:t>Bolter, D.</w:t>
      </w:r>
      <w:proofErr w:type="gramEnd"/>
      <w:r w:rsidRPr="00667B89">
        <w:rPr>
          <w:rFonts w:asciiTheme="majorBidi" w:hAnsiTheme="majorBidi" w:cstheme="majorBidi"/>
          <w:color w:val="000000"/>
          <w:lang w:val="en-CA"/>
        </w:rPr>
        <w:t xml:space="preserve">  Boesch, C.  2007.  Skeletal and dental growth and development in chimpanzees of the Tai National Park, Cote D’ivoire. </w:t>
      </w:r>
      <w:r w:rsidRPr="00667B89">
        <w:rPr>
          <w:rFonts w:asciiTheme="majorBidi" w:hAnsiTheme="majorBidi" w:cstheme="majorBidi"/>
          <w:i/>
          <w:color w:val="000000"/>
          <w:lang w:val="en-CA"/>
        </w:rPr>
        <w:t xml:space="preserve">Journal of Zoology </w:t>
      </w:r>
      <w:r w:rsidRPr="00667B89">
        <w:rPr>
          <w:rFonts w:asciiTheme="majorBidi" w:hAnsiTheme="majorBidi" w:cstheme="majorBidi"/>
          <w:color w:val="000000"/>
          <w:lang w:val="en-CA"/>
        </w:rPr>
        <w:t>273</w:t>
      </w:r>
      <w:r w:rsidR="00605AB6">
        <w:rPr>
          <w:rFonts w:asciiTheme="majorBidi" w:hAnsiTheme="majorBidi" w:cstheme="majorBidi"/>
          <w:color w:val="000000"/>
          <w:lang w:val="en-CA"/>
        </w:rPr>
        <w:t>(1):</w:t>
      </w:r>
      <w:r w:rsidRPr="00667B89">
        <w:rPr>
          <w:rFonts w:asciiTheme="majorBidi" w:hAnsiTheme="majorBidi" w:cstheme="majorBidi"/>
          <w:color w:val="000000"/>
          <w:lang w:val="en-CA"/>
        </w:rPr>
        <w:t xml:space="preserve"> 63-73</w:t>
      </w:r>
      <w:r w:rsidR="00605AB6">
        <w:rPr>
          <w:rFonts w:asciiTheme="majorBidi" w:hAnsiTheme="majorBidi" w:cstheme="majorBidi"/>
          <w:color w:val="000000"/>
          <w:lang w:val="en-CA"/>
        </w:rPr>
        <w:t>.</w:t>
      </w:r>
    </w:p>
    <w:p w:rsidR="00A35CA0" w:rsidRDefault="00CC3C93" w:rsidP="00CA5FBB">
      <w:pPr>
        <w:spacing w:before="120" w:line="240" w:lineRule="auto"/>
        <w:ind w:left="45"/>
        <w:jc w:val="left"/>
        <w:rPr>
          <w:rFonts w:asciiTheme="majorBidi" w:hAnsiTheme="majorBidi" w:cstheme="majorBidi"/>
          <w:color w:val="000000"/>
          <w:lang w:val="en-CA"/>
        </w:rPr>
      </w:pPr>
      <w:proofErr w:type="gramStart"/>
      <w:r w:rsidRPr="00667B89">
        <w:rPr>
          <w:rFonts w:asciiTheme="majorBidi" w:hAnsiTheme="majorBidi" w:cstheme="majorBidi"/>
          <w:color w:val="000000"/>
          <w:lang w:val="en-CA"/>
        </w:rPr>
        <w:t>Zhilman A.L, &amp; Cramer, D.L.</w:t>
      </w:r>
      <w:proofErr w:type="gramEnd"/>
      <w:r w:rsidRPr="00667B89">
        <w:rPr>
          <w:rFonts w:asciiTheme="majorBidi" w:hAnsiTheme="majorBidi" w:cstheme="majorBidi"/>
          <w:color w:val="000000"/>
          <w:lang w:val="en-CA"/>
        </w:rPr>
        <w:t xml:space="preserve">  1978.  Skeletal differences between pygmy (</w:t>
      </w:r>
      <w:r w:rsidRPr="00667B89">
        <w:rPr>
          <w:rFonts w:asciiTheme="majorBidi" w:hAnsiTheme="majorBidi" w:cstheme="majorBidi"/>
          <w:i/>
          <w:color w:val="000000"/>
          <w:lang w:val="en-CA"/>
        </w:rPr>
        <w:t xml:space="preserve">Pan </w:t>
      </w:r>
      <w:proofErr w:type="gramStart"/>
      <w:r w:rsidRPr="00667B89">
        <w:rPr>
          <w:rFonts w:asciiTheme="majorBidi" w:hAnsiTheme="majorBidi" w:cstheme="majorBidi"/>
          <w:i/>
          <w:color w:val="000000"/>
          <w:lang w:val="en-CA"/>
        </w:rPr>
        <w:t>paniscus</w:t>
      </w:r>
      <w:proofErr w:type="gramEnd"/>
      <w:r w:rsidRPr="00667B89">
        <w:rPr>
          <w:rFonts w:asciiTheme="majorBidi" w:hAnsiTheme="majorBidi" w:cstheme="majorBidi"/>
          <w:color w:val="000000"/>
          <w:lang w:val="en-CA"/>
        </w:rPr>
        <w:t>) and common (</w:t>
      </w:r>
      <w:r w:rsidRPr="00667B89">
        <w:rPr>
          <w:rFonts w:asciiTheme="majorBidi" w:hAnsiTheme="majorBidi" w:cstheme="majorBidi"/>
          <w:i/>
          <w:color w:val="000000"/>
          <w:lang w:val="en-CA"/>
        </w:rPr>
        <w:t>Pan troglodytes</w:t>
      </w:r>
      <w:r w:rsidRPr="00667B89">
        <w:rPr>
          <w:rFonts w:asciiTheme="majorBidi" w:hAnsiTheme="majorBidi" w:cstheme="majorBidi"/>
          <w:color w:val="000000"/>
          <w:lang w:val="en-CA"/>
        </w:rPr>
        <w:t xml:space="preserve">) chimpanzees.  </w:t>
      </w:r>
      <w:r w:rsidRPr="00667B89">
        <w:rPr>
          <w:rFonts w:asciiTheme="majorBidi" w:hAnsiTheme="majorBidi" w:cstheme="majorBidi"/>
          <w:i/>
          <w:color w:val="000000"/>
          <w:lang w:val="en-CA"/>
        </w:rPr>
        <w:t>Folia Primatologica</w:t>
      </w:r>
      <w:r w:rsidRPr="00667B89">
        <w:rPr>
          <w:rFonts w:asciiTheme="majorBidi" w:hAnsiTheme="majorBidi" w:cstheme="majorBidi"/>
          <w:color w:val="000000"/>
          <w:lang w:val="en-CA"/>
        </w:rPr>
        <w:t xml:space="preserve"> 29</w:t>
      </w:r>
      <w:r w:rsidR="00605AB6">
        <w:rPr>
          <w:rFonts w:asciiTheme="majorBidi" w:hAnsiTheme="majorBidi" w:cstheme="majorBidi"/>
          <w:color w:val="000000"/>
          <w:lang w:val="en-CA"/>
        </w:rPr>
        <w:t>(2):</w:t>
      </w:r>
      <w:r w:rsidRPr="00667B89">
        <w:rPr>
          <w:rFonts w:asciiTheme="majorBidi" w:hAnsiTheme="majorBidi" w:cstheme="majorBidi"/>
          <w:color w:val="000000"/>
          <w:lang w:val="en-CA"/>
        </w:rPr>
        <w:t xml:space="preserve"> 86-94</w:t>
      </w:r>
      <w:r w:rsidR="00605AB6">
        <w:rPr>
          <w:rFonts w:asciiTheme="majorBidi" w:hAnsiTheme="majorBidi" w:cstheme="majorBidi"/>
          <w:color w:val="000000"/>
          <w:lang w:val="en-CA"/>
        </w:rPr>
        <w:t>.</w:t>
      </w:r>
    </w:p>
    <w:p w:rsidR="00A35CA0" w:rsidRDefault="00CC3C93" w:rsidP="00CA5FBB">
      <w:pPr>
        <w:pStyle w:val="ListParagraph"/>
        <w:spacing w:before="120" w:line="240" w:lineRule="auto"/>
        <w:ind w:left="0"/>
        <w:jc w:val="left"/>
        <w:rPr>
          <w:noProof/>
        </w:rPr>
      </w:pPr>
      <w:r>
        <w:rPr>
          <w:noProof/>
        </w:rPr>
        <w:t>Zihlman</w:t>
      </w:r>
      <w:r w:rsidRPr="00C40562">
        <w:rPr>
          <w:noProof/>
        </w:rPr>
        <w:t>,</w:t>
      </w:r>
      <w:r>
        <w:rPr>
          <w:noProof/>
        </w:rPr>
        <w:t xml:space="preserve"> A.L.</w:t>
      </w:r>
      <w:r w:rsidRPr="00C40562">
        <w:rPr>
          <w:noProof/>
        </w:rPr>
        <w:t xml:space="preserve"> </w:t>
      </w:r>
      <w:r>
        <w:rPr>
          <w:noProof/>
        </w:rPr>
        <w:t xml:space="preserve"> Morbeck</w:t>
      </w:r>
      <w:r w:rsidRPr="00C40562">
        <w:rPr>
          <w:noProof/>
        </w:rPr>
        <w:t>,</w:t>
      </w:r>
      <w:r>
        <w:rPr>
          <w:noProof/>
        </w:rPr>
        <w:t xml:space="preserve"> M.E.  </w:t>
      </w:r>
      <w:r w:rsidRPr="00C40562">
        <w:rPr>
          <w:noProof/>
        </w:rPr>
        <w:t>Goodall</w:t>
      </w:r>
      <w:r>
        <w:rPr>
          <w:noProof/>
        </w:rPr>
        <w:t xml:space="preserve">, J.  1990.  </w:t>
      </w:r>
      <w:r w:rsidRPr="00C40562">
        <w:rPr>
          <w:noProof/>
        </w:rPr>
        <w:t>Skeletal biology and individual life history of Gombe chimpanzees</w:t>
      </w:r>
      <w:r>
        <w:rPr>
          <w:noProof/>
        </w:rPr>
        <w:t xml:space="preserve">.  </w:t>
      </w:r>
      <w:r w:rsidRPr="00C40562">
        <w:rPr>
          <w:i/>
          <w:noProof/>
        </w:rPr>
        <w:t>Journal of Zoology</w:t>
      </w:r>
      <w:r>
        <w:rPr>
          <w:noProof/>
        </w:rPr>
        <w:t xml:space="preserve"> </w:t>
      </w:r>
      <w:r w:rsidRPr="00C40562">
        <w:rPr>
          <w:noProof/>
        </w:rPr>
        <w:t>221</w:t>
      </w:r>
      <w:r>
        <w:rPr>
          <w:noProof/>
        </w:rPr>
        <w:t>(</w:t>
      </w:r>
      <w:r w:rsidRPr="00C40562">
        <w:rPr>
          <w:noProof/>
        </w:rPr>
        <w:t>1</w:t>
      </w:r>
      <w:r>
        <w:rPr>
          <w:noProof/>
        </w:rPr>
        <w:t>):</w:t>
      </w:r>
      <w:r w:rsidRPr="00C40562">
        <w:rPr>
          <w:noProof/>
        </w:rPr>
        <w:t xml:space="preserve"> 37–61</w:t>
      </w:r>
      <w:r w:rsidR="00605AB6">
        <w:rPr>
          <w:noProof/>
        </w:rPr>
        <w:t>.</w:t>
      </w:r>
    </w:p>
    <w:p w:rsidR="000C045E" w:rsidRDefault="00CC3C93" w:rsidP="00E53F3C">
      <w:pPr>
        <w:autoSpaceDE w:val="0"/>
        <w:autoSpaceDN w:val="0"/>
        <w:adjustRightInd w:val="0"/>
        <w:spacing w:before="120" w:line="240" w:lineRule="auto"/>
        <w:jc w:val="left"/>
        <w:rPr>
          <w:rFonts w:asciiTheme="majorBidi" w:hAnsiTheme="majorBidi" w:cstheme="majorBidi"/>
        </w:rPr>
      </w:pPr>
      <w:r w:rsidRPr="00667B89">
        <w:rPr>
          <w:rFonts w:asciiTheme="majorBidi" w:hAnsiTheme="majorBidi" w:cstheme="majorBidi"/>
        </w:rPr>
        <w:t xml:space="preserve">Zuck, T.T.  1938.  The age order of epiphyseal union in the guinea pig.  </w:t>
      </w:r>
      <w:r w:rsidR="00916241" w:rsidRPr="00916241">
        <w:rPr>
          <w:rFonts w:asciiTheme="majorBidi" w:hAnsiTheme="majorBidi" w:cstheme="majorBidi"/>
          <w:i/>
        </w:rPr>
        <w:t>The</w:t>
      </w:r>
      <w:r w:rsidR="00916241">
        <w:rPr>
          <w:rFonts w:asciiTheme="majorBidi" w:hAnsiTheme="majorBidi" w:cstheme="majorBidi"/>
        </w:rPr>
        <w:t xml:space="preserve"> </w:t>
      </w:r>
      <w:r w:rsidRPr="00667B89">
        <w:rPr>
          <w:rFonts w:asciiTheme="majorBidi" w:hAnsiTheme="majorBidi" w:cstheme="majorBidi"/>
          <w:i/>
        </w:rPr>
        <w:t>Anatomical Record</w:t>
      </w:r>
      <w:r w:rsidRPr="00667B89">
        <w:rPr>
          <w:rFonts w:asciiTheme="majorBidi" w:hAnsiTheme="majorBidi" w:cstheme="majorBidi"/>
        </w:rPr>
        <w:t xml:space="preserve"> 70</w:t>
      </w:r>
      <w:r w:rsidR="00605AB6">
        <w:rPr>
          <w:rFonts w:asciiTheme="majorBidi" w:hAnsiTheme="majorBidi" w:cstheme="majorBidi"/>
        </w:rPr>
        <w:t>(4)</w:t>
      </w:r>
      <w:r w:rsidRPr="00667B89">
        <w:rPr>
          <w:rFonts w:asciiTheme="majorBidi" w:hAnsiTheme="majorBidi" w:cstheme="majorBidi"/>
        </w:rPr>
        <w:t>: 389–399</w:t>
      </w:r>
      <w:r w:rsidR="00605AB6">
        <w:rPr>
          <w:rFonts w:asciiTheme="majorBidi" w:hAnsiTheme="majorBidi" w:cstheme="majorBidi"/>
        </w:rPr>
        <w:t>.</w:t>
      </w:r>
    </w:p>
    <w:p w:rsidR="00B40185" w:rsidRDefault="00B40185">
      <w:pPr>
        <w:spacing w:before="0" w:after="200" w:line="276" w:lineRule="auto"/>
        <w:jc w:val="left"/>
        <w:rPr>
          <w:rFonts w:asciiTheme="majorBidi" w:hAnsiTheme="majorBidi" w:cstheme="majorBidi"/>
        </w:rPr>
      </w:pPr>
      <w:r>
        <w:rPr>
          <w:rFonts w:asciiTheme="majorBidi" w:hAnsiTheme="majorBidi" w:cstheme="majorBidi"/>
        </w:rPr>
        <w:br w:type="page"/>
      </w:r>
    </w:p>
    <w:p w:rsidR="00B40185" w:rsidRPr="00C204FC" w:rsidRDefault="00B40185" w:rsidP="00B40185">
      <w:pPr>
        <w:jc w:val="center"/>
        <w:rPr>
          <w:b/>
          <w:sz w:val="28"/>
          <w:szCs w:val="28"/>
        </w:rPr>
      </w:pPr>
      <w:r w:rsidRPr="00C204FC">
        <w:rPr>
          <w:b/>
          <w:sz w:val="28"/>
          <w:szCs w:val="28"/>
        </w:rPr>
        <w:lastRenderedPageBreak/>
        <w:t>Appendix</w:t>
      </w:r>
    </w:p>
    <w:p w:rsidR="00B40185" w:rsidRPr="00C14FDE" w:rsidRDefault="00893CA0" w:rsidP="0072316E">
      <w:pPr>
        <w:pStyle w:val="Heading2"/>
        <w:numPr>
          <w:ilvl w:val="0"/>
          <w:numId w:val="0"/>
        </w:numPr>
        <w:ind w:left="576" w:hanging="576"/>
      </w:pPr>
      <w:bookmarkStart w:id="3497" w:name="_Toc373178852"/>
      <w:bookmarkStart w:id="3498" w:name="_Toc373484005"/>
      <w:r>
        <w:t xml:space="preserve">8.1 </w:t>
      </w:r>
      <w:r w:rsidR="00B40185" w:rsidRPr="00077C14">
        <w:t>Demographic data</w:t>
      </w:r>
      <w:bookmarkEnd w:id="3497"/>
      <w:bookmarkEnd w:id="3498"/>
    </w:p>
    <w:p w:rsidR="00B40185" w:rsidRPr="00A75801" w:rsidRDefault="00B40185" w:rsidP="00B40185">
      <w:pPr>
        <w:rPr>
          <w:color w:val="000000" w:themeColor="text1"/>
        </w:rPr>
      </w:pPr>
      <w:r w:rsidRPr="00A75801">
        <w:rPr>
          <w:color w:val="000000" w:themeColor="text1"/>
        </w:rPr>
        <w:t xml:space="preserve">The following </w:t>
      </w:r>
      <w:proofErr w:type="gramStart"/>
      <w:r w:rsidRPr="00A75801">
        <w:rPr>
          <w:color w:val="000000" w:themeColor="text1"/>
        </w:rPr>
        <w:t>tables</w:t>
      </w:r>
      <w:proofErr w:type="gramEnd"/>
      <w:r w:rsidRPr="00A75801">
        <w:rPr>
          <w:color w:val="000000" w:themeColor="text1"/>
        </w:rPr>
        <w:t xml:space="preserve"> present location data for the specimens used in this study</w:t>
      </w:r>
      <w:r>
        <w:rPr>
          <w:color w:val="000000" w:themeColor="text1"/>
        </w:rPr>
        <w:t xml:space="preserve"> as discussed in Chapter 3, section 3.1.3</w:t>
      </w:r>
      <w:r w:rsidRPr="00A75801">
        <w:rPr>
          <w:color w:val="000000" w:themeColor="text1"/>
        </w:rPr>
        <w:t>.</w:t>
      </w:r>
    </w:p>
    <w:p w:rsidR="00B40185" w:rsidRPr="00927623" w:rsidRDefault="00B40185" w:rsidP="00733544">
      <w:pPr>
        <w:pStyle w:val="Table"/>
      </w:pPr>
      <w:bookmarkStart w:id="3499" w:name="_Toc373177883"/>
      <w:bookmarkStart w:id="3500" w:name="_Toc373484422"/>
      <w:r>
        <w:t xml:space="preserve">: </w:t>
      </w:r>
      <w:r w:rsidRPr="00F33968">
        <w:t>Reported locations for wild specimens at the Museum of Central Africa.</w:t>
      </w:r>
      <w:bookmarkEnd w:id="3499"/>
      <w:bookmarkEnd w:id="3500"/>
    </w:p>
    <w:tbl>
      <w:tblPr>
        <w:tblW w:w="8662" w:type="dxa"/>
        <w:jc w:val="center"/>
        <w:tblInd w:w="93" w:type="dxa"/>
        <w:tblBorders>
          <w:top w:val="single" w:sz="4" w:space="0" w:color="auto"/>
          <w:bottom w:val="single" w:sz="4" w:space="0" w:color="auto"/>
        </w:tblBorders>
        <w:tblLook w:val="04A0" w:firstRow="1" w:lastRow="0" w:firstColumn="1" w:lastColumn="0" w:noHBand="0" w:noVBand="1"/>
      </w:tblPr>
      <w:tblGrid>
        <w:gridCol w:w="3276"/>
        <w:gridCol w:w="708"/>
        <w:gridCol w:w="3248"/>
        <w:gridCol w:w="438"/>
        <w:gridCol w:w="992"/>
      </w:tblGrid>
      <w:tr w:rsidR="00B40185" w:rsidRPr="00EF5A9A" w:rsidTr="00CD3F38">
        <w:trPr>
          <w:trHeight w:val="315"/>
          <w:jc w:val="center"/>
        </w:trPr>
        <w:tc>
          <w:tcPr>
            <w:tcW w:w="3984" w:type="dxa"/>
            <w:gridSpan w:val="2"/>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b/>
                <w:bCs/>
                <w:i/>
                <w:iCs/>
                <w:color w:val="000000"/>
                <w:lang w:eastAsia="en-GB"/>
              </w:rPr>
            </w:pPr>
            <w:r w:rsidRPr="00EF5A9A">
              <w:rPr>
                <w:rFonts w:eastAsia="Times New Roman"/>
                <w:b/>
                <w:bCs/>
                <w:i/>
                <w:iCs/>
                <w:color w:val="000000"/>
                <w:lang w:eastAsia="en-GB"/>
              </w:rPr>
              <w:t>Pan troglodytes schweinfurthii</w:t>
            </w:r>
          </w:p>
        </w:tc>
        <w:tc>
          <w:tcPr>
            <w:tcW w:w="4678" w:type="dxa"/>
            <w:gridSpan w:val="3"/>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b/>
                <w:bCs/>
                <w:i/>
                <w:iCs/>
                <w:color w:val="000000"/>
                <w:lang w:eastAsia="en-GB"/>
              </w:rPr>
            </w:pPr>
            <w:r w:rsidRPr="00EF5A9A">
              <w:rPr>
                <w:rFonts w:eastAsia="Times New Roman"/>
                <w:b/>
                <w:bCs/>
                <w:i/>
                <w:iCs/>
                <w:color w:val="000000"/>
                <w:lang w:eastAsia="en-GB"/>
              </w:rPr>
              <w:t>Pan paniscus</w:t>
            </w:r>
          </w:p>
        </w:tc>
      </w:tr>
      <w:tr w:rsidR="00B40185" w:rsidRPr="00EF5A9A" w:rsidTr="00CD3F38">
        <w:trPr>
          <w:trHeight w:val="315"/>
          <w:jc w:val="center"/>
        </w:trPr>
        <w:tc>
          <w:tcPr>
            <w:tcW w:w="3276" w:type="dxa"/>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b/>
                <w:bCs/>
                <w:color w:val="000000"/>
                <w:lang w:eastAsia="en-GB"/>
              </w:rPr>
            </w:pPr>
            <w:r>
              <w:rPr>
                <w:rFonts w:eastAsia="Times New Roman"/>
                <w:b/>
                <w:bCs/>
                <w:color w:val="000000"/>
                <w:lang w:eastAsia="en-GB"/>
              </w:rPr>
              <w:t>l</w:t>
            </w:r>
            <w:r w:rsidRPr="00EF5A9A">
              <w:rPr>
                <w:rFonts w:eastAsia="Times New Roman"/>
                <w:b/>
                <w:bCs/>
                <w:color w:val="000000"/>
                <w:lang w:eastAsia="en-GB"/>
              </w:rPr>
              <w:t>ocation</w:t>
            </w:r>
          </w:p>
        </w:tc>
        <w:tc>
          <w:tcPr>
            <w:tcW w:w="708" w:type="dxa"/>
            <w:tcBorders>
              <w:top w:val="single" w:sz="4" w:space="0" w:color="auto"/>
              <w:bottom w:val="single" w:sz="4" w:space="0" w:color="auto"/>
            </w:tcBorders>
            <w:shd w:val="clear" w:color="000000" w:fill="FFFFFF"/>
            <w:noWrap/>
            <w:vAlign w:val="center"/>
            <w:hideMark/>
          </w:tcPr>
          <w:p w:rsidR="00B40185" w:rsidRPr="007E3624" w:rsidRDefault="00B40185" w:rsidP="00B40185">
            <w:pPr>
              <w:spacing w:before="0" w:line="240" w:lineRule="auto"/>
              <w:jc w:val="center"/>
              <w:rPr>
                <w:rFonts w:eastAsia="Times New Roman"/>
                <w:b/>
                <w:bCs/>
                <w:i/>
                <w:color w:val="000000"/>
                <w:lang w:eastAsia="en-GB"/>
              </w:rPr>
            </w:pPr>
            <w:r>
              <w:rPr>
                <w:rFonts w:eastAsia="Times New Roman"/>
                <w:b/>
                <w:bCs/>
                <w:i/>
                <w:color w:val="000000"/>
                <w:lang w:eastAsia="en-GB"/>
              </w:rPr>
              <w:t>N</w:t>
            </w:r>
          </w:p>
        </w:tc>
        <w:tc>
          <w:tcPr>
            <w:tcW w:w="3686" w:type="dxa"/>
            <w:gridSpan w:val="2"/>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b/>
                <w:bCs/>
                <w:color w:val="000000"/>
                <w:lang w:eastAsia="en-GB"/>
              </w:rPr>
            </w:pPr>
            <w:r>
              <w:rPr>
                <w:rFonts w:eastAsia="Times New Roman"/>
                <w:b/>
                <w:bCs/>
                <w:color w:val="000000"/>
                <w:lang w:eastAsia="en-GB"/>
              </w:rPr>
              <w:t>l</w:t>
            </w:r>
            <w:r w:rsidRPr="00EF5A9A">
              <w:rPr>
                <w:rFonts w:eastAsia="Times New Roman"/>
                <w:b/>
                <w:bCs/>
                <w:color w:val="000000"/>
                <w:lang w:eastAsia="en-GB"/>
              </w:rPr>
              <w:t>ocation</w:t>
            </w:r>
          </w:p>
        </w:tc>
        <w:tc>
          <w:tcPr>
            <w:tcW w:w="992" w:type="dxa"/>
            <w:tcBorders>
              <w:top w:val="single" w:sz="4" w:space="0" w:color="auto"/>
              <w:bottom w:val="single" w:sz="4" w:space="0" w:color="auto"/>
            </w:tcBorders>
            <w:shd w:val="clear" w:color="000000" w:fill="FFFFFF"/>
            <w:noWrap/>
            <w:vAlign w:val="center"/>
            <w:hideMark/>
          </w:tcPr>
          <w:p w:rsidR="00B40185" w:rsidRPr="007E3624" w:rsidRDefault="00B40185" w:rsidP="00B40185">
            <w:pPr>
              <w:spacing w:before="0" w:line="240" w:lineRule="auto"/>
              <w:jc w:val="center"/>
              <w:rPr>
                <w:rFonts w:eastAsia="Times New Roman"/>
                <w:b/>
                <w:bCs/>
                <w:i/>
                <w:color w:val="000000"/>
                <w:lang w:eastAsia="en-GB"/>
              </w:rPr>
            </w:pPr>
            <w:r>
              <w:rPr>
                <w:rFonts w:eastAsia="Times New Roman"/>
                <w:b/>
                <w:bCs/>
                <w:i/>
                <w:color w:val="000000"/>
                <w:lang w:eastAsia="en-GB"/>
              </w:rPr>
              <w:t>N</w:t>
            </w:r>
          </w:p>
        </w:tc>
      </w:tr>
      <w:tr w:rsidR="00B40185" w:rsidRPr="00EF5A9A" w:rsidTr="00CD3F38">
        <w:trPr>
          <w:trHeight w:val="315"/>
          <w:jc w:val="center"/>
        </w:trPr>
        <w:tc>
          <w:tcPr>
            <w:tcW w:w="3276" w:type="dxa"/>
            <w:tcBorders>
              <w:top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 Epulu</w:t>
            </w:r>
          </w:p>
        </w:tc>
        <w:tc>
          <w:tcPr>
            <w:tcW w:w="708" w:type="dxa"/>
            <w:tcBorders>
              <w:top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tcBorders>
              <w:top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 Ibembo</w:t>
            </w:r>
          </w:p>
        </w:tc>
        <w:tc>
          <w:tcPr>
            <w:tcW w:w="992" w:type="dxa"/>
            <w:tcBorders>
              <w:top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 Stanleyville</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Basankusu</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Andudu (Uelé)</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Batiakayandja, 18 km S.S.W. Ponthierville</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2</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Bafwanaubo (Ituri bos)</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Batiamoyowa, 35 km S.S.W. Ponthierville</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4</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Bururi (Burundi)</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Biondo, 30 km W. Ponthierville</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2</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Buta</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4</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Bore, 13 km S.S.W. Ponthierville</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Congo</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Coquilhatville</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3</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Epulu</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Djolu</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5</w:t>
            </w:r>
          </w:p>
        </w:tc>
      </w:tr>
      <w:tr w:rsidR="00B40185" w:rsidRPr="00EF5A9A" w:rsidTr="00CD3F38">
        <w:trPr>
          <w:trHeight w:val="330"/>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Epulu, terr. Mambasa</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Dongo, 15 km S.E. Yahuma</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3</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Kilo</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Dongo, Oshwe 50 km S. Dekese (Kasai)</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Lugundu (Nyunzu)</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Lingomo (Ikela), alt: 350 m</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Mawambi</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3</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Lulongo district (Mompono)</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Moba</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Stanleyville left bank</w:t>
            </w:r>
          </w:p>
        </w:tc>
        <w:tc>
          <w:tcPr>
            <w:tcW w:w="992"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Muma (Prov. Uelé) terr. Abandia</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686" w:type="dxa"/>
            <w:gridSpan w:val="2"/>
            <w:tcBorders>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Wamba (35 km E. Balangala, terr. Basankusu)</w:t>
            </w:r>
          </w:p>
        </w:tc>
        <w:tc>
          <w:tcPr>
            <w:tcW w:w="992" w:type="dxa"/>
            <w:tcBorders>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3</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Poko</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4678" w:type="dxa"/>
            <w:gridSpan w:val="3"/>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b/>
                <w:bCs/>
                <w:color w:val="000000"/>
                <w:lang w:eastAsia="en-GB"/>
              </w:rPr>
            </w:pPr>
            <w:r>
              <w:rPr>
                <w:rFonts w:eastAsia="Times New Roman"/>
                <w:b/>
                <w:bCs/>
                <w:color w:val="000000"/>
                <w:lang w:eastAsia="en-GB"/>
              </w:rPr>
              <w:t>u</w:t>
            </w:r>
            <w:r w:rsidRPr="00EF5A9A">
              <w:rPr>
                <w:rFonts w:eastAsia="Times New Roman"/>
                <w:b/>
                <w:bCs/>
                <w:color w:val="000000"/>
                <w:lang w:eastAsia="en-GB"/>
              </w:rPr>
              <w:t xml:space="preserve">nspecified </w:t>
            </w:r>
            <w:r w:rsidRPr="00EF5A9A">
              <w:rPr>
                <w:rFonts w:eastAsia="Times New Roman"/>
                <w:b/>
                <w:bCs/>
                <w:i/>
                <w:iCs/>
                <w:color w:val="000000"/>
                <w:lang w:eastAsia="en-GB"/>
              </w:rPr>
              <w:t>Pan</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region Bafwasende</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2</w:t>
            </w:r>
          </w:p>
        </w:tc>
        <w:tc>
          <w:tcPr>
            <w:tcW w:w="3248" w:type="dxa"/>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b/>
                <w:bCs/>
                <w:color w:val="000000"/>
                <w:lang w:eastAsia="en-GB"/>
              </w:rPr>
            </w:pPr>
            <w:r>
              <w:rPr>
                <w:rFonts w:eastAsia="Times New Roman"/>
                <w:b/>
                <w:bCs/>
                <w:color w:val="000000"/>
                <w:lang w:eastAsia="en-GB"/>
              </w:rPr>
              <w:t>l</w:t>
            </w:r>
            <w:r w:rsidRPr="00EF5A9A">
              <w:rPr>
                <w:rFonts w:eastAsia="Times New Roman"/>
                <w:b/>
                <w:bCs/>
                <w:color w:val="000000"/>
                <w:lang w:eastAsia="en-GB"/>
              </w:rPr>
              <w:t>ocation</w:t>
            </w:r>
          </w:p>
        </w:tc>
        <w:tc>
          <w:tcPr>
            <w:tcW w:w="1430" w:type="dxa"/>
            <w:gridSpan w:val="2"/>
            <w:tcBorders>
              <w:top w:val="single" w:sz="4" w:space="0" w:color="auto"/>
              <w:bottom w:val="single" w:sz="4" w:space="0" w:color="auto"/>
            </w:tcBorders>
            <w:shd w:val="clear" w:color="000000" w:fill="FFFFFF"/>
            <w:noWrap/>
            <w:vAlign w:val="center"/>
            <w:hideMark/>
          </w:tcPr>
          <w:p w:rsidR="00B40185" w:rsidRPr="007E3624" w:rsidRDefault="00B40185" w:rsidP="00B40185">
            <w:pPr>
              <w:spacing w:before="0" w:line="240" w:lineRule="auto"/>
              <w:jc w:val="center"/>
              <w:rPr>
                <w:rFonts w:eastAsia="Times New Roman"/>
                <w:b/>
                <w:bCs/>
                <w:i/>
                <w:color w:val="000000"/>
                <w:lang w:eastAsia="en-GB"/>
              </w:rPr>
            </w:pPr>
            <w:r>
              <w:rPr>
                <w:rFonts w:eastAsia="Times New Roman"/>
                <w:b/>
                <w:bCs/>
                <w:i/>
                <w:color w:val="000000"/>
                <w:lang w:eastAsia="en-GB"/>
              </w:rPr>
              <w:t>N</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region Lubongola Chefferie Warega</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248" w:type="dxa"/>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Yahuma, terr. Yahuma</w:t>
            </w:r>
          </w:p>
        </w:tc>
        <w:tc>
          <w:tcPr>
            <w:tcW w:w="1430" w:type="dxa"/>
            <w:gridSpan w:val="2"/>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Stanley Falls</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4678" w:type="dxa"/>
            <w:gridSpan w:val="3"/>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b/>
                <w:bCs/>
                <w:i/>
                <w:iCs/>
                <w:color w:val="000000"/>
                <w:lang w:eastAsia="en-GB"/>
              </w:rPr>
            </w:pPr>
            <w:r w:rsidRPr="00EF5A9A">
              <w:rPr>
                <w:rFonts w:eastAsia="Times New Roman"/>
                <w:b/>
                <w:bCs/>
                <w:i/>
                <w:iCs/>
                <w:color w:val="000000"/>
                <w:lang w:eastAsia="en-GB"/>
              </w:rPr>
              <w:t>Pan troglodytes troglodytes</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Stanleyville</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248" w:type="dxa"/>
            <w:tcBorders>
              <w:top w:val="single" w:sz="4" w:space="0" w:color="auto"/>
              <w:bottom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b/>
                <w:bCs/>
                <w:color w:val="000000"/>
                <w:lang w:eastAsia="en-GB"/>
              </w:rPr>
            </w:pPr>
            <w:r>
              <w:rPr>
                <w:rFonts w:eastAsia="Times New Roman"/>
                <w:b/>
                <w:bCs/>
                <w:color w:val="000000"/>
                <w:lang w:eastAsia="en-GB"/>
              </w:rPr>
              <w:t>l</w:t>
            </w:r>
            <w:r w:rsidRPr="00EF5A9A">
              <w:rPr>
                <w:rFonts w:eastAsia="Times New Roman"/>
                <w:b/>
                <w:bCs/>
                <w:color w:val="000000"/>
                <w:lang w:eastAsia="en-GB"/>
              </w:rPr>
              <w:t>ocation</w:t>
            </w:r>
          </w:p>
        </w:tc>
        <w:tc>
          <w:tcPr>
            <w:tcW w:w="1430" w:type="dxa"/>
            <w:gridSpan w:val="2"/>
            <w:tcBorders>
              <w:top w:val="single" w:sz="4" w:space="0" w:color="auto"/>
              <w:bottom w:val="single" w:sz="4" w:space="0" w:color="auto"/>
            </w:tcBorders>
            <w:shd w:val="clear" w:color="000000" w:fill="FFFFFF"/>
            <w:noWrap/>
            <w:vAlign w:val="center"/>
            <w:hideMark/>
          </w:tcPr>
          <w:p w:rsidR="00B40185" w:rsidRPr="007E3624" w:rsidRDefault="00B40185" w:rsidP="00B40185">
            <w:pPr>
              <w:spacing w:before="0" w:line="240" w:lineRule="auto"/>
              <w:jc w:val="center"/>
              <w:rPr>
                <w:rFonts w:eastAsia="Times New Roman"/>
                <w:b/>
                <w:bCs/>
                <w:i/>
                <w:color w:val="000000"/>
                <w:lang w:eastAsia="en-GB"/>
              </w:rPr>
            </w:pPr>
            <w:r>
              <w:rPr>
                <w:rFonts w:eastAsia="Times New Roman"/>
                <w:b/>
                <w:bCs/>
                <w:i/>
                <w:color w:val="000000"/>
                <w:lang w:eastAsia="en-GB"/>
              </w:rPr>
              <w:t>N</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Ubangi</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248" w:type="dxa"/>
            <w:tcBorders>
              <w:top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Mayumbe</w:t>
            </w:r>
          </w:p>
        </w:tc>
        <w:tc>
          <w:tcPr>
            <w:tcW w:w="1430" w:type="dxa"/>
            <w:gridSpan w:val="2"/>
            <w:tcBorders>
              <w:top w:val="single" w:sz="4" w:space="0" w:color="auto"/>
            </w:tcBorders>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2</w:t>
            </w:r>
          </w:p>
        </w:tc>
      </w:tr>
      <w:tr w:rsidR="00B40185" w:rsidRPr="00EF5A9A" w:rsidTr="00CD3F38">
        <w:trPr>
          <w:trHeight w:val="315"/>
          <w:jc w:val="center"/>
        </w:trPr>
        <w:tc>
          <w:tcPr>
            <w:tcW w:w="3276"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Unaputi</w:t>
            </w:r>
          </w:p>
        </w:tc>
        <w:tc>
          <w:tcPr>
            <w:tcW w:w="708" w:type="dxa"/>
            <w:shd w:val="clear" w:color="000000" w:fill="FFFFFF"/>
            <w:noWrap/>
            <w:vAlign w:val="center"/>
            <w:hideMark/>
          </w:tcPr>
          <w:p w:rsidR="00B40185" w:rsidRPr="00EF5A9A" w:rsidRDefault="00B40185" w:rsidP="00B40185">
            <w:pPr>
              <w:spacing w:before="0" w:line="240" w:lineRule="auto"/>
              <w:jc w:val="center"/>
              <w:rPr>
                <w:rFonts w:eastAsia="Times New Roman"/>
                <w:color w:val="000000"/>
                <w:lang w:eastAsia="en-GB"/>
              </w:rPr>
            </w:pPr>
            <w:r w:rsidRPr="00EF5A9A">
              <w:rPr>
                <w:rFonts w:eastAsia="Times New Roman"/>
                <w:color w:val="000000"/>
                <w:lang w:eastAsia="en-GB"/>
              </w:rPr>
              <w:t>3</w:t>
            </w:r>
          </w:p>
        </w:tc>
        <w:tc>
          <w:tcPr>
            <w:tcW w:w="3248" w:type="dxa"/>
            <w:shd w:val="clear" w:color="auto" w:fill="auto"/>
            <w:noWrap/>
            <w:vAlign w:val="center"/>
            <w:hideMark/>
          </w:tcPr>
          <w:p w:rsidR="00B40185" w:rsidRPr="00EF5A9A" w:rsidRDefault="00B40185" w:rsidP="00B40185">
            <w:pPr>
              <w:spacing w:before="0" w:line="240" w:lineRule="auto"/>
              <w:rPr>
                <w:rFonts w:eastAsia="Times New Roman"/>
                <w:color w:val="000000"/>
                <w:lang w:eastAsia="en-GB"/>
              </w:rPr>
            </w:pPr>
            <w:r w:rsidRPr="00EF5A9A">
              <w:rPr>
                <w:rFonts w:eastAsia="Times New Roman"/>
                <w:color w:val="000000"/>
                <w:lang w:eastAsia="en-GB"/>
              </w:rPr>
              <w:t> </w:t>
            </w:r>
          </w:p>
        </w:tc>
        <w:tc>
          <w:tcPr>
            <w:tcW w:w="1430" w:type="dxa"/>
            <w:gridSpan w:val="2"/>
            <w:shd w:val="clear" w:color="auto" w:fill="auto"/>
            <w:noWrap/>
            <w:vAlign w:val="center"/>
            <w:hideMark/>
          </w:tcPr>
          <w:p w:rsidR="00B40185" w:rsidRPr="00EF5A9A" w:rsidRDefault="00B40185" w:rsidP="00B40185">
            <w:pPr>
              <w:spacing w:before="0" w:line="240" w:lineRule="auto"/>
              <w:rPr>
                <w:rFonts w:eastAsia="Times New Roman"/>
                <w:color w:val="000000"/>
                <w:lang w:eastAsia="en-GB"/>
              </w:rPr>
            </w:pPr>
            <w:r w:rsidRPr="00EF5A9A">
              <w:rPr>
                <w:rFonts w:eastAsia="Times New Roman"/>
                <w:color w:val="000000"/>
                <w:lang w:eastAsia="en-GB"/>
              </w:rPr>
              <w:t> </w:t>
            </w:r>
          </w:p>
        </w:tc>
      </w:tr>
    </w:tbl>
    <w:p w:rsidR="00CD3F38" w:rsidRDefault="00CD3F38" w:rsidP="00E53F3C">
      <w:pPr>
        <w:autoSpaceDE w:val="0"/>
        <w:autoSpaceDN w:val="0"/>
        <w:adjustRightInd w:val="0"/>
        <w:spacing w:before="120" w:line="240" w:lineRule="auto"/>
        <w:jc w:val="left"/>
        <w:rPr>
          <w:rFonts w:asciiTheme="majorBidi" w:hAnsiTheme="majorBidi" w:cstheme="majorBidi"/>
        </w:rPr>
      </w:pPr>
    </w:p>
    <w:p w:rsidR="00CD3F38" w:rsidRDefault="00CD3F38">
      <w:pPr>
        <w:spacing w:before="0" w:after="200" w:line="276" w:lineRule="auto"/>
        <w:jc w:val="left"/>
        <w:rPr>
          <w:rFonts w:asciiTheme="majorBidi" w:hAnsiTheme="majorBidi" w:cstheme="majorBidi"/>
        </w:rPr>
      </w:pPr>
      <w:r>
        <w:rPr>
          <w:rFonts w:asciiTheme="majorBidi" w:hAnsiTheme="majorBidi" w:cstheme="majorBidi"/>
        </w:rPr>
        <w:br w:type="page"/>
      </w:r>
    </w:p>
    <w:p w:rsidR="00CD3F38" w:rsidRPr="00927623" w:rsidRDefault="00CD3F38" w:rsidP="00733544">
      <w:pPr>
        <w:pStyle w:val="Table"/>
      </w:pPr>
      <w:bookmarkStart w:id="3501" w:name="_Toc373177884"/>
      <w:bookmarkStart w:id="3502" w:name="_Toc373484423"/>
      <w:r w:rsidRPr="00EF5A9A">
        <w:lastRenderedPageBreak/>
        <w:t xml:space="preserve">: Locations from which </w:t>
      </w:r>
      <w:r w:rsidRPr="00EF5A9A">
        <w:rPr>
          <w:i/>
        </w:rPr>
        <w:t>Pan troglodytes troglodytes</w:t>
      </w:r>
      <w:r w:rsidRPr="00EF5A9A">
        <w:t xml:space="preserve"> specimens were collect</w:t>
      </w:r>
      <w:r>
        <w:t>ed at the Powell-Cotton Museum.</w:t>
      </w:r>
      <w:bookmarkEnd w:id="3501"/>
      <w:bookmarkEnd w:id="3502"/>
    </w:p>
    <w:tbl>
      <w:tblPr>
        <w:tblW w:w="4820" w:type="dxa"/>
        <w:jc w:val="center"/>
        <w:tblInd w:w="-427" w:type="dxa"/>
        <w:tblBorders>
          <w:top w:val="single" w:sz="4" w:space="0" w:color="auto"/>
          <w:bottom w:val="single" w:sz="4" w:space="0" w:color="auto"/>
        </w:tblBorders>
        <w:tblLook w:val="04A0" w:firstRow="1" w:lastRow="0" w:firstColumn="1" w:lastColumn="0" w:noHBand="0" w:noVBand="1"/>
      </w:tblPr>
      <w:tblGrid>
        <w:gridCol w:w="3860"/>
        <w:gridCol w:w="960"/>
      </w:tblGrid>
      <w:tr w:rsidR="00CD3F38" w:rsidRPr="00EF5A9A" w:rsidTr="00CD3F38">
        <w:trPr>
          <w:trHeight w:val="338"/>
          <w:jc w:val="center"/>
        </w:trPr>
        <w:tc>
          <w:tcPr>
            <w:tcW w:w="3860" w:type="dxa"/>
            <w:tcBorders>
              <w:top w:val="single" w:sz="4" w:space="0" w:color="auto"/>
              <w:bottom w:val="single" w:sz="4" w:space="0" w:color="auto"/>
            </w:tcBorders>
            <w:shd w:val="clear" w:color="auto" w:fill="auto"/>
            <w:noWrap/>
            <w:vAlign w:val="center"/>
            <w:hideMark/>
          </w:tcPr>
          <w:p w:rsidR="00CD3F38" w:rsidRPr="00EF5A9A" w:rsidRDefault="00CD3F38" w:rsidP="00CD3F38">
            <w:pPr>
              <w:spacing w:before="0" w:line="240" w:lineRule="auto"/>
              <w:jc w:val="center"/>
              <w:rPr>
                <w:rFonts w:eastAsia="Times New Roman"/>
                <w:b/>
                <w:bCs/>
                <w:color w:val="000000" w:themeColor="text1"/>
                <w:lang w:eastAsia="en-GB"/>
              </w:rPr>
            </w:pPr>
            <w:r>
              <w:rPr>
                <w:rFonts w:eastAsia="Times New Roman"/>
                <w:b/>
                <w:bCs/>
                <w:color w:val="000000" w:themeColor="text1"/>
                <w:lang w:eastAsia="en-GB"/>
              </w:rPr>
              <w:t>l</w:t>
            </w:r>
            <w:r w:rsidRPr="00EF5A9A">
              <w:rPr>
                <w:rFonts w:eastAsia="Times New Roman"/>
                <w:b/>
                <w:bCs/>
                <w:color w:val="000000" w:themeColor="text1"/>
                <w:lang w:eastAsia="en-GB"/>
              </w:rPr>
              <w:t>ocation</w:t>
            </w:r>
          </w:p>
        </w:tc>
        <w:tc>
          <w:tcPr>
            <w:tcW w:w="960" w:type="dxa"/>
            <w:tcBorders>
              <w:top w:val="single" w:sz="4" w:space="0" w:color="auto"/>
              <w:bottom w:val="single" w:sz="4" w:space="0" w:color="auto"/>
            </w:tcBorders>
            <w:shd w:val="clear" w:color="auto" w:fill="auto"/>
            <w:noWrap/>
            <w:vAlign w:val="center"/>
            <w:hideMark/>
          </w:tcPr>
          <w:p w:rsidR="00CD3F38" w:rsidRPr="007E3624" w:rsidRDefault="00CD3F38" w:rsidP="00CD3F38">
            <w:pPr>
              <w:spacing w:before="0" w:line="240" w:lineRule="auto"/>
              <w:jc w:val="center"/>
              <w:rPr>
                <w:rFonts w:eastAsia="Times New Roman"/>
                <w:b/>
                <w:bCs/>
                <w:i/>
                <w:color w:val="000000" w:themeColor="text1"/>
                <w:lang w:eastAsia="en-GB"/>
              </w:rPr>
            </w:pPr>
            <w:r>
              <w:rPr>
                <w:rFonts w:eastAsia="Times New Roman"/>
                <w:b/>
                <w:bCs/>
                <w:i/>
                <w:color w:val="000000" w:themeColor="text1"/>
                <w:lang w:eastAsia="en-GB"/>
              </w:rPr>
              <w:t>N</w:t>
            </w:r>
          </w:p>
        </w:tc>
      </w:tr>
      <w:tr w:rsidR="00CD3F38" w:rsidRPr="00EF5A9A" w:rsidTr="00CD3F38">
        <w:trPr>
          <w:trHeight w:val="300"/>
          <w:jc w:val="center"/>
        </w:trPr>
        <w:tc>
          <w:tcPr>
            <w:tcW w:w="3860" w:type="dxa"/>
            <w:tcBorders>
              <w:top w:val="single" w:sz="4" w:space="0" w:color="auto"/>
            </w:tcBorders>
            <w:shd w:val="clear" w:color="000000" w:fill="FFFFFF"/>
            <w:noWrap/>
            <w:vAlign w:val="center"/>
            <w:hideMark/>
          </w:tcPr>
          <w:p w:rsidR="00CD3F38" w:rsidRPr="00EF5A9A" w:rsidRDefault="00CD3F38" w:rsidP="00CD3F38">
            <w:pPr>
              <w:spacing w:before="0" w:line="240" w:lineRule="auto"/>
              <w:jc w:val="center"/>
              <w:rPr>
                <w:rFonts w:eastAsia="Times New Roman"/>
                <w:color w:val="000000" w:themeColor="text1"/>
                <w:lang w:eastAsia="en-GB"/>
              </w:rPr>
            </w:pPr>
            <w:r w:rsidRPr="00EF5A9A">
              <w:rPr>
                <w:rFonts w:eastAsia="Times New Roman"/>
                <w:color w:val="000000" w:themeColor="text1"/>
                <w:lang w:eastAsia="en-GB"/>
              </w:rPr>
              <w:t>Batouri District/Cameroon</w:t>
            </w:r>
          </w:p>
        </w:tc>
        <w:tc>
          <w:tcPr>
            <w:tcW w:w="960" w:type="dxa"/>
            <w:tcBorders>
              <w:top w:val="single" w:sz="4" w:space="0" w:color="auto"/>
            </w:tcBorders>
            <w:shd w:val="clear" w:color="000000" w:fill="FFFFFF"/>
            <w:noWrap/>
            <w:vAlign w:val="center"/>
            <w:hideMark/>
          </w:tcPr>
          <w:p w:rsidR="00CD3F38" w:rsidRPr="00EF5A9A" w:rsidRDefault="00CD3F38" w:rsidP="00CD3F38">
            <w:pPr>
              <w:spacing w:before="0" w:line="240" w:lineRule="auto"/>
              <w:jc w:val="center"/>
              <w:rPr>
                <w:rFonts w:eastAsia="Times New Roman"/>
                <w:color w:val="000000" w:themeColor="text1"/>
                <w:lang w:eastAsia="en-GB"/>
              </w:rPr>
            </w:pPr>
            <w:r w:rsidRPr="00EF5A9A">
              <w:rPr>
                <w:rFonts w:eastAsia="Times New Roman"/>
                <w:color w:val="000000" w:themeColor="text1"/>
                <w:lang w:eastAsia="en-GB"/>
              </w:rPr>
              <w:t>4</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themeColor="text1"/>
                <w:lang w:eastAsia="en-GB"/>
              </w:rPr>
            </w:pPr>
            <w:r w:rsidRPr="00EF5A9A">
              <w:rPr>
                <w:rFonts w:eastAsia="Times New Roman"/>
                <w:color w:val="000000" w:themeColor="text1"/>
                <w:lang w:eastAsia="en-GB"/>
              </w:rPr>
              <w:t>Beri/Batouri District/Cameroon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themeColor="text1"/>
                <w:lang w:eastAsia="en-GB"/>
              </w:rPr>
            </w:pPr>
            <w:r w:rsidRPr="00EF5A9A">
              <w:rPr>
                <w:rFonts w:eastAsia="Times New Roman"/>
                <w:color w:val="000000" w:themeColor="text1"/>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Between Batouri-Lomie/Cameroon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3</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Bipindi District/Cameroon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Ebobonku/Nsang Melima/Cameroon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2</w:t>
            </w:r>
          </w:p>
        </w:tc>
      </w:tr>
      <w:tr w:rsidR="00CD3F38" w:rsidRPr="00EF5A9A" w:rsidTr="00CD3F38">
        <w:trPr>
          <w:trHeight w:val="315"/>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Kanyol/Batouri District/Cameroon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Kuambo/Bipindi-Kribi Rd/Cameroon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Lelo/Batouri District/Cameroon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5</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Lolodorf-Mbalemajo Rd/Cameroon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Meyoss/Batouri District/Cameroon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9</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Mifiaberg/Bipindi District/Cameroon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Ndinga/Batouri District/Cameroon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2</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Ndokofass/NE of Yabassi/Cameroon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Obala/Batouri District/Cameroon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31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Olangina/Cameroon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River Sassa/SE L.Albert/Congo</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r>
      <w:tr w:rsidR="00CD3F38" w:rsidRPr="00EF5A9A" w:rsidTr="00CD3F38">
        <w:trPr>
          <w:trHeight w:val="300"/>
          <w:jc w:val="center"/>
        </w:trPr>
        <w:tc>
          <w:tcPr>
            <w:tcW w:w="38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S of Yaounde/Cameroon</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4</w:t>
            </w:r>
          </w:p>
        </w:tc>
      </w:tr>
    </w:tbl>
    <w:p w:rsidR="00CD3F38" w:rsidRPr="00927623" w:rsidRDefault="00CD3F38" w:rsidP="00733544">
      <w:pPr>
        <w:pStyle w:val="Table"/>
      </w:pPr>
      <w:bookmarkStart w:id="3503" w:name="_Toc373177885"/>
      <w:bookmarkStart w:id="3504" w:name="_Toc373484424"/>
      <w:r w:rsidRPr="00EF5A9A">
        <w:t>: Provenience for specimens from the University of Zurich and re-classification.</w:t>
      </w:r>
      <w:bookmarkEnd w:id="3503"/>
      <w:bookmarkEnd w:id="3504"/>
    </w:p>
    <w:tbl>
      <w:tblPr>
        <w:tblW w:w="7379" w:type="dxa"/>
        <w:jc w:val="center"/>
        <w:tblInd w:w="-419" w:type="dxa"/>
        <w:tblBorders>
          <w:top w:val="single" w:sz="4" w:space="0" w:color="auto"/>
          <w:bottom w:val="single" w:sz="4" w:space="0" w:color="auto"/>
        </w:tblBorders>
        <w:tblLook w:val="04A0" w:firstRow="1" w:lastRow="0" w:firstColumn="1" w:lastColumn="0" w:noHBand="0" w:noVBand="1"/>
      </w:tblPr>
      <w:tblGrid>
        <w:gridCol w:w="2825"/>
        <w:gridCol w:w="960"/>
        <w:gridCol w:w="3594"/>
      </w:tblGrid>
      <w:tr w:rsidR="00CD3F38" w:rsidRPr="00EF5A9A" w:rsidTr="00CD3F38">
        <w:trPr>
          <w:trHeight w:val="315"/>
          <w:jc w:val="center"/>
        </w:trPr>
        <w:tc>
          <w:tcPr>
            <w:tcW w:w="2825" w:type="dxa"/>
            <w:tcBorders>
              <w:top w:val="single" w:sz="4" w:space="0" w:color="auto"/>
              <w:bottom w:val="single" w:sz="4" w:space="0" w:color="auto"/>
            </w:tcBorders>
            <w:shd w:val="clear" w:color="auto" w:fill="auto"/>
            <w:noWrap/>
            <w:vAlign w:val="center"/>
            <w:hideMark/>
          </w:tcPr>
          <w:p w:rsidR="00CD3F38" w:rsidRPr="00EF5A9A" w:rsidRDefault="00CD3F38" w:rsidP="00CD3F38">
            <w:pPr>
              <w:spacing w:before="0" w:line="240" w:lineRule="auto"/>
              <w:jc w:val="center"/>
              <w:rPr>
                <w:rFonts w:eastAsia="Times New Roman"/>
                <w:b/>
                <w:bCs/>
                <w:color w:val="000000" w:themeColor="text1"/>
                <w:lang w:eastAsia="en-GB"/>
              </w:rPr>
            </w:pPr>
            <w:r w:rsidRPr="00EF5A9A">
              <w:rPr>
                <w:rFonts w:eastAsia="Times New Roman"/>
                <w:b/>
                <w:bCs/>
                <w:color w:val="000000" w:themeColor="text1"/>
                <w:lang w:eastAsia="en-GB"/>
              </w:rPr>
              <w:t>location</w:t>
            </w:r>
          </w:p>
        </w:tc>
        <w:tc>
          <w:tcPr>
            <w:tcW w:w="960" w:type="dxa"/>
            <w:tcBorders>
              <w:top w:val="single" w:sz="4" w:space="0" w:color="auto"/>
              <w:bottom w:val="single" w:sz="4" w:space="0" w:color="auto"/>
            </w:tcBorders>
            <w:shd w:val="clear" w:color="auto" w:fill="auto"/>
            <w:noWrap/>
            <w:vAlign w:val="center"/>
            <w:hideMark/>
          </w:tcPr>
          <w:p w:rsidR="00CD3F38" w:rsidRPr="00742E34" w:rsidRDefault="00CD3F38" w:rsidP="00CD3F38">
            <w:pPr>
              <w:spacing w:before="0" w:line="240" w:lineRule="auto"/>
              <w:jc w:val="center"/>
              <w:rPr>
                <w:rFonts w:eastAsia="Times New Roman"/>
                <w:b/>
                <w:bCs/>
                <w:i/>
                <w:color w:val="000000" w:themeColor="text1"/>
                <w:lang w:eastAsia="en-GB"/>
              </w:rPr>
            </w:pPr>
            <w:r>
              <w:rPr>
                <w:rFonts w:eastAsia="Times New Roman"/>
                <w:b/>
                <w:bCs/>
                <w:i/>
                <w:color w:val="000000" w:themeColor="text1"/>
                <w:lang w:eastAsia="en-GB"/>
              </w:rPr>
              <w:t>N</w:t>
            </w:r>
          </w:p>
        </w:tc>
        <w:tc>
          <w:tcPr>
            <w:tcW w:w="3594" w:type="dxa"/>
            <w:tcBorders>
              <w:top w:val="single" w:sz="4" w:space="0" w:color="auto"/>
              <w:bottom w:val="single" w:sz="4" w:space="0" w:color="auto"/>
            </w:tcBorders>
            <w:shd w:val="clear" w:color="auto" w:fill="auto"/>
            <w:noWrap/>
            <w:vAlign w:val="center"/>
            <w:hideMark/>
          </w:tcPr>
          <w:p w:rsidR="00CD3F38" w:rsidRPr="00EF5A9A" w:rsidRDefault="00CD3F38" w:rsidP="00CD3F38">
            <w:pPr>
              <w:spacing w:before="0" w:line="240" w:lineRule="auto"/>
              <w:jc w:val="center"/>
              <w:rPr>
                <w:rFonts w:eastAsia="Times New Roman"/>
                <w:b/>
                <w:bCs/>
                <w:color w:val="000000" w:themeColor="text1"/>
                <w:lang w:eastAsia="en-GB"/>
              </w:rPr>
            </w:pPr>
            <w:r w:rsidRPr="00EF5A9A">
              <w:rPr>
                <w:rFonts w:eastAsia="Times New Roman"/>
                <w:b/>
                <w:bCs/>
                <w:color w:val="000000" w:themeColor="text1"/>
                <w:lang w:eastAsia="en-GB"/>
              </w:rPr>
              <w:t>sub</w:t>
            </w:r>
            <w:r>
              <w:rPr>
                <w:rFonts w:eastAsia="Times New Roman"/>
                <w:b/>
                <w:bCs/>
                <w:color w:val="000000" w:themeColor="text1"/>
                <w:lang w:eastAsia="en-GB"/>
              </w:rPr>
              <w:t>-</w:t>
            </w:r>
            <w:r w:rsidRPr="00EF5A9A">
              <w:rPr>
                <w:rFonts w:eastAsia="Times New Roman"/>
                <w:b/>
                <w:bCs/>
                <w:color w:val="000000" w:themeColor="text1"/>
                <w:lang w:eastAsia="en-GB"/>
              </w:rPr>
              <w:t>species re-classification</w:t>
            </w:r>
          </w:p>
        </w:tc>
      </w:tr>
      <w:tr w:rsidR="00CD3F38" w:rsidRPr="00EF5A9A" w:rsidTr="00CD3F38">
        <w:trPr>
          <w:trHeight w:val="315"/>
          <w:jc w:val="center"/>
        </w:trPr>
        <w:tc>
          <w:tcPr>
            <w:tcW w:w="2825" w:type="dxa"/>
            <w:tcBorders>
              <w:top w:val="single" w:sz="4" w:space="0" w:color="auto"/>
            </w:tcBorders>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Pr>
                <w:rFonts w:eastAsia="Times New Roman"/>
                <w:color w:val="000000"/>
                <w:lang w:eastAsia="en-GB"/>
              </w:rPr>
              <w:t>u</w:t>
            </w:r>
            <w:r w:rsidRPr="00EF5A9A">
              <w:rPr>
                <w:rFonts w:eastAsia="Times New Roman"/>
                <w:color w:val="000000"/>
                <w:lang w:eastAsia="en-GB"/>
              </w:rPr>
              <w:t>nknown</w:t>
            </w:r>
          </w:p>
        </w:tc>
        <w:tc>
          <w:tcPr>
            <w:tcW w:w="960" w:type="dxa"/>
            <w:tcBorders>
              <w:top w:val="single" w:sz="4" w:space="0" w:color="auto"/>
            </w:tcBorders>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38</w:t>
            </w:r>
          </w:p>
        </w:tc>
        <w:tc>
          <w:tcPr>
            <w:tcW w:w="3594" w:type="dxa"/>
            <w:tcBorders>
              <w:top w:val="single" w:sz="4" w:space="0" w:color="auto"/>
            </w:tcBorders>
            <w:shd w:val="clear" w:color="auto" w:fill="auto"/>
            <w:noWrap/>
            <w:vAlign w:val="center"/>
            <w:hideMark/>
          </w:tcPr>
          <w:p w:rsidR="00CD3F38" w:rsidRPr="00EF5A9A" w:rsidRDefault="00CD3F38" w:rsidP="00CD3F38">
            <w:pPr>
              <w:spacing w:before="0" w:line="240" w:lineRule="auto"/>
              <w:jc w:val="center"/>
              <w:rPr>
                <w:rFonts w:eastAsia="Times New Roman"/>
                <w:color w:val="000000"/>
                <w:lang w:eastAsia="en-GB"/>
              </w:rPr>
            </w:pPr>
            <w:r>
              <w:rPr>
                <w:rFonts w:eastAsia="Times New Roman"/>
                <w:color w:val="000000"/>
                <w:lang w:eastAsia="en-GB"/>
              </w:rPr>
              <w:t>n</w:t>
            </w:r>
            <w:r w:rsidRPr="00EF5A9A">
              <w:rPr>
                <w:rFonts w:eastAsia="Times New Roman"/>
                <w:color w:val="000000"/>
                <w:lang w:eastAsia="en-GB"/>
              </w:rPr>
              <w:t>one</w:t>
            </w:r>
          </w:p>
        </w:tc>
      </w:tr>
      <w:tr w:rsidR="00CD3F38" w:rsidRPr="00EF5A9A" w:rsidTr="00CD3F38">
        <w:trPr>
          <w:trHeight w:val="315"/>
          <w:jc w:val="center"/>
        </w:trPr>
        <w:tc>
          <w:tcPr>
            <w:tcW w:w="2825"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Pr>
                <w:rFonts w:eastAsia="Times New Roman"/>
                <w:color w:val="000000"/>
                <w:lang w:eastAsia="en-GB"/>
              </w:rPr>
              <w:t>c</w:t>
            </w:r>
            <w:r w:rsidRPr="00EF5A9A">
              <w:rPr>
                <w:rFonts w:eastAsia="Times New Roman"/>
                <w:color w:val="000000"/>
                <w:lang w:eastAsia="en-GB"/>
              </w:rPr>
              <w:t>aptive</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594" w:type="dxa"/>
            <w:shd w:val="clear" w:color="auto" w:fill="auto"/>
            <w:noWrap/>
            <w:vAlign w:val="center"/>
            <w:hideMark/>
          </w:tcPr>
          <w:p w:rsidR="00CD3F38" w:rsidRPr="00EF5A9A" w:rsidRDefault="00CD3F38" w:rsidP="00CD3F38">
            <w:pPr>
              <w:spacing w:before="0" w:line="240" w:lineRule="auto"/>
              <w:jc w:val="center"/>
              <w:rPr>
                <w:rFonts w:eastAsia="Times New Roman"/>
                <w:color w:val="000000"/>
                <w:lang w:eastAsia="en-GB"/>
              </w:rPr>
            </w:pPr>
            <w:r>
              <w:rPr>
                <w:rFonts w:eastAsia="Times New Roman"/>
                <w:color w:val="000000"/>
                <w:lang w:eastAsia="en-GB"/>
              </w:rPr>
              <w:t>n</w:t>
            </w:r>
            <w:r w:rsidRPr="00EF5A9A">
              <w:rPr>
                <w:rFonts w:eastAsia="Times New Roman"/>
                <w:color w:val="000000"/>
                <w:lang w:eastAsia="en-GB"/>
              </w:rPr>
              <w:t>one</w:t>
            </w:r>
          </w:p>
        </w:tc>
      </w:tr>
      <w:tr w:rsidR="00CD3F38" w:rsidRPr="00EF5A9A" w:rsidTr="00CD3F38">
        <w:trPr>
          <w:trHeight w:val="315"/>
          <w:jc w:val="center"/>
        </w:trPr>
        <w:tc>
          <w:tcPr>
            <w:tcW w:w="2825"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captive animal from Liberia</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594" w:type="dxa"/>
            <w:shd w:val="clear" w:color="auto" w:fill="auto"/>
            <w:noWrap/>
            <w:vAlign w:val="center"/>
            <w:hideMark/>
          </w:tcPr>
          <w:p w:rsidR="00CD3F38" w:rsidRPr="00EF5A9A" w:rsidRDefault="00CD3F38" w:rsidP="00CD3F38">
            <w:pPr>
              <w:spacing w:before="0" w:line="240" w:lineRule="auto"/>
              <w:jc w:val="center"/>
              <w:rPr>
                <w:rFonts w:eastAsia="Times New Roman"/>
                <w:color w:val="000000"/>
                <w:lang w:eastAsia="en-GB"/>
              </w:rPr>
            </w:pPr>
            <w:r>
              <w:rPr>
                <w:rFonts w:eastAsia="Times New Roman"/>
                <w:color w:val="000000"/>
                <w:lang w:eastAsia="en-GB"/>
              </w:rPr>
              <w:t>n</w:t>
            </w:r>
            <w:r w:rsidRPr="00EF5A9A">
              <w:rPr>
                <w:rFonts w:eastAsia="Times New Roman"/>
                <w:color w:val="000000"/>
                <w:lang w:eastAsia="en-GB"/>
              </w:rPr>
              <w:t>one</w:t>
            </w:r>
          </w:p>
        </w:tc>
      </w:tr>
      <w:tr w:rsidR="00CD3F38" w:rsidRPr="00EF5A9A" w:rsidTr="00CD3F38">
        <w:trPr>
          <w:trHeight w:val="315"/>
          <w:jc w:val="center"/>
        </w:trPr>
        <w:tc>
          <w:tcPr>
            <w:tcW w:w="2825"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East Africa</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594" w:type="dxa"/>
            <w:shd w:val="clear" w:color="auto" w:fill="auto"/>
            <w:noWrap/>
            <w:vAlign w:val="center"/>
            <w:hideMark/>
          </w:tcPr>
          <w:p w:rsidR="00CD3F38" w:rsidRPr="00EF5A9A" w:rsidRDefault="00CD3F38" w:rsidP="00CD3F38">
            <w:pPr>
              <w:spacing w:before="0" w:line="240" w:lineRule="auto"/>
              <w:jc w:val="center"/>
              <w:rPr>
                <w:rFonts w:eastAsia="Times New Roman"/>
                <w:color w:val="000000"/>
                <w:lang w:eastAsia="en-GB"/>
              </w:rPr>
            </w:pPr>
            <w:r>
              <w:rPr>
                <w:rFonts w:eastAsia="Times New Roman"/>
                <w:color w:val="000000"/>
                <w:lang w:eastAsia="en-GB"/>
              </w:rPr>
              <w:t>n</w:t>
            </w:r>
            <w:r w:rsidRPr="00EF5A9A">
              <w:rPr>
                <w:rFonts w:eastAsia="Times New Roman"/>
                <w:color w:val="000000"/>
                <w:lang w:eastAsia="en-GB"/>
              </w:rPr>
              <w:t>one</w:t>
            </w:r>
          </w:p>
        </w:tc>
      </w:tr>
      <w:tr w:rsidR="00CD3F38" w:rsidRPr="00EF5A9A" w:rsidTr="00CD3F38">
        <w:trPr>
          <w:trHeight w:val="315"/>
          <w:jc w:val="center"/>
        </w:trPr>
        <w:tc>
          <w:tcPr>
            <w:tcW w:w="2825"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Equatorial Guinea</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2</w:t>
            </w:r>
          </w:p>
        </w:tc>
        <w:tc>
          <w:tcPr>
            <w:tcW w:w="3594" w:type="dxa"/>
            <w:shd w:val="clear" w:color="auto" w:fill="auto"/>
            <w:noWrap/>
            <w:vAlign w:val="center"/>
            <w:hideMark/>
          </w:tcPr>
          <w:p w:rsidR="00CD3F38" w:rsidRPr="00EF5A9A" w:rsidRDefault="00CD3F38" w:rsidP="00CD3F38">
            <w:pPr>
              <w:spacing w:before="0" w:line="240" w:lineRule="auto"/>
              <w:jc w:val="center"/>
              <w:rPr>
                <w:rFonts w:eastAsia="Times New Roman"/>
                <w:i/>
                <w:color w:val="000000"/>
                <w:lang w:eastAsia="en-GB"/>
              </w:rPr>
            </w:pPr>
            <w:r w:rsidRPr="00EF5A9A">
              <w:rPr>
                <w:rFonts w:eastAsia="Times New Roman"/>
                <w:i/>
                <w:color w:val="000000"/>
                <w:lang w:eastAsia="en-GB"/>
              </w:rPr>
              <w:t>Pan troglodytes troglodytes</w:t>
            </w:r>
          </w:p>
        </w:tc>
      </w:tr>
      <w:tr w:rsidR="00CD3F38" w:rsidRPr="00EF5A9A" w:rsidTr="00CD3F38">
        <w:trPr>
          <w:trHeight w:val="315"/>
          <w:jc w:val="center"/>
        </w:trPr>
        <w:tc>
          <w:tcPr>
            <w:tcW w:w="2825"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Liberia</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594" w:type="dxa"/>
            <w:shd w:val="clear" w:color="auto" w:fill="auto"/>
            <w:noWrap/>
            <w:vAlign w:val="center"/>
            <w:hideMark/>
          </w:tcPr>
          <w:p w:rsidR="00CD3F38" w:rsidRPr="00EF5A9A" w:rsidRDefault="00CD3F38" w:rsidP="00CD3F38">
            <w:pPr>
              <w:spacing w:before="0" w:line="240" w:lineRule="auto"/>
              <w:jc w:val="center"/>
              <w:rPr>
                <w:rFonts w:eastAsia="Times New Roman"/>
                <w:i/>
                <w:color w:val="000000"/>
                <w:lang w:eastAsia="en-GB"/>
              </w:rPr>
            </w:pPr>
            <w:r w:rsidRPr="00EF5A9A">
              <w:rPr>
                <w:rFonts w:eastAsia="Times New Roman"/>
                <w:i/>
                <w:color w:val="000000"/>
                <w:lang w:eastAsia="en-GB"/>
              </w:rPr>
              <w:t>Pan troglodytes verus</w:t>
            </w:r>
          </w:p>
        </w:tc>
      </w:tr>
      <w:tr w:rsidR="00CD3F38" w:rsidRPr="00EF5A9A" w:rsidTr="00CD3F38">
        <w:trPr>
          <w:trHeight w:val="315"/>
          <w:jc w:val="center"/>
        </w:trPr>
        <w:tc>
          <w:tcPr>
            <w:tcW w:w="2825"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Nigeria</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594" w:type="dxa"/>
            <w:shd w:val="clear" w:color="auto" w:fill="auto"/>
            <w:noWrap/>
            <w:vAlign w:val="center"/>
            <w:hideMark/>
          </w:tcPr>
          <w:p w:rsidR="00CD3F38" w:rsidRPr="00EF5A9A" w:rsidRDefault="00CD3F38" w:rsidP="00CD3F38">
            <w:pPr>
              <w:spacing w:before="0" w:line="240" w:lineRule="auto"/>
              <w:jc w:val="center"/>
              <w:rPr>
                <w:rFonts w:eastAsia="Times New Roman"/>
                <w:i/>
                <w:color w:val="000000"/>
                <w:lang w:eastAsia="en-GB"/>
              </w:rPr>
            </w:pPr>
            <w:r w:rsidRPr="00EF5A9A">
              <w:rPr>
                <w:rFonts w:eastAsia="Times New Roman"/>
                <w:i/>
                <w:color w:val="000000"/>
                <w:lang w:eastAsia="en-GB"/>
              </w:rPr>
              <w:t>Pan troglodytes vellerosus</w:t>
            </w:r>
          </w:p>
        </w:tc>
      </w:tr>
      <w:tr w:rsidR="00CD3F38" w:rsidRPr="00EF5A9A" w:rsidTr="00CD3F38">
        <w:trPr>
          <w:trHeight w:val="315"/>
          <w:jc w:val="center"/>
        </w:trPr>
        <w:tc>
          <w:tcPr>
            <w:tcW w:w="2825"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Sierra Leone, West Africa</w:t>
            </w:r>
          </w:p>
        </w:tc>
        <w:tc>
          <w:tcPr>
            <w:tcW w:w="960" w:type="dxa"/>
            <w:shd w:val="clear" w:color="000000" w:fill="FFFFFF"/>
            <w:noWrap/>
            <w:vAlign w:val="center"/>
            <w:hideMark/>
          </w:tcPr>
          <w:p w:rsidR="00CD3F38" w:rsidRPr="00EF5A9A" w:rsidRDefault="00CD3F38" w:rsidP="00CD3F38">
            <w:pPr>
              <w:spacing w:before="0" w:line="240" w:lineRule="auto"/>
              <w:jc w:val="center"/>
              <w:rPr>
                <w:rFonts w:eastAsia="Times New Roman"/>
                <w:color w:val="000000"/>
                <w:lang w:eastAsia="en-GB"/>
              </w:rPr>
            </w:pPr>
            <w:r w:rsidRPr="00EF5A9A">
              <w:rPr>
                <w:rFonts w:eastAsia="Times New Roman"/>
                <w:color w:val="000000"/>
                <w:lang w:eastAsia="en-GB"/>
              </w:rPr>
              <w:t>1</w:t>
            </w:r>
          </w:p>
        </w:tc>
        <w:tc>
          <w:tcPr>
            <w:tcW w:w="3594" w:type="dxa"/>
            <w:shd w:val="clear" w:color="auto" w:fill="auto"/>
            <w:noWrap/>
            <w:vAlign w:val="center"/>
            <w:hideMark/>
          </w:tcPr>
          <w:p w:rsidR="00CD3F38" w:rsidRPr="00EF5A9A" w:rsidRDefault="00CD3F38" w:rsidP="00CD3F38">
            <w:pPr>
              <w:spacing w:before="0" w:line="240" w:lineRule="auto"/>
              <w:jc w:val="center"/>
              <w:rPr>
                <w:rFonts w:eastAsia="Times New Roman"/>
                <w:i/>
                <w:color w:val="000000"/>
                <w:lang w:eastAsia="en-GB"/>
              </w:rPr>
            </w:pPr>
            <w:r w:rsidRPr="00EF5A9A">
              <w:rPr>
                <w:rFonts w:eastAsia="Times New Roman"/>
                <w:i/>
                <w:color w:val="000000"/>
                <w:lang w:eastAsia="en-GB"/>
              </w:rPr>
              <w:t>Pan troglodytes verus</w:t>
            </w:r>
          </w:p>
        </w:tc>
      </w:tr>
    </w:tbl>
    <w:p w:rsidR="00CD3F38" w:rsidRDefault="00CD3F38" w:rsidP="00E53F3C">
      <w:pPr>
        <w:autoSpaceDE w:val="0"/>
        <w:autoSpaceDN w:val="0"/>
        <w:adjustRightInd w:val="0"/>
        <w:spacing w:before="120" w:line="240" w:lineRule="auto"/>
        <w:jc w:val="left"/>
        <w:rPr>
          <w:rFonts w:asciiTheme="majorBidi" w:hAnsiTheme="majorBidi" w:cstheme="majorBidi"/>
        </w:rPr>
      </w:pPr>
    </w:p>
    <w:p w:rsidR="00CD3F38" w:rsidRDefault="00CD3F38">
      <w:pPr>
        <w:spacing w:before="0" w:after="200" w:line="276" w:lineRule="auto"/>
        <w:jc w:val="left"/>
        <w:rPr>
          <w:rFonts w:asciiTheme="majorBidi" w:hAnsiTheme="majorBidi" w:cstheme="majorBidi"/>
        </w:rPr>
      </w:pPr>
      <w:r>
        <w:rPr>
          <w:rFonts w:asciiTheme="majorBidi" w:hAnsiTheme="majorBidi" w:cstheme="majorBidi"/>
        </w:rPr>
        <w:br w:type="page"/>
      </w:r>
    </w:p>
    <w:p w:rsidR="00CD3F38" w:rsidRPr="00CD3F38" w:rsidRDefault="00CD3F38" w:rsidP="00413747">
      <w:pPr>
        <w:spacing w:before="0"/>
        <w:rPr>
          <w:b/>
          <w:i/>
        </w:rPr>
      </w:pPr>
      <w:r w:rsidRPr="00CD3F38">
        <w:rPr>
          <w:b/>
          <w:i/>
        </w:rPr>
        <w:lastRenderedPageBreak/>
        <w:t>8.2 Outputs from Imputation Analysis</w:t>
      </w:r>
    </w:p>
    <w:p w:rsidR="00CD3F38" w:rsidRPr="00CD3F38" w:rsidRDefault="00CD3F38" w:rsidP="00413747">
      <w:pPr>
        <w:spacing w:before="0"/>
        <w:rPr>
          <w:b/>
          <w:i/>
        </w:rPr>
      </w:pPr>
      <w:bookmarkStart w:id="3505" w:name="_Toc373178854"/>
      <w:bookmarkStart w:id="3506" w:name="_Toc373484007"/>
      <w:r w:rsidRPr="00CD3F38">
        <w:rPr>
          <w:b/>
          <w:i/>
        </w:rPr>
        <w:t xml:space="preserve">8.2.1 Pan </w:t>
      </w:r>
      <w:proofErr w:type="gramStart"/>
      <w:r w:rsidRPr="00CD3F38">
        <w:rPr>
          <w:b/>
          <w:i/>
        </w:rPr>
        <w:t>paniscus</w:t>
      </w:r>
      <w:proofErr w:type="gramEnd"/>
      <w:r w:rsidRPr="00CD3F38">
        <w:rPr>
          <w:b/>
          <w:i/>
        </w:rPr>
        <w:t xml:space="preserve"> combined-sex analysis of patterns</w:t>
      </w:r>
      <w:bookmarkEnd w:id="3505"/>
      <w:bookmarkEnd w:id="3506"/>
    </w:p>
    <w:p w:rsidR="00CD3F38" w:rsidRPr="00F1632F" w:rsidRDefault="00CD3F38" w:rsidP="00413747">
      <w:pPr>
        <w:spacing w:before="0" w:line="240" w:lineRule="auto"/>
      </w:pPr>
      <w:r w:rsidRPr="00F1632F">
        <w:t xml:space="preserve">Presented here is an analysis of missing tooth data used for multiple </w:t>
      </w:r>
      <w:proofErr w:type="gramStart"/>
      <w:r w:rsidRPr="00F1632F">
        <w:t>imputation</w:t>
      </w:r>
      <w:proofErr w:type="gramEnd"/>
      <w:r>
        <w:t xml:space="preserve"> as discussed in Chapter 3, section 3.3.3</w:t>
      </w:r>
      <w:r w:rsidRPr="00F1632F">
        <w:t xml:space="preserve">.  Imputation was calculated using logistic regression.  </w:t>
      </w:r>
      <w:proofErr w:type="gramStart"/>
      <w:r w:rsidRPr="00F1632F">
        <w:t xml:space="preserve">Imputation iteration data available in </w:t>
      </w:r>
      <w:r>
        <w:t xml:space="preserve">section 8.1 of the </w:t>
      </w:r>
      <w:r w:rsidRPr="00F1632F">
        <w:t>digital appendix.</w:t>
      </w:r>
      <w:proofErr w:type="gramEnd"/>
      <w:r>
        <w:t xml:space="preserve">  Missing value summaries (Figures 8.1, 8.3, 8.5) provides data for the number of missing cases (individuals) and vales (teeth) used for imputation analysis.  Figures 8.2, 8.4 and 8.6 are plots representing the most common patterns of missing tooth entries.  The most common patterns are listed in descending order from top to bottom.</w:t>
      </w:r>
    </w:p>
    <w:p w:rsidR="00CD3F38" w:rsidRDefault="00CD3F38" w:rsidP="00CD3F38">
      <w:pPr>
        <w:autoSpaceDE w:val="0"/>
        <w:autoSpaceDN w:val="0"/>
        <w:adjustRightInd w:val="0"/>
        <w:spacing w:line="240" w:lineRule="auto"/>
        <w:jc w:val="center"/>
      </w:pPr>
      <w:r w:rsidRPr="00EF5A9A">
        <w:rPr>
          <w:noProof/>
          <w:lang w:eastAsia="en-GB"/>
        </w:rPr>
        <w:drawing>
          <wp:anchor distT="0" distB="0" distL="114300" distR="114300" simplePos="0" relativeHeight="251681792" behindDoc="0" locked="1" layoutInCell="1" allowOverlap="0" wp14:anchorId="0B6E89B8" wp14:editId="2AA616DC">
            <wp:simplePos x="0" y="0"/>
            <wp:positionH relativeFrom="column">
              <wp:posOffset>177800</wp:posOffset>
            </wp:positionH>
            <wp:positionV relativeFrom="paragraph">
              <wp:posOffset>6350</wp:posOffset>
            </wp:positionV>
            <wp:extent cx="5400675" cy="24676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675" cy="246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F38" w:rsidRPr="000644A8" w:rsidRDefault="00CD3F38" w:rsidP="00413747">
      <w:pPr>
        <w:pStyle w:val="Caption"/>
        <w:spacing w:before="0" w:after="120"/>
        <w:rPr>
          <w:b/>
          <w:color w:val="000000" w:themeColor="text1"/>
          <w:szCs w:val="22"/>
        </w:rPr>
      </w:pPr>
      <w:bookmarkStart w:id="3507" w:name="_Toc373177916"/>
      <w:proofErr w:type="gramStart"/>
      <w:r w:rsidRPr="00413747">
        <w:rPr>
          <w:b/>
          <w:color w:val="000000" w:themeColor="text1"/>
          <w:szCs w:val="22"/>
        </w:rPr>
        <w:t>Figure 8.</w:t>
      </w:r>
      <w:proofErr w:type="gramEnd"/>
      <w:r w:rsidRPr="00413747">
        <w:rPr>
          <w:b/>
          <w:color w:val="000000" w:themeColor="text1"/>
          <w:szCs w:val="22"/>
        </w:rPr>
        <w:fldChar w:fldCharType="begin"/>
      </w:r>
      <w:r w:rsidRPr="00413747">
        <w:rPr>
          <w:b/>
          <w:color w:val="000000" w:themeColor="text1"/>
          <w:szCs w:val="22"/>
        </w:rPr>
        <w:instrText xml:space="preserve"> SEQ Figure_8. \* ARABIC </w:instrText>
      </w:r>
      <w:r w:rsidRPr="00413747">
        <w:rPr>
          <w:b/>
          <w:color w:val="000000" w:themeColor="text1"/>
          <w:szCs w:val="22"/>
        </w:rPr>
        <w:fldChar w:fldCharType="separate"/>
      </w:r>
      <w:r w:rsidRPr="00413747">
        <w:rPr>
          <w:b/>
          <w:noProof/>
          <w:color w:val="000000" w:themeColor="text1"/>
          <w:szCs w:val="22"/>
        </w:rPr>
        <w:t>1</w:t>
      </w:r>
      <w:r w:rsidRPr="00413747">
        <w:rPr>
          <w:b/>
          <w:color w:val="000000" w:themeColor="text1"/>
          <w:szCs w:val="22"/>
        </w:rPr>
        <w:fldChar w:fldCharType="end"/>
      </w:r>
      <w:r w:rsidRPr="000644A8">
        <w:rPr>
          <w:color w:val="000000" w:themeColor="text1"/>
          <w:szCs w:val="22"/>
        </w:rPr>
        <w:t xml:space="preserve"> Summary of missing values for </w:t>
      </w:r>
      <w:r w:rsidRPr="000644A8">
        <w:rPr>
          <w:i/>
          <w:color w:val="000000" w:themeColor="text1"/>
          <w:szCs w:val="22"/>
        </w:rPr>
        <w:t xml:space="preserve">Pan </w:t>
      </w:r>
      <w:proofErr w:type="gramStart"/>
      <w:r w:rsidRPr="000644A8">
        <w:rPr>
          <w:i/>
          <w:color w:val="000000" w:themeColor="text1"/>
          <w:szCs w:val="22"/>
        </w:rPr>
        <w:t>paniscus</w:t>
      </w:r>
      <w:proofErr w:type="gramEnd"/>
      <w:r w:rsidRPr="000644A8">
        <w:rPr>
          <w:color w:val="000000" w:themeColor="text1"/>
          <w:szCs w:val="22"/>
        </w:rPr>
        <w:t xml:space="preserve"> combined sex multiple imputation</w:t>
      </w:r>
      <w:bookmarkEnd w:id="3507"/>
    </w:p>
    <w:p w:rsidR="00CD3F38" w:rsidRPr="0095423E" w:rsidRDefault="00E70CA1" w:rsidP="00733544">
      <w:pPr>
        <w:pStyle w:val="Table"/>
      </w:pPr>
      <w:r w:rsidRPr="00E70CA1">
        <w:rPr>
          <w:b/>
        </w:rPr>
        <w:t>Table 8.4</w:t>
      </w:r>
      <w:r w:rsidR="00CD3F38">
        <w:t xml:space="preserve"> </w:t>
      </w:r>
      <w:bookmarkStart w:id="3508" w:name="_Toc373177886"/>
      <w:bookmarkStart w:id="3509" w:name="_Toc373484425"/>
      <w:r w:rsidR="00CD3F38">
        <w:t xml:space="preserve">Variable summary for missing tooth data in </w:t>
      </w:r>
      <w:r w:rsidR="00CD3F38">
        <w:rPr>
          <w:i/>
        </w:rPr>
        <w:t>Pan paniscus</w:t>
      </w:r>
      <w:r w:rsidR="00CD3F38">
        <w:t xml:space="preserve"> combined sex multiple imputation.</w:t>
      </w:r>
      <w:bookmarkEnd w:id="3508"/>
      <w:bookmarkEnd w:id="3509"/>
    </w:p>
    <w:tbl>
      <w:tblPr>
        <w:tblW w:w="4491" w:type="dxa"/>
        <w:jc w:val="center"/>
        <w:tblBorders>
          <w:top w:val="single" w:sz="4" w:space="0" w:color="auto"/>
          <w:bottom w:val="single" w:sz="4" w:space="0" w:color="auto"/>
        </w:tblBorders>
        <w:tblLook w:val="04A0" w:firstRow="1" w:lastRow="0" w:firstColumn="1" w:lastColumn="0" w:noHBand="0" w:noVBand="1"/>
      </w:tblPr>
      <w:tblGrid>
        <w:gridCol w:w="1540"/>
        <w:gridCol w:w="960"/>
        <w:gridCol w:w="999"/>
        <w:gridCol w:w="992"/>
      </w:tblGrid>
      <w:tr w:rsidR="00CD3F38" w:rsidRPr="0095423E" w:rsidTr="00CD3F38">
        <w:trPr>
          <w:trHeight w:hRule="exact" w:val="284"/>
          <w:jc w:val="center"/>
        </w:trPr>
        <w:tc>
          <w:tcPr>
            <w:tcW w:w="1540" w:type="dxa"/>
            <w:vMerge w:val="restart"/>
            <w:tcBorders>
              <w:top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b/>
                <w:bCs/>
                <w:color w:val="000000"/>
                <w:lang w:eastAsia="en-GB"/>
              </w:rPr>
            </w:pPr>
            <w:r>
              <w:rPr>
                <w:rFonts w:eastAsia="Times New Roman"/>
                <w:b/>
                <w:bCs/>
                <w:color w:val="000000"/>
                <w:lang w:eastAsia="en-GB"/>
              </w:rPr>
              <w:t>t</w:t>
            </w:r>
            <w:r w:rsidRPr="0095423E">
              <w:rPr>
                <w:rFonts w:eastAsia="Times New Roman"/>
                <w:b/>
                <w:bCs/>
                <w:color w:val="000000"/>
                <w:lang w:eastAsia="en-GB"/>
              </w:rPr>
              <w:t>ooth</w:t>
            </w:r>
          </w:p>
        </w:tc>
        <w:tc>
          <w:tcPr>
            <w:tcW w:w="1959" w:type="dxa"/>
            <w:gridSpan w:val="2"/>
            <w:tcBorders>
              <w:top w:val="single" w:sz="4" w:space="0" w:color="auto"/>
              <w:bottom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b/>
                <w:bCs/>
                <w:color w:val="000000"/>
                <w:lang w:eastAsia="en-GB"/>
              </w:rPr>
            </w:pPr>
            <w:r>
              <w:rPr>
                <w:rFonts w:eastAsia="Times New Roman"/>
                <w:b/>
                <w:bCs/>
                <w:color w:val="000000"/>
                <w:lang w:eastAsia="en-GB"/>
              </w:rPr>
              <w:t>m</w:t>
            </w:r>
            <w:r w:rsidRPr="0095423E">
              <w:rPr>
                <w:rFonts w:eastAsia="Times New Roman"/>
                <w:b/>
                <w:bCs/>
                <w:color w:val="000000"/>
                <w:lang w:eastAsia="en-GB"/>
              </w:rPr>
              <w:t>issing</w:t>
            </w:r>
          </w:p>
        </w:tc>
        <w:tc>
          <w:tcPr>
            <w:tcW w:w="992" w:type="dxa"/>
            <w:vMerge w:val="restart"/>
            <w:tcBorders>
              <w:top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b/>
                <w:bCs/>
                <w:color w:val="000000"/>
                <w:lang w:eastAsia="en-GB"/>
              </w:rPr>
            </w:pPr>
            <w:r>
              <w:rPr>
                <w:rFonts w:eastAsia="Times New Roman"/>
                <w:b/>
                <w:bCs/>
                <w:color w:val="000000"/>
                <w:lang w:eastAsia="en-GB"/>
              </w:rPr>
              <w:t>v</w:t>
            </w:r>
            <w:r w:rsidRPr="0095423E">
              <w:rPr>
                <w:rFonts w:eastAsia="Times New Roman"/>
                <w:b/>
                <w:bCs/>
                <w:color w:val="000000"/>
                <w:lang w:eastAsia="en-GB"/>
              </w:rPr>
              <w:t xml:space="preserve">alid </w:t>
            </w:r>
            <w:r w:rsidRPr="0095423E">
              <w:rPr>
                <w:rFonts w:eastAsia="Times New Roman"/>
                <w:b/>
                <w:bCs/>
                <w:i/>
                <w:iCs/>
                <w:color w:val="000000"/>
                <w:lang w:eastAsia="en-GB"/>
              </w:rPr>
              <w:t>N</w:t>
            </w:r>
          </w:p>
        </w:tc>
      </w:tr>
      <w:tr w:rsidR="00CD3F38" w:rsidRPr="0095423E" w:rsidTr="00CD3F38">
        <w:trPr>
          <w:trHeight w:hRule="exact" w:val="284"/>
          <w:jc w:val="center"/>
        </w:trPr>
        <w:tc>
          <w:tcPr>
            <w:tcW w:w="1540" w:type="dxa"/>
            <w:vMerge/>
            <w:tcBorders>
              <w:bottom w:val="single" w:sz="4" w:space="0" w:color="auto"/>
            </w:tcBorders>
            <w:vAlign w:val="center"/>
            <w:hideMark/>
          </w:tcPr>
          <w:p w:rsidR="00CD3F38" w:rsidRPr="0095423E" w:rsidRDefault="00CD3F38" w:rsidP="00CD3F38">
            <w:pPr>
              <w:spacing w:before="0" w:line="240" w:lineRule="auto"/>
              <w:rPr>
                <w:rFonts w:eastAsia="Times New Roman"/>
                <w:b/>
                <w:bCs/>
                <w:color w:val="000000"/>
                <w:lang w:eastAsia="en-GB"/>
              </w:rPr>
            </w:pPr>
          </w:p>
        </w:tc>
        <w:tc>
          <w:tcPr>
            <w:tcW w:w="960" w:type="dxa"/>
            <w:tcBorders>
              <w:top w:val="single" w:sz="4" w:space="0" w:color="auto"/>
              <w:bottom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b/>
                <w:bCs/>
                <w:i/>
                <w:iCs/>
                <w:color w:val="000000"/>
                <w:lang w:eastAsia="en-GB"/>
              </w:rPr>
            </w:pPr>
            <w:r w:rsidRPr="0095423E">
              <w:rPr>
                <w:rFonts w:eastAsia="Times New Roman"/>
                <w:b/>
                <w:bCs/>
                <w:i/>
                <w:iCs/>
                <w:color w:val="000000"/>
                <w:lang w:eastAsia="en-GB"/>
              </w:rPr>
              <w:t>N</w:t>
            </w:r>
          </w:p>
        </w:tc>
        <w:tc>
          <w:tcPr>
            <w:tcW w:w="999" w:type="dxa"/>
            <w:tcBorders>
              <w:top w:val="single" w:sz="4" w:space="0" w:color="auto"/>
              <w:bottom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b/>
                <w:bCs/>
                <w:color w:val="000000"/>
                <w:lang w:eastAsia="en-GB"/>
              </w:rPr>
            </w:pPr>
            <w:r>
              <w:rPr>
                <w:rFonts w:eastAsia="Times New Roman"/>
                <w:b/>
                <w:bCs/>
                <w:color w:val="000000"/>
                <w:lang w:eastAsia="en-GB"/>
              </w:rPr>
              <w:t>p</w:t>
            </w:r>
            <w:r w:rsidRPr="0095423E">
              <w:rPr>
                <w:rFonts w:eastAsia="Times New Roman"/>
                <w:b/>
                <w:bCs/>
                <w:color w:val="000000"/>
                <w:lang w:eastAsia="en-GB"/>
              </w:rPr>
              <w:t>ercent</w:t>
            </w:r>
          </w:p>
        </w:tc>
        <w:tc>
          <w:tcPr>
            <w:tcW w:w="992" w:type="dxa"/>
            <w:vMerge/>
            <w:tcBorders>
              <w:bottom w:val="single" w:sz="4" w:space="0" w:color="auto"/>
            </w:tcBorders>
            <w:vAlign w:val="center"/>
            <w:hideMark/>
          </w:tcPr>
          <w:p w:rsidR="00CD3F38" w:rsidRPr="0095423E" w:rsidRDefault="00CD3F38" w:rsidP="00CD3F38">
            <w:pPr>
              <w:spacing w:before="0" w:line="240" w:lineRule="auto"/>
              <w:rPr>
                <w:rFonts w:eastAsia="Times New Roman"/>
                <w:b/>
                <w:bCs/>
                <w:color w:val="000000"/>
                <w:lang w:eastAsia="en-GB"/>
              </w:rPr>
            </w:pPr>
          </w:p>
        </w:tc>
      </w:tr>
      <w:tr w:rsidR="00CD3F38" w:rsidRPr="0095423E" w:rsidTr="00CD3F38">
        <w:trPr>
          <w:trHeight w:hRule="exact" w:val="284"/>
          <w:jc w:val="center"/>
        </w:trPr>
        <w:tc>
          <w:tcPr>
            <w:tcW w:w="1540" w:type="dxa"/>
            <w:tcBorders>
              <w:top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MDL1P4</w:t>
            </w:r>
          </w:p>
        </w:tc>
        <w:tc>
          <w:tcPr>
            <w:tcW w:w="960" w:type="dxa"/>
            <w:tcBorders>
              <w:top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67</w:t>
            </w:r>
          </w:p>
        </w:tc>
        <w:tc>
          <w:tcPr>
            <w:tcW w:w="999" w:type="dxa"/>
            <w:tcBorders>
              <w:top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73.60%</w:t>
            </w:r>
          </w:p>
        </w:tc>
        <w:tc>
          <w:tcPr>
            <w:tcW w:w="992" w:type="dxa"/>
            <w:tcBorders>
              <w:top w:val="single" w:sz="4" w:space="0" w:color="auto"/>
            </w:tcBorders>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24</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MDR1M3</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67</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73.60%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24</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MDR1I1</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67</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73.60%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24</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MDL1M3</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65</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71.40%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26</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MDL1P3</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65</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71.40%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26</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MDL1I1</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65</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71.40%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26</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MDR1M1</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65</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71.40%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26</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MDR1M2</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64</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70.30%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27</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MDR1I2</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64</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70.30%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27</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MDL1M1</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62</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68.10%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29</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MDL1C</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62</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68.10%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29</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MDL1M2</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61</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67.00%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30</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MDL1I2</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61</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67.00%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30</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MDR1P3</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61</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67.00%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30</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MDR1P4</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60</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65.90%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31</w:t>
            </w:r>
          </w:p>
        </w:tc>
      </w:tr>
      <w:tr w:rsidR="00CD3F38" w:rsidRPr="0095423E" w:rsidTr="00CD3F38">
        <w:trPr>
          <w:trHeight w:hRule="exact" w:val="284"/>
          <w:jc w:val="center"/>
        </w:trPr>
        <w:tc>
          <w:tcPr>
            <w:tcW w:w="154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MDR1C</w:t>
            </w:r>
          </w:p>
        </w:tc>
        <w:tc>
          <w:tcPr>
            <w:tcW w:w="960"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60</w:t>
            </w:r>
          </w:p>
        </w:tc>
        <w:tc>
          <w:tcPr>
            <w:tcW w:w="999"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65.90%</w:t>
            </w:r>
          </w:p>
        </w:tc>
        <w:tc>
          <w:tcPr>
            <w:tcW w:w="992" w:type="dxa"/>
            <w:shd w:val="clear" w:color="000000" w:fill="FFFFFF"/>
            <w:vAlign w:val="center"/>
            <w:hideMark/>
          </w:tcPr>
          <w:p w:rsidR="00CD3F38" w:rsidRPr="0095423E" w:rsidRDefault="00CD3F38" w:rsidP="00CD3F38">
            <w:pPr>
              <w:spacing w:before="0" w:line="240" w:lineRule="auto"/>
              <w:jc w:val="center"/>
              <w:rPr>
                <w:rFonts w:eastAsia="Times New Roman"/>
                <w:color w:val="000000"/>
                <w:lang w:eastAsia="en-GB"/>
              </w:rPr>
            </w:pPr>
            <w:r w:rsidRPr="0095423E">
              <w:rPr>
                <w:rFonts w:eastAsia="Times New Roman"/>
                <w:color w:val="000000"/>
                <w:lang w:eastAsia="en-GB"/>
              </w:rPr>
              <w:t>31</w:t>
            </w:r>
          </w:p>
        </w:tc>
      </w:tr>
    </w:tbl>
    <w:p w:rsidR="00485140" w:rsidRDefault="00485140" w:rsidP="00E53F3C">
      <w:pPr>
        <w:autoSpaceDE w:val="0"/>
        <w:autoSpaceDN w:val="0"/>
        <w:adjustRightInd w:val="0"/>
        <w:spacing w:before="120" w:line="240" w:lineRule="auto"/>
        <w:jc w:val="left"/>
      </w:pPr>
      <w:proofErr w:type="gramStart"/>
      <w:r w:rsidRPr="000644A8">
        <w:rPr>
          <w:b/>
          <w:color w:val="000000" w:themeColor="text1"/>
        </w:rPr>
        <w:lastRenderedPageBreak/>
        <w:t>Figure 8.</w:t>
      </w:r>
      <w:proofErr w:type="gramEnd"/>
      <w:r w:rsidRPr="000644A8">
        <w:rPr>
          <w:b/>
          <w:color w:val="000000" w:themeColor="text1"/>
        </w:rPr>
        <w:fldChar w:fldCharType="begin"/>
      </w:r>
      <w:r w:rsidRPr="000644A8">
        <w:rPr>
          <w:b/>
          <w:color w:val="000000" w:themeColor="text1"/>
        </w:rPr>
        <w:instrText xml:space="preserve"> SEQ Figure_8. \* ARABIC </w:instrText>
      </w:r>
      <w:r w:rsidRPr="000644A8">
        <w:rPr>
          <w:b/>
          <w:color w:val="000000" w:themeColor="text1"/>
        </w:rPr>
        <w:fldChar w:fldCharType="separate"/>
      </w:r>
      <w:r>
        <w:rPr>
          <w:b/>
          <w:noProof/>
          <w:color w:val="000000" w:themeColor="text1"/>
        </w:rPr>
        <w:t>2</w:t>
      </w:r>
      <w:r w:rsidRPr="000644A8">
        <w:rPr>
          <w:b/>
          <w:color w:val="000000" w:themeColor="text1"/>
        </w:rPr>
        <w:fldChar w:fldCharType="end"/>
      </w:r>
      <w:r w:rsidRPr="000644A8">
        <w:rPr>
          <w:color w:val="000000" w:themeColor="text1"/>
        </w:rPr>
        <w:t xml:space="preserve"> </w:t>
      </w:r>
      <w:r>
        <w:t>Missing value patterns</w:t>
      </w:r>
      <w:r w:rsidRPr="0095423E">
        <w:t xml:space="preserve"> for </w:t>
      </w:r>
      <w:r w:rsidRPr="0095423E">
        <w:rPr>
          <w:i/>
        </w:rPr>
        <w:t xml:space="preserve">Pan </w:t>
      </w:r>
      <w:proofErr w:type="gramStart"/>
      <w:r w:rsidRPr="0095423E">
        <w:rPr>
          <w:i/>
        </w:rPr>
        <w:t>paniscus</w:t>
      </w:r>
      <w:proofErr w:type="gramEnd"/>
      <w:r>
        <w:t xml:space="preserve"> combined sex multiple impu</w:t>
      </w:r>
      <w:r w:rsidRPr="0095423E">
        <w:t>tation</w:t>
      </w:r>
      <w:r>
        <w:t>.</w:t>
      </w:r>
    </w:p>
    <w:p w:rsidR="00B40185" w:rsidRDefault="00485140" w:rsidP="00E53F3C">
      <w:pPr>
        <w:autoSpaceDE w:val="0"/>
        <w:autoSpaceDN w:val="0"/>
        <w:adjustRightInd w:val="0"/>
        <w:spacing w:before="120" w:line="240" w:lineRule="auto"/>
        <w:jc w:val="left"/>
        <w:rPr>
          <w:b/>
        </w:rPr>
      </w:pPr>
      <w:r w:rsidRPr="00485140">
        <w:rPr>
          <w:b/>
          <w:noProof/>
          <w:lang w:eastAsia="en-GB"/>
        </w:rPr>
        <w:drawing>
          <wp:anchor distT="0" distB="0" distL="114300" distR="114300" simplePos="0" relativeHeight="251683840" behindDoc="0" locked="1" layoutInCell="1" allowOverlap="0" wp14:anchorId="3C3F7B00" wp14:editId="6A5E797A">
            <wp:simplePos x="0" y="0"/>
            <wp:positionH relativeFrom="column">
              <wp:posOffset>84455</wp:posOffset>
            </wp:positionH>
            <wp:positionV relativeFrom="paragraph">
              <wp:posOffset>-665480</wp:posOffset>
            </wp:positionV>
            <wp:extent cx="5213350" cy="4165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3350" cy="41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5140">
        <w:rPr>
          <w:rFonts w:asciiTheme="majorBidi" w:hAnsiTheme="majorBidi" w:cstheme="majorBidi"/>
          <w:b/>
        </w:rPr>
        <w:t xml:space="preserve">8.2.2 </w:t>
      </w:r>
      <w:bookmarkStart w:id="3510" w:name="_Toc373178855"/>
      <w:bookmarkStart w:id="3511" w:name="_Toc373484008"/>
      <w:r w:rsidRPr="00485140">
        <w:rPr>
          <w:b/>
          <w:i/>
        </w:rPr>
        <w:t xml:space="preserve">Pan </w:t>
      </w:r>
      <w:proofErr w:type="gramStart"/>
      <w:r w:rsidRPr="00485140">
        <w:rPr>
          <w:b/>
          <w:i/>
        </w:rPr>
        <w:t>troglodytes</w:t>
      </w:r>
      <w:proofErr w:type="gramEnd"/>
      <w:r w:rsidRPr="00485140">
        <w:rPr>
          <w:b/>
        </w:rPr>
        <w:t xml:space="preserve"> females analysis of patterns</w:t>
      </w:r>
      <w:bookmarkEnd w:id="3510"/>
      <w:bookmarkEnd w:id="3511"/>
    </w:p>
    <w:p w:rsidR="00485140" w:rsidRPr="00485140" w:rsidRDefault="00485140" w:rsidP="00E53F3C">
      <w:pPr>
        <w:autoSpaceDE w:val="0"/>
        <w:autoSpaceDN w:val="0"/>
        <w:adjustRightInd w:val="0"/>
        <w:spacing w:before="120" w:line="240" w:lineRule="auto"/>
        <w:jc w:val="left"/>
        <w:rPr>
          <w:b/>
        </w:rPr>
      </w:pPr>
      <w:r w:rsidRPr="00EF5A9A">
        <w:rPr>
          <w:noProof/>
          <w:lang w:eastAsia="en-GB"/>
        </w:rPr>
        <w:drawing>
          <wp:anchor distT="0" distB="0" distL="114300" distR="114300" simplePos="0" relativeHeight="251685888" behindDoc="0" locked="1" layoutInCell="1" allowOverlap="0" wp14:anchorId="45672C4A" wp14:editId="221AED19">
            <wp:simplePos x="0" y="0"/>
            <wp:positionH relativeFrom="column">
              <wp:posOffset>81915</wp:posOffset>
            </wp:positionH>
            <wp:positionV relativeFrom="paragraph">
              <wp:posOffset>175260</wp:posOffset>
            </wp:positionV>
            <wp:extent cx="5420360" cy="24765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2036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0644A8">
        <w:rPr>
          <w:b/>
          <w:color w:val="000000" w:themeColor="text1"/>
        </w:rPr>
        <w:t>Figure 8.</w:t>
      </w:r>
      <w:proofErr w:type="gramEnd"/>
      <w:r w:rsidRPr="000644A8">
        <w:rPr>
          <w:b/>
          <w:color w:val="000000" w:themeColor="text1"/>
        </w:rPr>
        <w:fldChar w:fldCharType="begin"/>
      </w:r>
      <w:r w:rsidRPr="000644A8">
        <w:rPr>
          <w:b/>
          <w:color w:val="000000" w:themeColor="text1"/>
        </w:rPr>
        <w:instrText xml:space="preserve"> SEQ Figure_8. \* ARABIC </w:instrText>
      </w:r>
      <w:r w:rsidRPr="000644A8">
        <w:rPr>
          <w:b/>
          <w:color w:val="000000" w:themeColor="text1"/>
        </w:rPr>
        <w:fldChar w:fldCharType="separate"/>
      </w:r>
      <w:r>
        <w:rPr>
          <w:b/>
          <w:noProof/>
          <w:color w:val="000000" w:themeColor="text1"/>
        </w:rPr>
        <w:t>3</w:t>
      </w:r>
      <w:r w:rsidRPr="000644A8">
        <w:rPr>
          <w:b/>
          <w:color w:val="000000" w:themeColor="text1"/>
        </w:rPr>
        <w:fldChar w:fldCharType="end"/>
      </w:r>
      <w:r w:rsidRPr="000644A8">
        <w:rPr>
          <w:color w:val="000000" w:themeColor="text1"/>
        </w:rPr>
        <w:t xml:space="preserve"> </w:t>
      </w:r>
      <w:r>
        <w:t>Summary of missing v</w:t>
      </w:r>
      <w:r w:rsidRPr="0095423E">
        <w:t xml:space="preserve">alues for </w:t>
      </w:r>
      <w:r w:rsidRPr="0095423E">
        <w:rPr>
          <w:i/>
        </w:rPr>
        <w:t xml:space="preserve">Pan </w:t>
      </w:r>
      <w:proofErr w:type="gramStart"/>
      <w:r>
        <w:rPr>
          <w:i/>
        </w:rPr>
        <w:t>troglodyte</w:t>
      </w:r>
      <w:r w:rsidRPr="0095423E">
        <w:rPr>
          <w:i/>
        </w:rPr>
        <w:t>s</w:t>
      </w:r>
      <w:proofErr w:type="gramEnd"/>
      <w:r>
        <w:t xml:space="preserve"> females multiple impu</w:t>
      </w:r>
      <w:r w:rsidRPr="0095423E">
        <w:t>tation</w:t>
      </w:r>
    </w:p>
    <w:p w:rsidR="00485140" w:rsidRDefault="00485140">
      <w:pPr>
        <w:spacing w:before="0" w:after="200" w:line="276" w:lineRule="auto"/>
        <w:jc w:val="left"/>
        <w:rPr>
          <w:rFonts w:asciiTheme="majorBidi" w:hAnsiTheme="majorBidi" w:cstheme="majorBidi"/>
          <w:b/>
        </w:rPr>
      </w:pPr>
      <w:r>
        <w:rPr>
          <w:rFonts w:asciiTheme="majorBidi" w:hAnsiTheme="majorBidi" w:cstheme="majorBidi"/>
          <w:b/>
        </w:rPr>
        <w:br w:type="page"/>
      </w:r>
    </w:p>
    <w:p w:rsidR="00275CA2" w:rsidRPr="00906C4C" w:rsidRDefault="00E70CA1" w:rsidP="00733544">
      <w:pPr>
        <w:pStyle w:val="Table"/>
      </w:pPr>
      <w:bookmarkStart w:id="3512" w:name="_Toc373177887"/>
      <w:bookmarkStart w:id="3513" w:name="_Toc373484426"/>
      <w:r w:rsidRPr="00E70CA1">
        <w:rPr>
          <w:b/>
        </w:rPr>
        <w:lastRenderedPageBreak/>
        <w:t>Table 8.5</w:t>
      </w:r>
      <w:r w:rsidR="00275CA2">
        <w:t xml:space="preserve"> Variable summary for missing tooth data in </w:t>
      </w:r>
      <w:r w:rsidR="00275CA2">
        <w:rPr>
          <w:i/>
        </w:rPr>
        <w:t>Pan troglodytes</w:t>
      </w:r>
      <w:r w:rsidR="00275CA2">
        <w:t xml:space="preserve"> females multiple imputation.</w:t>
      </w:r>
      <w:bookmarkEnd w:id="3512"/>
      <w:bookmarkEnd w:id="3513"/>
    </w:p>
    <w:tbl>
      <w:tblPr>
        <w:tblW w:w="4097" w:type="dxa"/>
        <w:jc w:val="center"/>
        <w:tblBorders>
          <w:top w:val="single" w:sz="4" w:space="0" w:color="auto"/>
          <w:bottom w:val="single" w:sz="4" w:space="0" w:color="auto"/>
        </w:tblBorders>
        <w:tblLook w:val="04A0" w:firstRow="1" w:lastRow="0" w:firstColumn="1" w:lastColumn="0" w:noHBand="0" w:noVBand="1"/>
      </w:tblPr>
      <w:tblGrid>
        <w:gridCol w:w="1133"/>
        <w:gridCol w:w="843"/>
        <w:gridCol w:w="1091"/>
        <w:gridCol w:w="1030"/>
      </w:tblGrid>
      <w:tr w:rsidR="00275CA2" w:rsidRPr="0095423E" w:rsidTr="00FB1519">
        <w:trPr>
          <w:trHeight w:val="295"/>
          <w:jc w:val="center"/>
        </w:trPr>
        <w:tc>
          <w:tcPr>
            <w:tcW w:w="1133" w:type="dxa"/>
            <w:vMerge w:val="restart"/>
            <w:tcBorders>
              <w:top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b/>
                <w:bCs/>
                <w:color w:val="000000"/>
                <w:lang w:eastAsia="en-GB"/>
              </w:rPr>
            </w:pPr>
            <w:r>
              <w:rPr>
                <w:rFonts w:eastAsia="Times New Roman"/>
                <w:b/>
                <w:bCs/>
                <w:color w:val="000000"/>
                <w:lang w:eastAsia="en-GB"/>
              </w:rPr>
              <w:t>t</w:t>
            </w:r>
            <w:r w:rsidRPr="0095423E">
              <w:rPr>
                <w:rFonts w:eastAsia="Times New Roman"/>
                <w:b/>
                <w:bCs/>
                <w:color w:val="000000"/>
                <w:lang w:eastAsia="en-GB"/>
              </w:rPr>
              <w:t>ooth</w:t>
            </w:r>
          </w:p>
        </w:tc>
        <w:tc>
          <w:tcPr>
            <w:tcW w:w="1934" w:type="dxa"/>
            <w:gridSpan w:val="2"/>
            <w:tcBorders>
              <w:top w:val="single" w:sz="4" w:space="0" w:color="auto"/>
              <w:bottom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b/>
                <w:bCs/>
                <w:color w:val="000000"/>
                <w:lang w:eastAsia="en-GB"/>
              </w:rPr>
            </w:pPr>
            <w:r>
              <w:rPr>
                <w:rFonts w:eastAsia="Times New Roman"/>
                <w:b/>
                <w:bCs/>
                <w:color w:val="000000"/>
                <w:lang w:eastAsia="en-GB"/>
              </w:rPr>
              <w:t>m</w:t>
            </w:r>
            <w:r w:rsidRPr="0095423E">
              <w:rPr>
                <w:rFonts w:eastAsia="Times New Roman"/>
                <w:b/>
                <w:bCs/>
                <w:color w:val="000000"/>
                <w:lang w:eastAsia="en-GB"/>
              </w:rPr>
              <w:t>issing</w:t>
            </w:r>
          </w:p>
        </w:tc>
        <w:tc>
          <w:tcPr>
            <w:tcW w:w="1030" w:type="dxa"/>
            <w:vMerge w:val="restart"/>
            <w:tcBorders>
              <w:top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b/>
                <w:bCs/>
                <w:color w:val="000000"/>
                <w:lang w:eastAsia="en-GB"/>
              </w:rPr>
            </w:pPr>
            <w:r>
              <w:rPr>
                <w:rFonts w:eastAsia="Times New Roman"/>
                <w:b/>
                <w:bCs/>
                <w:color w:val="000000"/>
                <w:lang w:eastAsia="en-GB"/>
              </w:rPr>
              <w:t>v</w:t>
            </w:r>
            <w:r w:rsidRPr="0095423E">
              <w:rPr>
                <w:rFonts w:eastAsia="Times New Roman"/>
                <w:b/>
                <w:bCs/>
                <w:color w:val="000000"/>
                <w:lang w:eastAsia="en-GB"/>
              </w:rPr>
              <w:t xml:space="preserve">alid </w:t>
            </w:r>
            <w:r w:rsidRPr="001B1EDC">
              <w:rPr>
                <w:rFonts w:eastAsia="Times New Roman"/>
                <w:b/>
                <w:bCs/>
                <w:i/>
                <w:color w:val="000000"/>
                <w:lang w:eastAsia="en-GB"/>
              </w:rPr>
              <w:t>N</w:t>
            </w:r>
          </w:p>
        </w:tc>
      </w:tr>
      <w:tr w:rsidR="00275CA2" w:rsidRPr="0095423E" w:rsidTr="00FB1519">
        <w:trPr>
          <w:trHeight w:val="295"/>
          <w:jc w:val="center"/>
        </w:trPr>
        <w:tc>
          <w:tcPr>
            <w:tcW w:w="1133" w:type="dxa"/>
            <w:vMerge/>
            <w:tcBorders>
              <w:bottom w:val="single" w:sz="4" w:space="0" w:color="auto"/>
            </w:tcBorders>
            <w:vAlign w:val="center"/>
            <w:hideMark/>
          </w:tcPr>
          <w:p w:rsidR="00275CA2" w:rsidRPr="0095423E" w:rsidRDefault="00275CA2" w:rsidP="00275CA2">
            <w:pPr>
              <w:spacing w:before="0" w:line="240" w:lineRule="auto"/>
              <w:rPr>
                <w:rFonts w:eastAsia="Times New Roman"/>
                <w:b/>
                <w:bCs/>
                <w:color w:val="000000"/>
                <w:lang w:eastAsia="en-GB"/>
              </w:rPr>
            </w:pPr>
          </w:p>
        </w:tc>
        <w:tc>
          <w:tcPr>
            <w:tcW w:w="843" w:type="dxa"/>
            <w:tcBorders>
              <w:top w:val="single" w:sz="4" w:space="0" w:color="auto"/>
              <w:bottom w:val="single" w:sz="4" w:space="0" w:color="auto"/>
            </w:tcBorders>
            <w:shd w:val="clear" w:color="000000" w:fill="FFFFFF"/>
            <w:vAlign w:val="center"/>
            <w:hideMark/>
          </w:tcPr>
          <w:p w:rsidR="00275CA2" w:rsidRPr="001B1EDC" w:rsidRDefault="00275CA2" w:rsidP="00275CA2">
            <w:pPr>
              <w:spacing w:before="0" w:line="240" w:lineRule="auto"/>
              <w:jc w:val="center"/>
              <w:rPr>
                <w:rFonts w:eastAsia="Times New Roman"/>
                <w:b/>
                <w:bCs/>
                <w:i/>
                <w:color w:val="000000"/>
                <w:lang w:eastAsia="en-GB"/>
              </w:rPr>
            </w:pPr>
            <w:r w:rsidRPr="001B1EDC">
              <w:rPr>
                <w:rFonts w:eastAsia="Times New Roman"/>
                <w:b/>
                <w:bCs/>
                <w:i/>
                <w:color w:val="000000"/>
                <w:lang w:eastAsia="en-GB"/>
              </w:rPr>
              <w:t>N</w:t>
            </w:r>
          </w:p>
        </w:tc>
        <w:tc>
          <w:tcPr>
            <w:tcW w:w="1091" w:type="dxa"/>
            <w:tcBorders>
              <w:top w:val="single" w:sz="4" w:space="0" w:color="auto"/>
              <w:bottom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b/>
                <w:bCs/>
                <w:color w:val="000000"/>
                <w:lang w:eastAsia="en-GB"/>
              </w:rPr>
            </w:pPr>
            <w:r>
              <w:rPr>
                <w:rFonts w:eastAsia="Times New Roman"/>
                <w:b/>
                <w:bCs/>
                <w:color w:val="000000"/>
                <w:lang w:eastAsia="en-GB"/>
              </w:rPr>
              <w:t>p</w:t>
            </w:r>
            <w:r w:rsidRPr="0095423E">
              <w:rPr>
                <w:rFonts w:eastAsia="Times New Roman"/>
                <w:b/>
                <w:bCs/>
                <w:color w:val="000000"/>
                <w:lang w:eastAsia="en-GB"/>
              </w:rPr>
              <w:t>ercent</w:t>
            </w:r>
          </w:p>
        </w:tc>
        <w:tc>
          <w:tcPr>
            <w:tcW w:w="1030" w:type="dxa"/>
            <w:vMerge/>
            <w:tcBorders>
              <w:bottom w:val="single" w:sz="4" w:space="0" w:color="auto"/>
            </w:tcBorders>
            <w:vAlign w:val="center"/>
            <w:hideMark/>
          </w:tcPr>
          <w:p w:rsidR="00275CA2" w:rsidRPr="0095423E" w:rsidRDefault="00275CA2" w:rsidP="00275CA2">
            <w:pPr>
              <w:spacing w:before="0" w:line="240" w:lineRule="auto"/>
              <w:rPr>
                <w:rFonts w:eastAsia="Times New Roman"/>
                <w:b/>
                <w:bCs/>
                <w:color w:val="000000"/>
                <w:lang w:eastAsia="en-GB"/>
              </w:rPr>
            </w:pPr>
          </w:p>
        </w:tc>
      </w:tr>
      <w:tr w:rsidR="00275CA2" w:rsidRPr="0095423E" w:rsidTr="00FB1519">
        <w:trPr>
          <w:trHeight w:val="295"/>
          <w:jc w:val="center"/>
        </w:trPr>
        <w:tc>
          <w:tcPr>
            <w:tcW w:w="1133" w:type="dxa"/>
            <w:tcBorders>
              <w:top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MDL2M3</w:t>
            </w:r>
          </w:p>
        </w:tc>
        <w:tc>
          <w:tcPr>
            <w:tcW w:w="843" w:type="dxa"/>
            <w:tcBorders>
              <w:top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23</w:t>
            </w:r>
          </w:p>
        </w:tc>
        <w:tc>
          <w:tcPr>
            <w:tcW w:w="1091" w:type="dxa"/>
            <w:tcBorders>
              <w:top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25.30%</w:t>
            </w:r>
          </w:p>
        </w:tc>
        <w:tc>
          <w:tcPr>
            <w:tcW w:w="1030" w:type="dxa"/>
            <w:tcBorders>
              <w:top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68</w:t>
            </w:r>
          </w:p>
        </w:tc>
      </w:tr>
      <w:tr w:rsidR="00275CA2" w:rsidRPr="0095423E" w:rsidTr="00FB1519">
        <w:trPr>
          <w:trHeight w:val="295"/>
          <w:jc w:val="center"/>
        </w:trPr>
        <w:tc>
          <w:tcPr>
            <w:tcW w:w="113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MDR2M3</w:t>
            </w:r>
          </w:p>
        </w:tc>
        <w:tc>
          <w:tcPr>
            <w:tcW w:w="84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17</w:t>
            </w:r>
          </w:p>
        </w:tc>
        <w:tc>
          <w:tcPr>
            <w:tcW w:w="1091"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18.70%</w:t>
            </w:r>
          </w:p>
        </w:tc>
        <w:tc>
          <w:tcPr>
            <w:tcW w:w="1030"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74</w:t>
            </w:r>
          </w:p>
        </w:tc>
      </w:tr>
      <w:tr w:rsidR="00275CA2" w:rsidRPr="0095423E" w:rsidTr="00FB1519">
        <w:trPr>
          <w:trHeight w:val="295"/>
          <w:jc w:val="center"/>
        </w:trPr>
        <w:tc>
          <w:tcPr>
            <w:tcW w:w="113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MDL2I1</w:t>
            </w:r>
          </w:p>
        </w:tc>
        <w:tc>
          <w:tcPr>
            <w:tcW w:w="84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13</w:t>
            </w:r>
          </w:p>
        </w:tc>
        <w:tc>
          <w:tcPr>
            <w:tcW w:w="1091"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14.30%</w:t>
            </w:r>
          </w:p>
        </w:tc>
        <w:tc>
          <w:tcPr>
            <w:tcW w:w="1030"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78</w:t>
            </w:r>
          </w:p>
        </w:tc>
      </w:tr>
      <w:tr w:rsidR="00275CA2" w:rsidRPr="0095423E" w:rsidTr="00FB1519">
        <w:trPr>
          <w:trHeight w:val="295"/>
          <w:jc w:val="center"/>
        </w:trPr>
        <w:tc>
          <w:tcPr>
            <w:tcW w:w="113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MDR2I1</w:t>
            </w:r>
          </w:p>
        </w:tc>
        <w:tc>
          <w:tcPr>
            <w:tcW w:w="84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12</w:t>
            </w:r>
          </w:p>
        </w:tc>
        <w:tc>
          <w:tcPr>
            <w:tcW w:w="1091"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13.20%</w:t>
            </w:r>
          </w:p>
        </w:tc>
        <w:tc>
          <w:tcPr>
            <w:tcW w:w="1030"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79</w:t>
            </w:r>
          </w:p>
        </w:tc>
      </w:tr>
      <w:tr w:rsidR="00275CA2" w:rsidRPr="0095423E" w:rsidTr="00FB1519">
        <w:trPr>
          <w:trHeight w:val="295"/>
          <w:jc w:val="center"/>
        </w:trPr>
        <w:tc>
          <w:tcPr>
            <w:tcW w:w="113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MDL2P3</w:t>
            </w:r>
          </w:p>
        </w:tc>
        <w:tc>
          <w:tcPr>
            <w:tcW w:w="84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11</w:t>
            </w:r>
          </w:p>
        </w:tc>
        <w:tc>
          <w:tcPr>
            <w:tcW w:w="1091"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12.10%</w:t>
            </w:r>
          </w:p>
        </w:tc>
        <w:tc>
          <w:tcPr>
            <w:tcW w:w="1030"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80</w:t>
            </w:r>
          </w:p>
        </w:tc>
      </w:tr>
      <w:tr w:rsidR="00275CA2" w:rsidRPr="0095423E" w:rsidTr="00FB1519">
        <w:trPr>
          <w:trHeight w:val="295"/>
          <w:jc w:val="center"/>
        </w:trPr>
        <w:tc>
          <w:tcPr>
            <w:tcW w:w="113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MDL2M2</w:t>
            </w:r>
          </w:p>
        </w:tc>
        <w:tc>
          <w:tcPr>
            <w:tcW w:w="84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10</w:t>
            </w:r>
          </w:p>
        </w:tc>
        <w:tc>
          <w:tcPr>
            <w:tcW w:w="1091"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11.00%</w:t>
            </w:r>
          </w:p>
        </w:tc>
        <w:tc>
          <w:tcPr>
            <w:tcW w:w="1030"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81</w:t>
            </w:r>
          </w:p>
        </w:tc>
      </w:tr>
      <w:tr w:rsidR="00275CA2" w:rsidRPr="0095423E" w:rsidTr="00FB1519">
        <w:trPr>
          <w:trHeight w:val="295"/>
          <w:jc w:val="center"/>
        </w:trPr>
        <w:tc>
          <w:tcPr>
            <w:tcW w:w="113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MDL2P4</w:t>
            </w:r>
          </w:p>
        </w:tc>
        <w:tc>
          <w:tcPr>
            <w:tcW w:w="84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10</w:t>
            </w:r>
          </w:p>
        </w:tc>
        <w:tc>
          <w:tcPr>
            <w:tcW w:w="1091"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11.00%</w:t>
            </w:r>
          </w:p>
        </w:tc>
        <w:tc>
          <w:tcPr>
            <w:tcW w:w="1030"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81</w:t>
            </w:r>
          </w:p>
        </w:tc>
      </w:tr>
      <w:tr w:rsidR="00275CA2" w:rsidRPr="0095423E" w:rsidTr="00FB1519">
        <w:trPr>
          <w:trHeight w:val="295"/>
          <w:jc w:val="center"/>
        </w:trPr>
        <w:tc>
          <w:tcPr>
            <w:tcW w:w="113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MDL2I2</w:t>
            </w:r>
          </w:p>
        </w:tc>
        <w:tc>
          <w:tcPr>
            <w:tcW w:w="843"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10</w:t>
            </w:r>
          </w:p>
        </w:tc>
        <w:tc>
          <w:tcPr>
            <w:tcW w:w="1091"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11.00%</w:t>
            </w:r>
          </w:p>
        </w:tc>
        <w:tc>
          <w:tcPr>
            <w:tcW w:w="1030" w:type="dxa"/>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81</w:t>
            </w:r>
          </w:p>
        </w:tc>
      </w:tr>
      <w:tr w:rsidR="00275CA2" w:rsidRPr="0095423E" w:rsidTr="00FB1519">
        <w:trPr>
          <w:trHeight w:val="295"/>
          <w:jc w:val="center"/>
        </w:trPr>
        <w:tc>
          <w:tcPr>
            <w:tcW w:w="1133" w:type="dxa"/>
            <w:tcBorders>
              <w:bottom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MDR2M2</w:t>
            </w:r>
          </w:p>
        </w:tc>
        <w:tc>
          <w:tcPr>
            <w:tcW w:w="843" w:type="dxa"/>
            <w:tcBorders>
              <w:bottom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10</w:t>
            </w:r>
          </w:p>
        </w:tc>
        <w:tc>
          <w:tcPr>
            <w:tcW w:w="1091" w:type="dxa"/>
            <w:tcBorders>
              <w:bottom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11.00%</w:t>
            </w:r>
          </w:p>
        </w:tc>
        <w:tc>
          <w:tcPr>
            <w:tcW w:w="1030" w:type="dxa"/>
            <w:tcBorders>
              <w:bottom w:val="single" w:sz="4" w:space="0" w:color="auto"/>
            </w:tcBorders>
            <w:shd w:val="clear" w:color="000000" w:fill="FFFFFF"/>
            <w:vAlign w:val="center"/>
            <w:hideMark/>
          </w:tcPr>
          <w:p w:rsidR="00275CA2" w:rsidRPr="0095423E" w:rsidRDefault="00275CA2" w:rsidP="00275CA2">
            <w:pPr>
              <w:spacing w:before="0" w:line="240" w:lineRule="auto"/>
              <w:jc w:val="center"/>
              <w:rPr>
                <w:rFonts w:eastAsia="Times New Roman"/>
                <w:color w:val="000000"/>
                <w:lang w:eastAsia="en-GB"/>
              </w:rPr>
            </w:pPr>
            <w:r w:rsidRPr="0095423E">
              <w:rPr>
                <w:rFonts w:eastAsia="Times New Roman"/>
                <w:color w:val="000000"/>
                <w:lang w:eastAsia="en-GB"/>
              </w:rPr>
              <w:t>81</w:t>
            </w:r>
          </w:p>
        </w:tc>
      </w:tr>
      <w:tr w:rsidR="00275CA2" w:rsidRPr="0095423E" w:rsidTr="00FB1519">
        <w:trPr>
          <w:trHeight w:val="295"/>
          <w:jc w:val="center"/>
        </w:trPr>
        <w:tc>
          <w:tcPr>
            <w:tcW w:w="4097" w:type="dxa"/>
            <w:gridSpan w:val="4"/>
            <w:tcBorders>
              <w:top w:val="single" w:sz="4" w:space="0" w:color="auto"/>
            </w:tcBorders>
            <w:shd w:val="clear" w:color="000000" w:fill="FFFFFF"/>
            <w:vAlign w:val="center"/>
            <w:hideMark/>
          </w:tcPr>
          <w:p w:rsidR="00275CA2" w:rsidRPr="0095423E" w:rsidRDefault="00275CA2" w:rsidP="00275CA2">
            <w:pPr>
              <w:spacing w:before="0" w:line="240" w:lineRule="auto"/>
              <w:rPr>
                <w:rFonts w:eastAsia="Times New Roman"/>
                <w:color w:val="000000"/>
                <w:lang w:eastAsia="en-GB"/>
              </w:rPr>
            </w:pPr>
            <w:r w:rsidRPr="0095423E">
              <w:rPr>
                <w:rFonts w:eastAsia="Times New Roman"/>
                <w:color w:val="000000"/>
                <w:lang w:eastAsia="en-GB"/>
              </w:rPr>
              <w:t>a. Maximum number of variables shown: 25</w:t>
            </w:r>
          </w:p>
        </w:tc>
      </w:tr>
      <w:tr w:rsidR="00275CA2" w:rsidRPr="0095423E" w:rsidTr="00FB1519">
        <w:trPr>
          <w:trHeight w:val="295"/>
          <w:jc w:val="center"/>
        </w:trPr>
        <w:tc>
          <w:tcPr>
            <w:tcW w:w="4097" w:type="dxa"/>
            <w:gridSpan w:val="4"/>
            <w:tcBorders>
              <w:bottom w:val="nil"/>
            </w:tcBorders>
            <w:shd w:val="clear" w:color="000000" w:fill="FFFFFF"/>
            <w:vAlign w:val="center"/>
            <w:hideMark/>
          </w:tcPr>
          <w:p w:rsidR="00275CA2" w:rsidRPr="0095423E" w:rsidRDefault="00275CA2" w:rsidP="00275CA2">
            <w:pPr>
              <w:spacing w:before="0" w:line="240" w:lineRule="auto"/>
              <w:rPr>
                <w:rFonts w:eastAsia="Times New Roman"/>
                <w:color w:val="000000"/>
                <w:lang w:eastAsia="en-GB"/>
              </w:rPr>
            </w:pPr>
            <w:r w:rsidRPr="0095423E">
              <w:rPr>
                <w:rFonts w:eastAsia="Times New Roman"/>
                <w:color w:val="000000"/>
                <w:lang w:eastAsia="en-GB"/>
              </w:rPr>
              <w:t>b. Minimum percentage of missing values for variable to be included: 10.0%</w:t>
            </w:r>
          </w:p>
        </w:tc>
      </w:tr>
    </w:tbl>
    <w:p w:rsidR="00275CA2" w:rsidRDefault="00275CA2" w:rsidP="00275CA2">
      <w:pPr>
        <w:autoSpaceDE w:val="0"/>
        <w:autoSpaceDN w:val="0"/>
        <w:adjustRightInd w:val="0"/>
        <w:spacing w:before="120" w:line="240" w:lineRule="auto"/>
        <w:jc w:val="left"/>
        <w:rPr>
          <w:rFonts w:asciiTheme="majorBidi" w:hAnsiTheme="majorBidi" w:cstheme="majorBidi"/>
          <w:b/>
        </w:rPr>
      </w:pPr>
      <w:r w:rsidRPr="00EF5A9A">
        <w:rPr>
          <w:noProof/>
          <w:lang w:eastAsia="en-GB"/>
        </w:rPr>
        <w:drawing>
          <wp:anchor distT="0" distB="0" distL="114300" distR="114300" simplePos="0" relativeHeight="251687936" behindDoc="0" locked="1" layoutInCell="1" allowOverlap="1" wp14:anchorId="6CAF30AF" wp14:editId="17EB92B4">
            <wp:simplePos x="0" y="0"/>
            <wp:positionH relativeFrom="column">
              <wp:posOffset>472440</wp:posOffset>
            </wp:positionH>
            <wp:positionV relativeFrom="paragraph">
              <wp:posOffset>232410</wp:posOffset>
            </wp:positionV>
            <wp:extent cx="5100955" cy="40767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00955"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rPr>
        <w:br w:type="page"/>
      </w:r>
    </w:p>
    <w:p w:rsidR="00275CA2" w:rsidRDefault="00234B65" w:rsidP="00E53F3C">
      <w:pPr>
        <w:autoSpaceDE w:val="0"/>
        <w:autoSpaceDN w:val="0"/>
        <w:adjustRightInd w:val="0"/>
        <w:spacing w:before="120" w:line="240" w:lineRule="auto"/>
        <w:jc w:val="left"/>
        <w:rPr>
          <w:b/>
        </w:rPr>
      </w:pPr>
      <w:r w:rsidRPr="00E70CA1">
        <w:rPr>
          <w:rFonts w:asciiTheme="majorBidi" w:hAnsiTheme="majorBidi" w:cstheme="majorBidi"/>
          <w:b/>
          <w:i/>
        </w:rPr>
        <w:lastRenderedPageBreak/>
        <w:t>8.2.3</w:t>
      </w:r>
      <w:r>
        <w:rPr>
          <w:rFonts w:asciiTheme="majorBidi" w:hAnsiTheme="majorBidi" w:cstheme="majorBidi"/>
          <w:b/>
        </w:rPr>
        <w:t xml:space="preserve"> </w:t>
      </w:r>
      <w:bookmarkStart w:id="3514" w:name="_Toc373178856"/>
      <w:bookmarkStart w:id="3515" w:name="_Toc373484009"/>
      <w:r w:rsidRPr="00234B65">
        <w:rPr>
          <w:b/>
          <w:i/>
        </w:rPr>
        <w:t xml:space="preserve">Pan </w:t>
      </w:r>
      <w:proofErr w:type="gramStart"/>
      <w:r w:rsidRPr="00234B65">
        <w:rPr>
          <w:b/>
          <w:i/>
        </w:rPr>
        <w:t>troglodytes</w:t>
      </w:r>
      <w:proofErr w:type="gramEnd"/>
      <w:r w:rsidRPr="00234B65">
        <w:rPr>
          <w:b/>
        </w:rPr>
        <w:t xml:space="preserve"> males analysis of patterns</w:t>
      </w:r>
      <w:bookmarkEnd w:id="3514"/>
      <w:bookmarkEnd w:id="3515"/>
    </w:p>
    <w:p w:rsidR="00234B65" w:rsidRDefault="00DF7C43" w:rsidP="00E53F3C">
      <w:pPr>
        <w:autoSpaceDE w:val="0"/>
        <w:autoSpaceDN w:val="0"/>
        <w:adjustRightInd w:val="0"/>
        <w:spacing w:before="120" w:line="240" w:lineRule="auto"/>
        <w:jc w:val="left"/>
        <w:rPr>
          <w:rFonts w:asciiTheme="majorBidi" w:hAnsiTheme="majorBidi" w:cstheme="majorBidi"/>
          <w:b/>
        </w:rPr>
      </w:pPr>
      <w:r w:rsidRPr="00EF5A9A">
        <w:rPr>
          <w:noProof/>
          <w:lang w:eastAsia="en-GB"/>
        </w:rPr>
        <w:drawing>
          <wp:inline distT="0" distB="0" distL="0" distR="0" wp14:anchorId="4367B0DF" wp14:editId="7BF93EAA">
            <wp:extent cx="573405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rsidR="00DF7C43" w:rsidRPr="00EF5A9A" w:rsidRDefault="00DF7C43" w:rsidP="00DF7C43">
      <w:bookmarkStart w:id="3516" w:name="_Toc373177920"/>
      <w:proofErr w:type="gramStart"/>
      <w:r w:rsidRPr="000644A8">
        <w:rPr>
          <w:b/>
          <w:color w:val="000000" w:themeColor="text1"/>
        </w:rPr>
        <w:t>Figure 8.</w:t>
      </w:r>
      <w:proofErr w:type="gramEnd"/>
      <w:r w:rsidRPr="000644A8">
        <w:rPr>
          <w:b/>
          <w:color w:val="000000" w:themeColor="text1"/>
        </w:rPr>
        <w:fldChar w:fldCharType="begin"/>
      </w:r>
      <w:r w:rsidRPr="000644A8">
        <w:rPr>
          <w:b/>
          <w:color w:val="000000" w:themeColor="text1"/>
        </w:rPr>
        <w:instrText xml:space="preserve"> SEQ Figure_8. \* ARABIC </w:instrText>
      </w:r>
      <w:r w:rsidRPr="000644A8">
        <w:rPr>
          <w:b/>
          <w:color w:val="000000" w:themeColor="text1"/>
        </w:rPr>
        <w:fldChar w:fldCharType="separate"/>
      </w:r>
      <w:r>
        <w:rPr>
          <w:b/>
          <w:noProof/>
          <w:color w:val="000000" w:themeColor="text1"/>
        </w:rPr>
        <w:t>5</w:t>
      </w:r>
      <w:r w:rsidRPr="000644A8">
        <w:rPr>
          <w:b/>
          <w:color w:val="000000" w:themeColor="text1"/>
        </w:rPr>
        <w:fldChar w:fldCharType="end"/>
      </w:r>
      <w:r w:rsidRPr="000644A8">
        <w:rPr>
          <w:color w:val="000000" w:themeColor="text1"/>
        </w:rPr>
        <w:t xml:space="preserve"> </w:t>
      </w:r>
      <w:r>
        <w:t>Summary of missing v</w:t>
      </w:r>
      <w:r w:rsidRPr="0095423E">
        <w:t xml:space="preserve">alues for </w:t>
      </w:r>
      <w:r w:rsidRPr="0095423E">
        <w:rPr>
          <w:i/>
        </w:rPr>
        <w:t xml:space="preserve">Pan </w:t>
      </w:r>
      <w:proofErr w:type="gramStart"/>
      <w:r>
        <w:rPr>
          <w:i/>
        </w:rPr>
        <w:t>troglodyte</w:t>
      </w:r>
      <w:r w:rsidRPr="0095423E">
        <w:rPr>
          <w:i/>
        </w:rPr>
        <w:t>s</w:t>
      </w:r>
      <w:proofErr w:type="gramEnd"/>
      <w:r>
        <w:t xml:space="preserve"> males multiple impu</w:t>
      </w:r>
      <w:r w:rsidRPr="0095423E">
        <w:t>tation</w:t>
      </w:r>
      <w:bookmarkEnd w:id="3516"/>
    </w:p>
    <w:p w:rsidR="00DF7C43" w:rsidRPr="00EF5A9A" w:rsidRDefault="00DF7C43" w:rsidP="00733544">
      <w:pPr>
        <w:pStyle w:val="Table"/>
      </w:pPr>
      <w:r>
        <w:t xml:space="preserve"> </w:t>
      </w:r>
      <w:bookmarkStart w:id="3517" w:name="_Toc373177888"/>
      <w:bookmarkStart w:id="3518" w:name="_Toc373484427"/>
      <w:r w:rsidR="00BB6CE4" w:rsidRPr="00BB6CE4">
        <w:rPr>
          <w:b/>
        </w:rPr>
        <w:t>Table 8.6</w:t>
      </w:r>
      <w:r w:rsidR="00BB6CE4">
        <w:t xml:space="preserve"> </w:t>
      </w:r>
      <w:r>
        <w:t xml:space="preserve">Variable summary for missing tooth data in </w:t>
      </w:r>
      <w:r>
        <w:rPr>
          <w:i/>
        </w:rPr>
        <w:t>Pan troglodytes</w:t>
      </w:r>
      <w:r>
        <w:t xml:space="preserve"> males multiple imputation.</w:t>
      </w:r>
      <w:bookmarkEnd w:id="3517"/>
      <w:bookmarkEnd w:id="3518"/>
    </w:p>
    <w:tbl>
      <w:tblPr>
        <w:tblW w:w="4120" w:type="dxa"/>
        <w:jc w:val="center"/>
        <w:tblBorders>
          <w:top w:val="single" w:sz="4" w:space="0" w:color="auto"/>
          <w:bottom w:val="single" w:sz="4" w:space="0" w:color="auto"/>
        </w:tblBorders>
        <w:tblLook w:val="04A0" w:firstRow="1" w:lastRow="0" w:firstColumn="1" w:lastColumn="0" w:noHBand="0" w:noVBand="1"/>
      </w:tblPr>
      <w:tblGrid>
        <w:gridCol w:w="1240"/>
        <w:gridCol w:w="960"/>
        <w:gridCol w:w="960"/>
        <w:gridCol w:w="960"/>
      </w:tblGrid>
      <w:tr w:rsidR="00DF7C43" w:rsidRPr="00D85C79" w:rsidTr="00FB1519">
        <w:trPr>
          <w:trHeight w:val="295"/>
          <w:jc w:val="center"/>
        </w:trPr>
        <w:tc>
          <w:tcPr>
            <w:tcW w:w="1240" w:type="dxa"/>
            <w:vMerge w:val="restart"/>
            <w:tcBorders>
              <w:top w:val="single" w:sz="4" w:space="0" w:color="auto"/>
            </w:tcBorders>
            <w:shd w:val="clear" w:color="000000" w:fill="FFFFFF"/>
            <w:vAlign w:val="center"/>
            <w:hideMark/>
          </w:tcPr>
          <w:p w:rsidR="00DF7C43" w:rsidRPr="00D85C79" w:rsidRDefault="00DF7C43" w:rsidP="0091518B">
            <w:pPr>
              <w:spacing w:before="0" w:line="240" w:lineRule="auto"/>
              <w:jc w:val="center"/>
              <w:rPr>
                <w:rFonts w:eastAsia="Times New Roman"/>
                <w:b/>
                <w:bCs/>
                <w:color w:val="000000"/>
                <w:lang w:eastAsia="en-GB"/>
              </w:rPr>
            </w:pPr>
            <w:r>
              <w:rPr>
                <w:rFonts w:eastAsia="Times New Roman"/>
                <w:b/>
                <w:bCs/>
                <w:color w:val="000000"/>
                <w:lang w:eastAsia="en-GB"/>
              </w:rPr>
              <w:t>t</w:t>
            </w:r>
            <w:r w:rsidRPr="00D85C79">
              <w:rPr>
                <w:rFonts w:eastAsia="Times New Roman"/>
                <w:b/>
                <w:bCs/>
                <w:color w:val="000000"/>
                <w:lang w:eastAsia="en-GB"/>
              </w:rPr>
              <w:t>ooth</w:t>
            </w:r>
          </w:p>
        </w:tc>
        <w:tc>
          <w:tcPr>
            <w:tcW w:w="1920" w:type="dxa"/>
            <w:gridSpan w:val="2"/>
            <w:tcBorders>
              <w:top w:val="single" w:sz="4" w:space="0" w:color="auto"/>
              <w:bottom w:val="single" w:sz="4" w:space="0" w:color="auto"/>
            </w:tcBorders>
            <w:shd w:val="clear" w:color="000000" w:fill="FFFFFF"/>
            <w:vAlign w:val="center"/>
            <w:hideMark/>
          </w:tcPr>
          <w:p w:rsidR="00DF7C43" w:rsidRPr="00D85C79" w:rsidRDefault="00DF7C43" w:rsidP="0091518B">
            <w:pPr>
              <w:spacing w:before="0" w:line="240" w:lineRule="auto"/>
              <w:jc w:val="center"/>
              <w:rPr>
                <w:rFonts w:eastAsia="Times New Roman"/>
                <w:b/>
                <w:bCs/>
                <w:color w:val="000000"/>
                <w:lang w:eastAsia="en-GB"/>
              </w:rPr>
            </w:pPr>
            <w:r>
              <w:rPr>
                <w:rFonts w:eastAsia="Times New Roman"/>
                <w:b/>
                <w:bCs/>
                <w:color w:val="000000"/>
                <w:lang w:eastAsia="en-GB"/>
              </w:rPr>
              <w:t>m</w:t>
            </w:r>
            <w:r w:rsidRPr="00D85C79">
              <w:rPr>
                <w:rFonts w:eastAsia="Times New Roman"/>
                <w:b/>
                <w:bCs/>
                <w:color w:val="000000"/>
                <w:lang w:eastAsia="en-GB"/>
              </w:rPr>
              <w:t>issing</w:t>
            </w:r>
          </w:p>
        </w:tc>
        <w:tc>
          <w:tcPr>
            <w:tcW w:w="960" w:type="dxa"/>
            <w:vMerge w:val="restart"/>
            <w:tcBorders>
              <w:top w:val="single" w:sz="4" w:space="0" w:color="auto"/>
            </w:tcBorders>
            <w:shd w:val="clear" w:color="000000" w:fill="FFFFFF"/>
            <w:vAlign w:val="center"/>
            <w:hideMark/>
          </w:tcPr>
          <w:p w:rsidR="00DF7C43" w:rsidRPr="00D85C79" w:rsidRDefault="00DF7C43" w:rsidP="0091518B">
            <w:pPr>
              <w:spacing w:before="0" w:line="240" w:lineRule="auto"/>
              <w:jc w:val="center"/>
              <w:rPr>
                <w:rFonts w:eastAsia="Times New Roman"/>
                <w:b/>
                <w:bCs/>
                <w:color w:val="000000"/>
                <w:lang w:eastAsia="en-GB"/>
              </w:rPr>
            </w:pPr>
            <w:r>
              <w:rPr>
                <w:rFonts w:eastAsia="Times New Roman"/>
                <w:b/>
                <w:bCs/>
                <w:color w:val="000000"/>
                <w:lang w:eastAsia="en-GB"/>
              </w:rPr>
              <w:t>v</w:t>
            </w:r>
            <w:r w:rsidRPr="00D85C79">
              <w:rPr>
                <w:rFonts w:eastAsia="Times New Roman"/>
                <w:b/>
                <w:bCs/>
                <w:color w:val="000000"/>
                <w:lang w:eastAsia="en-GB"/>
              </w:rPr>
              <w:t xml:space="preserve">alid </w:t>
            </w:r>
            <w:r w:rsidRPr="001B1EDC">
              <w:rPr>
                <w:rFonts w:eastAsia="Times New Roman"/>
                <w:b/>
                <w:bCs/>
                <w:i/>
                <w:color w:val="000000"/>
                <w:lang w:eastAsia="en-GB"/>
              </w:rPr>
              <w:t>N</w:t>
            </w:r>
          </w:p>
        </w:tc>
      </w:tr>
      <w:tr w:rsidR="00DF7C43" w:rsidRPr="00D85C79" w:rsidTr="00FB1519">
        <w:trPr>
          <w:trHeight w:val="295"/>
          <w:jc w:val="center"/>
        </w:trPr>
        <w:tc>
          <w:tcPr>
            <w:tcW w:w="1240" w:type="dxa"/>
            <w:vMerge/>
            <w:tcBorders>
              <w:bottom w:val="single" w:sz="4" w:space="0" w:color="auto"/>
            </w:tcBorders>
            <w:vAlign w:val="center"/>
            <w:hideMark/>
          </w:tcPr>
          <w:p w:rsidR="00DF7C43" w:rsidRPr="00D85C79" w:rsidRDefault="00DF7C43" w:rsidP="0091518B">
            <w:pPr>
              <w:spacing w:before="0" w:line="240" w:lineRule="auto"/>
              <w:rPr>
                <w:rFonts w:eastAsia="Times New Roman"/>
                <w:b/>
                <w:bCs/>
                <w:color w:val="000000"/>
                <w:lang w:eastAsia="en-GB"/>
              </w:rPr>
            </w:pPr>
          </w:p>
        </w:tc>
        <w:tc>
          <w:tcPr>
            <w:tcW w:w="960" w:type="dxa"/>
            <w:tcBorders>
              <w:top w:val="single" w:sz="4" w:space="0" w:color="auto"/>
              <w:bottom w:val="single" w:sz="4" w:space="0" w:color="auto"/>
            </w:tcBorders>
            <w:shd w:val="clear" w:color="000000" w:fill="FFFFFF"/>
            <w:vAlign w:val="center"/>
            <w:hideMark/>
          </w:tcPr>
          <w:p w:rsidR="00DF7C43" w:rsidRPr="001B1EDC" w:rsidRDefault="00DF7C43" w:rsidP="0091518B">
            <w:pPr>
              <w:spacing w:before="0" w:line="240" w:lineRule="auto"/>
              <w:jc w:val="center"/>
              <w:rPr>
                <w:rFonts w:eastAsia="Times New Roman"/>
                <w:b/>
                <w:bCs/>
                <w:i/>
                <w:color w:val="000000"/>
                <w:lang w:eastAsia="en-GB"/>
              </w:rPr>
            </w:pPr>
            <w:r w:rsidRPr="001B1EDC">
              <w:rPr>
                <w:rFonts w:eastAsia="Times New Roman"/>
                <w:b/>
                <w:bCs/>
                <w:i/>
                <w:color w:val="000000"/>
                <w:lang w:eastAsia="en-GB"/>
              </w:rPr>
              <w:t>N</w:t>
            </w:r>
          </w:p>
        </w:tc>
        <w:tc>
          <w:tcPr>
            <w:tcW w:w="960" w:type="dxa"/>
            <w:tcBorders>
              <w:top w:val="single" w:sz="4" w:space="0" w:color="auto"/>
              <w:bottom w:val="single" w:sz="4" w:space="0" w:color="auto"/>
            </w:tcBorders>
            <w:shd w:val="clear" w:color="000000" w:fill="FFFFFF"/>
            <w:vAlign w:val="center"/>
            <w:hideMark/>
          </w:tcPr>
          <w:p w:rsidR="00DF7C43" w:rsidRPr="00D85C79" w:rsidRDefault="00DF7C43" w:rsidP="0091518B">
            <w:pPr>
              <w:spacing w:before="0" w:line="240" w:lineRule="auto"/>
              <w:jc w:val="center"/>
              <w:rPr>
                <w:rFonts w:eastAsia="Times New Roman"/>
                <w:b/>
                <w:bCs/>
                <w:color w:val="000000"/>
                <w:lang w:eastAsia="en-GB"/>
              </w:rPr>
            </w:pPr>
            <w:r>
              <w:rPr>
                <w:rFonts w:eastAsia="Times New Roman"/>
                <w:b/>
                <w:bCs/>
                <w:color w:val="000000"/>
                <w:lang w:eastAsia="en-GB"/>
              </w:rPr>
              <w:t>p</w:t>
            </w:r>
            <w:r w:rsidRPr="00D85C79">
              <w:rPr>
                <w:rFonts w:eastAsia="Times New Roman"/>
                <w:b/>
                <w:bCs/>
                <w:color w:val="000000"/>
                <w:lang w:eastAsia="en-GB"/>
              </w:rPr>
              <w:t>ercent</w:t>
            </w:r>
          </w:p>
        </w:tc>
        <w:tc>
          <w:tcPr>
            <w:tcW w:w="960" w:type="dxa"/>
            <w:vMerge/>
            <w:tcBorders>
              <w:bottom w:val="single" w:sz="4" w:space="0" w:color="auto"/>
            </w:tcBorders>
            <w:vAlign w:val="center"/>
            <w:hideMark/>
          </w:tcPr>
          <w:p w:rsidR="00DF7C43" w:rsidRPr="00D85C79" w:rsidRDefault="00DF7C43" w:rsidP="0091518B">
            <w:pPr>
              <w:spacing w:before="0" w:line="240" w:lineRule="auto"/>
              <w:rPr>
                <w:rFonts w:eastAsia="Times New Roman"/>
                <w:b/>
                <w:bCs/>
                <w:color w:val="000000"/>
                <w:lang w:eastAsia="en-GB"/>
              </w:rPr>
            </w:pPr>
          </w:p>
        </w:tc>
      </w:tr>
      <w:tr w:rsidR="00DF7C43" w:rsidRPr="00D85C79" w:rsidTr="00FB1519">
        <w:trPr>
          <w:trHeight w:val="295"/>
          <w:jc w:val="center"/>
        </w:trPr>
        <w:tc>
          <w:tcPr>
            <w:tcW w:w="1240" w:type="dxa"/>
            <w:tcBorders>
              <w:top w:val="single" w:sz="4" w:space="0" w:color="auto"/>
            </w:tcBorders>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MDR2M3</w:t>
            </w:r>
          </w:p>
        </w:tc>
        <w:tc>
          <w:tcPr>
            <w:tcW w:w="960" w:type="dxa"/>
            <w:tcBorders>
              <w:top w:val="single" w:sz="4" w:space="0" w:color="auto"/>
            </w:tcBorders>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38</w:t>
            </w:r>
          </w:p>
        </w:tc>
        <w:tc>
          <w:tcPr>
            <w:tcW w:w="960" w:type="dxa"/>
            <w:tcBorders>
              <w:top w:val="single" w:sz="4" w:space="0" w:color="auto"/>
            </w:tcBorders>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44.20%</w:t>
            </w:r>
          </w:p>
        </w:tc>
        <w:tc>
          <w:tcPr>
            <w:tcW w:w="960" w:type="dxa"/>
            <w:tcBorders>
              <w:top w:val="single" w:sz="4" w:space="0" w:color="auto"/>
            </w:tcBorders>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48</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MDL2M3</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35</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40.70%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51</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MDR2I1</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34</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39.50%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52</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MDR2M1</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32</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37.20%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54</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MDR2P3</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32</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37.20%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54</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MDR2M2</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31</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36.00%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55</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MDR2P4</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31</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36.00%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55</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MDR2I2</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31</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36.00%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55</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MDL2P3</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34.90%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56</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MDL2I1</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34.90%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56</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MDR2C</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34.90%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56</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MDL2M1</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29</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33.70%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57</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MDL2M2</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28</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32.60%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58</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MDL2P4</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28</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32.60%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58</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MDL2C</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27</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31.40%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59</w:t>
            </w:r>
          </w:p>
        </w:tc>
      </w:tr>
      <w:tr w:rsidR="00DF7C43" w:rsidRPr="00D85C79" w:rsidTr="00FB1519">
        <w:trPr>
          <w:trHeight w:val="295"/>
          <w:jc w:val="center"/>
        </w:trPr>
        <w:tc>
          <w:tcPr>
            <w:tcW w:w="124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MDL2I2</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27</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31.40%</w:t>
            </w:r>
          </w:p>
        </w:tc>
        <w:tc>
          <w:tcPr>
            <w:tcW w:w="960" w:type="dxa"/>
            <w:shd w:val="clear" w:color="000000" w:fill="FFFFFF"/>
            <w:vAlign w:val="center"/>
            <w:hideMark/>
          </w:tcPr>
          <w:p w:rsidR="00DF7C43" w:rsidRPr="00D85C79" w:rsidRDefault="00DF7C43" w:rsidP="0091518B">
            <w:pPr>
              <w:spacing w:before="0" w:line="240" w:lineRule="auto"/>
              <w:jc w:val="center"/>
              <w:rPr>
                <w:rFonts w:eastAsia="Times New Roman"/>
                <w:color w:val="000000"/>
                <w:lang w:eastAsia="en-GB"/>
              </w:rPr>
            </w:pPr>
            <w:r w:rsidRPr="00D85C79">
              <w:rPr>
                <w:rFonts w:eastAsia="Times New Roman"/>
                <w:color w:val="000000"/>
                <w:lang w:eastAsia="en-GB"/>
              </w:rPr>
              <w:t>59</w:t>
            </w:r>
          </w:p>
        </w:tc>
      </w:tr>
    </w:tbl>
    <w:p w:rsidR="00DF7C43" w:rsidRDefault="00DF7C43" w:rsidP="00DF7C43">
      <w:r>
        <w:br w:type="page"/>
      </w:r>
    </w:p>
    <w:p w:rsidR="00966D50" w:rsidRPr="00966D50" w:rsidRDefault="00966D50" w:rsidP="00E53F3C">
      <w:pPr>
        <w:autoSpaceDE w:val="0"/>
        <w:autoSpaceDN w:val="0"/>
        <w:adjustRightInd w:val="0"/>
        <w:spacing w:before="120" w:line="240" w:lineRule="auto"/>
        <w:jc w:val="left"/>
        <w:rPr>
          <w:b/>
          <w:color w:val="000000" w:themeColor="text1"/>
        </w:rPr>
      </w:pPr>
      <w:r w:rsidRPr="00EF5A9A">
        <w:rPr>
          <w:noProof/>
          <w:lang w:eastAsia="en-GB"/>
        </w:rPr>
        <w:lastRenderedPageBreak/>
        <w:drawing>
          <wp:anchor distT="0" distB="0" distL="114300" distR="114300" simplePos="0" relativeHeight="251689984" behindDoc="0" locked="1" layoutInCell="1" allowOverlap="1" wp14:anchorId="33B16034" wp14:editId="36C48208">
            <wp:simplePos x="0" y="0"/>
            <wp:positionH relativeFrom="column">
              <wp:posOffset>168275</wp:posOffset>
            </wp:positionH>
            <wp:positionV relativeFrom="paragraph">
              <wp:posOffset>124460</wp:posOffset>
            </wp:positionV>
            <wp:extent cx="5191125" cy="415607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91125" cy="4156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91518B" w:rsidRPr="000644A8">
        <w:rPr>
          <w:b/>
          <w:color w:val="000000" w:themeColor="text1"/>
        </w:rPr>
        <w:t>Figure 8.</w:t>
      </w:r>
      <w:proofErr w:type="gramEnd"/>
      <w:r w:rsidR="0091518B" w:rsidRPr="000644A8">
        <w:rPr>
          <w:b/>
          <w:color w:val="000000" w:themeColor="text1"/>
        </w:rPr>
        <w:fldChar w:fldCharType="begin"/>
      </w:r>
      <w:r w:rsidR="0091518B" w:rsidRPr="000644A8">
        <w:rPr>
          <w:b/>
          <w:color w:val="000000" w:themeColor="text1"/>
        </w:rPr>
        <w:instrText xml:space="preserve"> SEQ Figure_8. \* ARABIC </w:instrText>
      </w:r>
      <w:r w:rsidR="0091518B" w:rsidRPr="000644A8">
        <w:rPr>
          <w:b/>
          <w:color w:val="000000" w:themeColor="text1"/>
        </w:rPr>
        <w:fldChar w:fldCharType="separate"/>
      </w:r>
      <w:r w:rsidR="0091518B">
        <w:rPr>
          <w:b/>
          <w:noProof/>
          <w:color w:val="000000" w:themeColor="text1"/>
        </w:rPr>
        <w:t>6</w:t>
      </w:r>
      <w:r w:rsidR="0091518B" w:rsidRPr="000644A8">
        <w:rPr>
          <w:b/>
          <w:color w:val="000000" w:themeColor="text1"/>
        </w:rPr>
        <w:fldChar w:fldCharType="end"/>
      </w:r>
      <w:r w:rsidR="0091518B" w:rsidRPr="000644A8">
        <w:rPr>
          <w:color w:val="000000" w:themeColor="text1"/>
        </w:rPr>
        <w:t xml:space="preserve"> </w:t>
      </w:r>
      <w:r w:rsidR="0091518B">
        <w:t>Missing value patterns</w:t>
      </w:r>
      <w:r w:rsidR="0091518B" w:rsidRPr="0095423E">
        <w:t xml:space="preserve"> for </w:t>
      </w:r>
      <w:r w:rsidR="0091518B" w:rsidRPr="0095423E">
        <w:rPr>
          <w:i/>
        </w:rPr>
        <w:t xml:space="preserve">Pan </w:t>
      </w:r>
      <w:proofErr w:type="gramStart"/>
      <w:r w:rsidR="0091518B">
        <w:rPr>
          <w:i/>
        </w:rPr>
        <w:t>troglodyte</w:t>
      </w:r>
      <w:r w:rsidR="0091518B" w:rsidRPr="0095423E">
        <w:rPr>
          <w:i/>
        </w:rPr>
        <w:t>s</w:t>
      </w:r>
      <w:proofErr w:type="gramEnd"/>
      <w:r w:rsidR="0091518B">
        <w:t xml:space="preserve"> males multiple impu</w:t>
      </w:r>
      <w:r w:rsidR="0091518B" w:rsidRPr="0095423E">
        <w:t>tation</w:t>
      </w:r>
    </w:p>
    <w:p w:rsidR="00966D50" w:rsidRDefault="00966D50">
      <w:pPr>
        <w:spacing w:before="0" w:after="200" w:line="276" w:lineRule="auto"/>
        <w:jc w:val="left"/>
      </w:pPr>
      <w:r>
        <w:br w:type="page"/>
      </w:r>
    </w:p>
    <w:p w:rsidR="00DF7C43" w:rsidRDefault="00966D50" w:rsidP="00966D50">
      <w:pPr>
        <w:autoSpaceDE w:val="0"/>
        <w:autoSpaceDN w:val="0"/>
        <w:adjustRightInd w:val="0"/>
        <w:spacing w:before="0" w:line="240" w:lineRule="auto"/>
        <w:jc w:val="left"/>
        <w:rPr>
          <w:b/>
          <w:i/>
        </w:rPr>
      </w:pPr>
      <w:bookmarkStart w:id="3519" w:name="_Toc373178857"/>
      <w:bookmarkStart w:id="3520" w:name="_Toc373484010"/>
      <w:r w:rsidRPr="00966D50">
        <w:rPr>
          <w:b/>
          <w:i/>
        </w:rPr>
        <w:lastRenderedPageBreak/>
        <w:t>8.3</w:t>
      </w:r>
      <w:r w:rsidRPr="00966D50">
        <w:rPr>
          <w:b/>
          <w:i/>
        </w:rPr>
        <w:tab/>
        <w:t>Linear regression for long-bone length as plotted against dental score</w:t>
      </w:r>
      <w:bookmarkEnd w:id="3519"/>
      <w:bookmarkEnd w:id="3520"/>
    </w:p>
    <w:p w:rsidR="00966D50" w:rsidRDefault="00966D50" w:rsidP="00966D50">
      <w:pPr>
        <w:spacing w:before="60" w:after="60" w:line="240" w:lineRule="auto"/>
        <w:rPr>
          <w:noProof/>
        </w:rPr>
      </w:pPr>
      <w:r w:rsidRPr="000F4BB6">
        <w:rPr>
          <w:noProof/>
        </w:rPr>
        <w:t xml:space="preserve">These data represent outputs from linear regression analysis </w:t>
      </w:r>
      <w:r>
        <w:rPr>
          <w:noProof/>
        </w:rPr>
        <w:t xml:space="preserve">considering the relationship between </w:t>
      </w:r>
      <w:r w:rsidRPr="000F4BB6">
        <w:rPr>
          <w:noProof/>
        </w:rPr>
        <w:t xml:space="preserve">long-bone length </w:t>
      </w:r>
      <w:r>
        <w:rPr>
          <w:noProof/>
        </w:rPr>
        <w:t xml:space="preserve">and </w:t>
      </w:r>
      <w:r w:rsidRPr="000F4BB6">
        <w:rPr>
          <w:noProof/>
        </w:rPr>
        <w:t>dental score</w:t>
      </w:r>
      <w:r>
        <w:rPr>
          <w:noProof/>
        </w:rPr>
        <w:t xml:space="preserve"> as analysed in Chapter 4, section 4.1.1</w:t>
      </w:r>
      <w:r w:rsidRPr="000F4BB6">
        <w:rPr>
          <w:noProof/>
        </w:rPr>
        <w:t>.</w:t>
      </w:r>
      <w:r>
        <w:rPr>
          <w:noProof/>
        </w:rPr>
        <w:t xml:space="preserve">  Regression equations are presented in the text for section 4.1.1  These tables provide r-square values, ANOVA outputs and regression coefficients from the analysis.</w:t>
      </w:r>
    </w:p>
    <w:p w:rsidR="00966D50" w:rsidRDefault="00BB6CE4" w:rsidP="00733544">
      <w:pPr>
        <w:pStyle w:val="Table"/>
      </w:pPr>
      <w:r w:rsidRPr="00BB6CE4">
        <w:rPr>
          <w:b/>
        </w:rPr>
        <w:t>Table 8.7</w:t>
      </w:r>
      <w:r w:rsidR="00966D50">
        <w:t xml:space="preserve"> </w:t>
      </w:r>
      <w:bookmarkStart w:id="3521" w:name="_Toc373177889"/>
      <w:bookmarkStart w:id="3522" w:name="_Toc373484428"/>
      <w:r w:rsidR="00966D50">
        <w:t>Regression outputs for linear regression analysis of long-bone length plotted against dental score.</w:t>
      </w:r>
      <w:bookmarkEnd w:id="3521"/>
      <w:bookmarkEnd w:id="3522"/>
    </w:p>
    <w:tbl>
      <w:tblPr>
        <w:tblW w:w="8804" w:type="dxa"/>
        <w:tblInd w:w="93" w:type="dxa"/>
        <w:tblBorders>
          <w:top w:val="single" w:sz="4" w:space="0" w:color="auto"/>
          <w:bottom w:val="single" w:sz="4" w:space="0" w:color="auto"/>
        </w:tblBorders>
        <w:tblLook w:val="04A0" w:firstRow="1" w:lastRow="0" w:firstColumn="1" w:lastColumn="0" w:noHBand="0" w:noVBand="1"/>
      </w:tblPr>
      <w:tblGrid>
        <w:gridCol w:w="2096"/>
        <w:gridCol w:w="1135"/>
        <w:gridCol w:w="800"/>
        <w:gridCol w:w="1266"/>
        <w:gridCol w:w="1234"/>
        <w:gridCol w:w="1118"/>
        <w:gridCol w:w="1155"/>
      </w:tblGrid>
      <w:tr w:rsidR="00966D50" w:rsidRPr="00BE2EF2" w:rsidTr="00FB1519">
        <w:trPr>
          <w:cantSplit/>
          <w:trHeight w:val="360"/>
        </w:trPr>
        <w:tc>
          <w:tcPr>
            <w:tcW w:w="2096" w:type="dxa"/>
            <w:tcBorders>
              <w:top w:val="single" w:sz="4" w:space="0" w:color="auto"/>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s</w:t>
            </w:r>
            <w:r w:rsidRPr="00BE2EF2">
              <w:rPr>
                <w:rFonts w:eastAsia="Times New Roman"/>
                <w:b/>
                <w:bCs/>
                <w:color w:val="000000"/>
                <w:lang w:eastAsia="en-GB"/>
              </w:rPr>
              <w:t>pecies</w:t>
            </w:r>
          </w:p>
        </w:tc>
        <w:tc>
          <w:tcPr>
            <w:tcW w:w="1135" w:type="dxa"/>
            <w:tcBorders>
              <w:top w:val="single" w:sz="4" w:space="0" w:color="auto"/>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b</w:t>
            </w:r>
            <w:r w:rsidRPr="00BE2EF2">
              <w:rPr>
                <w:rFonts w:eastAsia="Times New Roman"/>
                <w:b/>
                <w:bCs/>
                <w:color w:val="000000"/>
                <w:lang w:eastAsia="en-GB"/>
              </w:rPr>
              <w:t>one</w:t>
            </w:r>
          </w:p>
        </w:tc>
        <w:tc>
          <w:tcPr>
            <w:tcW w:w="800" w:type="dxa"/>
            <w:tcBorders>
              <w:top w:val="single" w:sz="4" w:space="0" w:color="auto"/>
              <w:bottom w:val="single" w:sz="4" w:space="0" w:color="auto"/>
            </w:tcBorders>
            <w:shd w:val="clear" w:color="auto" w:fill="auto"/>
            <w:noWrap/>
            <w:vAlign w:val="center"/>
            <w:hideMark/>
          </w:tcPr>
          <w:p w:rsidR="00966D50" w:rsidRPr="00FD0FA3" w:rsidRDefault="00966D50" w:rsidP="00966D50">
            <w:pPr>
              <w:spacing w:before="0" w:line="240" w:lineRule="auto"/>
              <w:jc w:val="center"/>
              <w:rPr>
                <w:rFonts w:eastAsia="Times New Roman"/>
                <w:b/>
                <w:bCs/>
                <w:i/>
                <w:color w:val="000000"/>
                <w:lang w:eastAsia="en-GB"/>
              </w:rPr>
            </w:pPr>
            <w:r w:rsidRPr="00FD0FA3">
              <w:rPr>
                <w:rFonts w:eastAsia="Times New Roman"/>
                <w:b/>
                <w:bCs/>
                <w:i/>
                <w:color w:val="000000"/>
                <w:lang w:eastAsia="en-GB"/>
              </w:rPr>
              <w:t>R</w:t>
            </w:r>
          </w:p>
        </w:tc>
        <w:tc>
          <w:tcPr>
            <w:tcW w:w="1266" w:type="dxa"/>
            <w:tcBorders>
              <w:top w:val="single" w:sz="4" w:space="0" w:color="auto"/>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b/>
                <w:bCs/>
                <w:color w:val="000000"/>
                <w:lang w:eastAsia="en-GB"/>
              </w:rPr>
            </w:pPr>
            <w:r w:rsidRPr="00FD0FA3">
              <w:rPr>
                <w:rFonts w:eastAsia="Times New Roman"/>
                <w:b/>
                <w:bCs/>
                <w:i/>
                <w:color w:val="000000"/>
                <w:lang w:eastAsia="en-GB"/>
              </w:rPr>
              <w:t>R</w:t>
            </w:r>
            <w:r w:rsidRPr="00FD0FA3">
              <w:rPr>
                <w:rFonts w:eastAsia="Times New Roman"/>
                <w:b/>
                <w:bCs/>
                <w:color w:val="000000"/>
                <w:vertAlign w:val="superscript"/>
                <w:lang w:eastAsia="en-GB"/>
              </w:rPr>
              <w:t>2</w:t>
            </w:r>
          </w:p>
        </w:tc>
        <w:tc>
          <w:tcPr>
            <w:tcW w:w="1234" w:type="dxa"/>
            <w:tcBorders>
              <w:top w:val="single" w:sz="4" w:space="0" w:color="auto"/>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a</w:t>
            </w:r>
            <w:r w:rsidRPr="00BE2EF2">
              <w:rPr>
                <w:rFonts w:eastAsia="Times New Roman"/>
                <w:b/>
                <w:bCs/>
                <w:color w:val="000000"/>
                <w:lang w:eastAsia="en-GB"/>
              </w:rPr>
              <w:t xml:space="preserve">djusted </w:t>
            </w:r>
            <w:r w:rsidRPr="00FD0FA3">
              <w:rPr>
                <w:rFonts w:eastAsia="Times New Roman"/>
                <w:b/>
                <w:bCs/>
                <w:i/>
                <w:color w:val="000000"/>
                <w:lang w:eastAsia="en-GB"/>
              </w:rPr>
              <w:t>R</w:t>
            </w:r>
            <w:r w:rsidRPr="00FD0FA3">
              <w:rPr>
                <w:rFonts w:eastAsia="Times New Roman"/>
                <w:b/>
                <w:bCs/>
                <w:color w:val="000000"/>
                <w:vertAlign w:val="superscript"/>
                <w:lang w:eastAsia="en-GB"/>
              </w:rPr>
              <w:t>2</w:t>
            </w:r>
          </w:p>
        </w:tc>
        <w:tc>
          <w:tcPr>
            <w:tcW w:w="1118" w:type="dxa"/>
            <w:tcBorders>
              <w:top w:val="single" w:sz="4" w:space="0" w:color="auto"/>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std. e</w:t>
            </w:r>
            <w:r w:rsidRPr="00BE2EF2">
              <w:rPr>
                <w:rFonts w:eastAsia="Times New Roman"/>
                <w:b/>
                <w:bCs/>
                <w:color w:val="000000"/>
                <w:lang w:eastAsia="en-GB"/>
              </w:rPr>
              <w:t>rror of the estimate</w:t>
            </w:r>
          </w:p>
        </w:tc>
        <w:tc>
          <w:tcPr>
            <w:tcW w:w="1155" w:type="dxa"/>
            <w:tcBorders>
              <w:top w:val="single" w:sz="4" w:space="0" w:color="auto"/>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b/>
                <w:bCs/>
                <w:color w:val="000000"/>
                <w:lang w:eastAsia="en-GB"/>
              </w:rPr>
            </w:pPr>
            <w:r w:rsidRPr="00BE2EF2">
              <w:rPr>
                <w:rFonts w:eastAsia="Times New Roman"/>
                <w:b/>
                <w:bCs/>
                <w:color w:val="000000"/>
                <w:lang w:eastAsia="en-GB"/>
              </w:rPr>
              <w:t>Durbin-Watson</w:t>
            </w:r>
          </w:p>
        </w:tc>
      </w:tr>
      <w:tr w:rsidR="00966D50" w:rsidRPr="00BE2EF2" w:rsidTr="00FB1519">
        <w:trPr>
          <w:trHeight w:val="360"/>
        </w:trPr>
        <w:tc>
          <w:tcPr>
            <w:tcW w:w="2096" w:type="dxa"/>
            <w:vMerge w:val="restart"/>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i/>
                <w:iCs/>
                <w:color w:val="000000"/>
                <w:lang w:eastAsia="en-GB"/>
              </w:rPr>
              <w:t>Pan troglodytes</w:t>
            </w:r>
            <w:r w:rsidRPr="00BE2EF2">
              <w:rPr>
                <w:rFonts w:eastAsia="Times New Roman"/>
                <w:color w:val="000000"/>
                <w:lang w:eastAsia="en-GB"/>
              </w:rPr>
              <w:t xml:space="preserve"> females</w:t>
            </w:r>
          </w:p>
        </w:tc>
        <w:tc>
          <w:tcPr>
            <w:tcW w:w="1135"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humerus</w:t>
            </w:r>
          </w:p>
        </w:tc>
        <w:tc>
          <w:tcPr>
            <w:tcW w:w="800"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0.93</w:t>
            </w:r>
          </w:p>
        </w:tc>
        <w:tc>
          <w:tcPr>
            <w:tcW w:w="1266"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0.866</w:t>
            </w:r>
          </w:p>
        </w:tc>
        <w:tc>
          <w:tcPr>
            <w:tcW w:w="1234"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0.864</w:t>
            </w:r>
          </w:p>
        </w:tc>
        <w:tc>
          <w:tcPr>
            <w:tcW w:w="1118"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5.5815</w:t>
            </w:r>
          </w:p>
        </w:tc>
        <w:tc>
          <w:tcPr>
            <w:tcW w:w="1155"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1.576</w:t>
            </w:r>
          </w:p>
        </w:tc>
      </w:tr>
      <w:tr w:rsidR="00966D50" w:rsidRPr="00BE2EF2" w:rsidTr="00FB1519">
        <w:trPr>
          <w:trHeight w:val="300"/>
        </w:trPr>
        <w:tc>
          <w:tcPr>
            <w:tcW w:w="2096" w:type="dxa"/>
            <w:vMerge/>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radius</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0.917</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0.84</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0.838</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16.7815</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1.959</w:t>
            </w:r>
          </w:p>
        </w:tc>
      </w:tr>
      <w:tr w:rsidR="00966D50" w:rsidRPr="00BE2EF2" w:rsidTr="00FB1519">
        <w:trPr>
          <w:trHeight w:val="300"/>
        </w:trPr>
        <w:tc>
          <w:tcPr>
            <w:tcW w:w="2096" w:type="dxa"/>
            <w:vMerge/>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ulna</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0.898</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0.807</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0.803</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16.3876</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2.441</w:t>
            </w:r>
          </w:p>
        </w:tc>
      </w:tr>
      <w:tr w:rsidR="00966D50" w:rsidRPr="00BE2EF2" w:rsidTr="00FB1519">
        <w:trPr>
          <w:trHeight w:val="300"/>
        </w:trPr>
        <w:tc>
          <w:tcPr>
            <w:tcW w:w="2096" w:type="dxa"/>
            <w:vMerge/>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femur</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0.926</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0.857</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0.855</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19.2221</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1.674</w:t>
            </w:r>
          </w:p>
        </w:tc>
      </w:tr>
      <w:tr w:rsidR="00966D50" w:rsidRPr="00BE2EF2" w:rsidTr="00FB1519">
        <w:trPr>
          <w:trHeight w:val="300"/>
        </w:trPr>
        <w:tc>
          <w:tcPr>
            <w:tcW w:w="2096" w:type="dxa"/>
            <w:vMerge/>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tibia</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0.926</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0.857</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0.855</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16.7748</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1.741</w:t>
            </w:r>
          </w:p>
        </w:tc>
      </w:tr>
      <w:tr w:rsidR="00966D50" w:rsidRPr="00BE2EF2" w:rsidTr="00FB1519">
        <w:trPr>
          <w:trHeight w:val="300"/>
        </w:trPr>
        <w:tc>
          <w:tcPr>
            <w:tcW w:w="2096" w:type="dxa"/>
            <w:vMerge/>
            <w:tcBorders>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p>
        </w:tc>
        <w:tc>
          <w:tcPr>
            <w:tcW w:w="1135" w:type="dxa"/>
            <w:tcBorders>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fibula</w:t>
            </w:r>
          </w:p>
        </w:tc>
        <w:tc>
          <w:tcPr>
            <w:tcW w:w="800" w:type="dxa"/>
            <w:tcBorders>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0.868</w:t>
            </w:r>
          </w:p>
        </w:tc>
        <w:tc>
          <w:tcPr>
            <w:tcW w:w="1266" w:type="dxa"/>
            <w:tcBorders>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0.753</w:t>
            </w:r>
          </w:p>
        </w:tc>
        <w:tc>
          <w:tcPr>
            <w:tcW w:w="1234" w:type="dxa"/>
            <w:tcBorders>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0.749</w:t>
            </w:r>
          </w:p>
        </w:tc>
        <w:tc>
          <w:tcPr>
            <w:tcW w:w="1118" w:type="dxa"/>
            <w:tcBorders>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15.0836</w:t>
            </w:r>
          </w:p>
        </w:tc>
        <w:tc>
          <w:tcPr>
            <w:tcW w:w="1155" w:type="dxa"/>
            <w:tcBorders>
              <w:bottom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1.922</w:t>
            </w:r>
          </w:p>
        </w:tc>
      </w:tr>
      <w:tr w:rsidR="00966D50" w:rsidRPr="00BE2EF2" w:rsidTr="00FB1519">
        <w:trPr>
          <w:trHeight w:val="300"/>
        </w:trPr>
        <w:tc>
          <w:tcPr>
            <w:tcW w:w="2096" w:type="dxa"/>
            <w:vMerge w:val="restart"/>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i/>
                <w:iCs/>
                <w:color w:val="000000"/>
                <w:lang w:eastAsia="en-GB"/>
              </w:rPr>
              <w:t>Pan troglodytes</w:t>
            </w:r>
            <w:r w:rsidRPr="00BE2EF2">
              <w:rPr>
                <w:rFonts w:eastAsia="Times New Roman"/>
                <w:color w:val="000000"/>
                <w:lang w:eastAsia="en-GB"/>
              </w:rPr>
              <w:t xml:space="preserve"> males</w:t>
            </w:r>
          </w:p>
        </w:tc>
        <w:tc>
          <w:tcPr>
            <w:tcW w:w="1135"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humerus</w:t>
            </w:r>
          </w:p>
        </w:tc>
        <w:tc>
          <w:tcPr>
            <w:tcW w:w="800"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0.875</w:t>
            </w:r>
          </w:p>
        </w:tc>
        <w:tc>
          <w:tcPr>
            <w:tcW w:w="1266"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0.766</w:t>
            </w:r>
          </w:p>
        </w:tc>
        <w:tc>
          <w:tcPr>
            <w:tcW w:w="1234"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0.761</w:t>
            </w:r>
          </w:p>
        </w:tc>
        <w:tc>
          <w:tcPr>
            <w:tcW w:w="1118"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22.8207</w:t>
            </w:r>
          </w:p>
        </w:tc>
        <w:tc>
          <w:tcPr>
            <w:tcW w:w="1155" w:type="dxa"/>
            <w:tcBorders>
              <w:top w:val="single" w:sz="4" w:space="0" w:color="auto"/>
            </w:tcBorders>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1.705</w:t>
            </w:r>
          </w:p>
        </w:tc>
      </w:tr>
      <w:tr w:rsidR="00966D50" w:rsidRPr="00BE2EF2" w:rsidTr="00FB1519">
        <w:trPr>
          <w:trHeight w:val="300"/>
        </w:trPr>
        <w:tc>
          <w:tcPr>
            <w:tcW w:w="2096" w:type="dxa"/>
            <w:vMerge/>
            <w:shd w:val="clear" w:color="auto" w:fill="auto"/>
            <w:noWrap/>
            <w:vAlign w:val="center"/>
            <w:hideMark/>
          </w:tcPr>
          <w:p w:rsidR="00966D50" w:rsidRPr="00BE2EF2" w:rsidRDefault="00966D50" w:rsidP="00966D50">
            <w:pPr>
              <w:spacing w:before="0" w:line="240" w:lineRule="auto"/>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radius</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0.933</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0.87</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0.867</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16.0328</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themeColor="text1"/>
                <w:lang w:eastAsia="en-GB"/>
              </w:rPr>
              <w:t>1.865</w:t>
            </w:r>
          </w:p>
        </w:tc>
      </w:tr>
      <w:tr w:rsidR="00966D50" w:rsidRPr="00BE2EF2" w:rsidTr="00FB1519">
        <w:trPr>
          <w:trHeight w:val="315"/>
        </w:trPr>
        <w:tc>
          <w:tcPr>
            <w:tcW w:w="2096" w:type="dxa"/>
            <w:vMerge/>
            <w:shd w:val="clear" w:color="auto" w:fill="auto"/>
            <w:noWrap/>
            <w:vAlign w:val="center"/>
            <w:hideMark/>
          </w:tcPr>
          <w:p w:rsidR="00966D50" w:rsidRPr="00BE2EF2" w:rsidRDefault="00966D50" w:rsidP="00966D50">
            <w:pPr>
              <w:spacing w:before="0" w:line="240" w:lineRule="auto"/>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ulna</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0.956</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0.915</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0.911</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15.6222</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1.811</w:t>
            </w:r>
          </w:p>
        </w:tc>
      </w:tr>
      <w:tr w:rsidR="00966D50" w:rsidRPr="00BE2EF2" w:rsidTr="00FB1519">
        <w:trPr>
          <w:trHeight w:val="375"/>
        </w:trPr>
        <w:tc>
          <w:tcPr>
            <w:tcW w:w="2096" w:type="dxa"/>
            <w:vMerge/>
            <w:shd w:val="clear" w:color="auto" w:fill="auto"/>
            <w:noWrap/>
            <w:vAlign w:val="center"/>
            <w:hideMark/>
          </w:tcPr>
          <w:p w:rsidR="00966D50" w:rsidRPr="00BE2EF2" w:rsidRDefault="00966D50" w:rsidP="00966D50">
            <w:pPr>
              <w:spacing w:before="0" w:line="240" w:lineRule="auto"/>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femur</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0.951</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0.904</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0.903</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15.4383</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1.962</w:t>
            </w:r>
          </w:p>
        </w:tc>
      </w:tr>
      <w:tr w:rsidR="00966D50" w:rsidRPr="00BE2EF2" w:rsidTr="00FB1519">
        <w:trPr>
          <w:trHeight w:val="345"/>
        </w:trPr>
        <w:tc>
          <w:tcPr>
            <w:tcW w:w="2096" w:type="dxa"/>
            <w:vMerge/>
            <w:shd w:val="clear" w:color="auto" w:fill="auto"/>
            <w:noWrap/>
            <w:vAlign w:val="center"/>
            <w:hideMark/>
          </w:tcPr>
          <w:p w:rsidR="00966D50" w:rsidRPr="00BE2EF2" w:rsidRDefault="00966D50" w:rsidP="00966D50">
            <w:pPr>
              <w:spacing w:before="0" w:line="240" w:lineRule="auto"/>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tibia</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0.941</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0.886</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0.884</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14.3676</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2.026</w:t>
            </w:r>
          </w:p>
        </w:tc>
      </w:tr>
      <w:tr w:rsidR="00966D50" w:rsidRPr="00BE2EF2" w:rsidTr="00FB1519">
        <w:trPr>
          <w:cantSplit/>
          <w:trHeight w:val="345"/>
        </w:trPr>
        <w:tc>
          <w:tcPr>
            <w:tcW w:w="2096" w:type="dxa"/>
            <w:vMerge/>
            <w:shd w:val="clear" w:color="auto" w:fill="auto"/>
            <w:noWrap/>
            <w:vAlign w:val="center"/>
            <w:hideMark/>
          </w:tcPr>
          <w:p w:rsidR="00966D50" w:rsidRPr="00BE2EF2" w:rsidRDefault="00966D50" w:rsidP="00966D50">
            <w:pPr>
              <w:spacing w:before="0" w:line="240" w:lineRule="auto"/>
              <w:rPr>
                <w:rFonts w:eastAsia="Times New Roman"/>
                <w:color w:val="000000"/>
                <w:lang w:eastAsia="en-GB"/>
              </w:rPr>
            </w:pPr>
          </w:p>
        </w:tc>
        <w:tc>
          <w:tcPr>
            <w:tcW w:w="113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fibula</w:t>
            </w:r>
          </w:p>
        </w:tc>
        <w:tc>
          <w:tcPr>
            <w:tcW w:w="800"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0.952</w:t>
            </w:r>
          </w:p>
        </w:tc>
        <w:tc>
          <w:tcPr>
            <w:tcW w:w="1266"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0.906</w:t>
            </w:r>
          </w:p>
        </w:tc>
        <w:tc>
          <w:tcPr>
            <w:tcW w:w="1234"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0.904</w:t>
            </w:r>
          </w:p>
        </w:tc>
        <w:tc>
          <w:tcPr>
            <w:tcW w:w="1118"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11.1698</w:t>
            </w:r>
          </w:p>
        </w:tc>
        <w:tc>
          <w:tcPr>
            <w:tcW w:w="1155" w:type="dxa"/>
            <w:shd w:val="clear" w:color="auto" w:fill="auto"/>
            <w:noWrap/>
            <w:vAlign w:val="center"/>
            <w:hideMark/>
          </w:tcPr>
          <w:p w:rsidR="00966D50" w:rsidRPr="00BE2EF2" w:rsidRDefault="00966D50" w:rsidP="00966D50">
            <w:pPr>
              <w:spacing w:before="0" w:line="240" w:lineRule="auto"/>
              <w:jc w:val="center"/>
              <w:rPr>
                <w:rFonts w:eastAsia="Times New Roman"/>
                <w:color w:val="000000"/>
                <w:lang w:eastAsia="en-GB"/>
              </w:rPr>
            </w:pPr>
            <w:r w:rsidRPr="00BE2EF2">
              <w:rPr>
                <w:rFonts w:eastAsia="Times New Roman"/>
                <w:color w:val="000000"/>
                <w:lang w:eastAsia="en-GB"/>
              </w:rPr>
              <w:t>2.082</w:t>
            </w:r>
          </w:p>
        </w:tc>
      </w:tr>
    </w:tbl>
    <w:p w:rsidR="00966D50" w:rsidRDefault="00BB6CE4" w:rsidP="00733544">
      <w:pPr>
        <w:pStyle w:val="Table"/>
      </w:pPr>
      <w:r w:rsidRPr="00BB6CE4">
        <w:rPr>
          <w:b/>
        </w:rPr>
        <w:t>Table 8.8</w:t>
      </w:r>
      <w:r w:rsidR="00966D50">
        <w:rPr>
          <w:i/>
        </w:rPr>
        <w:t xml:space="preserve"> </w:t>
      </w:r>
      <w:bookmarkStart w:id="3523" w:name="_Toc373177890"/>
      <w:bookmarkStart w:id="3524" w:name="_Toc373484429"/>
      <w:r w:rsidR="00966D50">
        <w:rPr>
          <w:i/>
        </w:rPr>
        <w:t>Pan troglodytes</w:t>
      </w:r>
      <w:r w:rsidR="00966D50">
        <w:t xml:space="preserve"> females linear regression ANOVA outputs for all long-bones as plotted against dental score.</w:t>
      </w:r>
      <w:bookmarkEnd w:id="3523"/>
      <w:bookmarkEnd w:id="3524"/>
    </w:p>
    <w:tbl>
      <w:tblPr>
        <w:tblW w:w="8994" w:type="dxa"/>
        <w:tblInd w:w="93" w:type="dxa"/>
        <w:tblBorders>
          <w:top w:val="single" w:sz="4" w:space="0" w:color="auto"/>
          <w:bottom w:val="single" w:sz="4" w:space="0" w:color="auto"/>
        </w:tblBorders>
        <w:tblLook w:val="04A0" w:firstRow="1" w:lastRow="0" w:firstColumn="1" w:lastColumn="0" w:noHBand="0" w:noVBand="1"/>
      </w:tblPr>
      <w:tblGrid>
        <w:gridCol w:w="974"/>
        <w:gridCol w:w="1876"/>
        <w:gridCol w:w="1724"/>
        <w:gridCol w:w="960"/>
        <w:gridCol w:w="1569"/>
        <w:gridCol w:w="931"/>
        <w:gridCol w:w="960"/>
      </w:tblGrid>
      <w:tr w:rsidR="00966D50" w:rsidRPr="00A43123" w:rsidTr="00FB1519">
        <w:trPr>
          <w:trHeight w:val="300"/>
        </w:trPr>
        <w:tc>
          <w:tcPr>
            <w:tcW w:w="974" w:type="dxa"/>
            <w:tcBorders>
              <w:top w:val="single" w:sz="4" w:space="0" w:color="auto"/>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b</w:t>
            </w:r>
            <w:r w:rsidRPr="00A43123">
              <w:rPr>
                <w:rFonts w:eastAsia="Times New Roman"/>
                <w:b/>
                <w:bCs/>
                <w:color w:val="000000"/>
                <w:lang w:eastAsia="en-GB"/>
              </w:rPr>
              <w:t>one</w:t>
            </w:r>
          </w:p>
        </w:tc>
        <w:tc>
          <w:tcPr>
            <w:tcW w:w="1876" w:type="dxa"/>
            <w:tcBorders>
              <w:top w:val="single" w:sz="4" w:space="0" w:color="auto"/>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m</w:t>
            </w:r>
            <w:r w:rsidRPr="00A43123">
              <w:rPr>
                <w:rFonts w:eastAsia="Times New Roman"/>
                <w:b/>
                <w:bCs/>
                <w:color w:val="000000"/>
                <w:lang w:eastAsia="en-GB"/>
              </w:rPr>
              <w:t>odel</w:t>
            </w:r>
          </w:p>
        </w:tc>
        <w:tc>
          <w:tcPr>
            <w:tcW w:w="1724" w:type="dxa"/>
            <w:tcBorders>
              <w:top w:val="single" w:sz="4" w:space="0" w:color="auto"/>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s</w:t>
            </w:r>
            <w:r w:rsidRPr="00A43123">
              <w:rPr>
                <w:rFonts w:eastAsia="Times New Roman"/>
                <w:b/>
                <w:bCs/>
                <w:color w:val="000000"/>
                <w:lang w:eastAsia="en-GB"/>
              </w:rPr>
              <w:t xml:space="preserve">um of </w:t>
            </w:r>
            <w:r>
              <w:rPr>
                <w:rFonts w:eastAsia="Times New Roman"/>
                <w:b/>
                <w:bCs/>
                <w:color w:val="000000"/>
                <w:lang w:eastAsia="en-GB"/>
              </w:rPr>
              <w:t>s</w:t>
            </w:r>
            <w:r w:rsidRPr="00A43123">
              <w:rPr>
                <w:rFonts w:eastAsia="Times New Roman"/>
                <w:b/>
                <w:bCs/>
                <w:color w:val="000000"/>
                <w:lang w:eastAsia="en-GB"/>
              </w:rPr>
              <w:t>quares</w:t>
            </w:r>
          </w:p>
        </w:tc>
        <w:tc>
          <w:tcPr>
            <w:tcW w:w="960" w:type="dxa"/>
            <w:tcBorders>
              <w:top w:val="single" w:sz="4" w:space="0" w:color="auto"/>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d</w:t>
            </w:r>
            <w:r w:rsidRPr="00A43123">
              <w:rPr>
                <w:rFonts w:eastAsia="Times New Roman"/>
                <w:b/>
                <w:bCs/>
                <w:color w:val="000000"/>
                <w:lang w:eastAsia="en-GB"/>
              </w:rPr>
              <w:t>f</w:t>
            </w:r>
          </w:p>
        </w:tc>
        <w:tc>
          <w:tcPr>
            <w:tcW w:w="1569" w:type="dxa"/>
            <w:tcBorders>
              <w:top w:val="single" w:sz="4" w:space="0" w:color="auto"/>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m</w:t>
            </w:r>
            <w:r w:rsidRPr="00A43123">
              <w:rPr>
                <w:rFonts w:eastAsia="Times New Roman"/>
                <w:b/>
                <w:bCs/>
                <w:color w:val="000000"/>
                <w:lang w:eastAsia="en-GB"/>
              </w:rPr>
              <w:t xml:space="preserve">ean </w:t>
            </w:r>
            <w:r>
              <w:rPr>
                <w:rFonts w:eastAsia="Times New Roman"/>
                <w:b/>
                <w:bCs/>
                <w:color w:val="000000"/>
                <w:lang w:eastAsia="en-GB"/>
              </w:rPr>
              <w:t>s</w:t>
            </w:r>
            <w:r w:rsidRPr="00A43123">
              <w:rPr>
                <w:rFonts w:eastAsia="Times New Roman"/>
                <w:b/>
                <w:bCs/>
                <w:color w:val="000000"/>
                <w:lang w:eastAsia="en-GB"/>
              </w:rPr>
              <w:t>quare</w:t>
            </w:r>
          </w:p>
        </w:tc>
        <w:tc>
          <w:tcPr>
            <w:tcW w:w="931" w:type="dxa"/>
            <w:tcBorders>
              <w:top w:val="single" w:sz="4" w:space="0" w:color="auto"/>
              <w:bottom w:val="single" w:sz="4" w:space="0" w:color="auto"/>
            </w:tcBorders>
            <w:shd w:val="clear" w:color="auto" w:fill="auto"/>
            <w:noWrap/>
            <w:vAlign w:val="center"/>
            <w:hideMark/>
          </w:tcPr>
          <w:p w:rsidR="00966D50" w:rsidRPr="00FD0FA3" w:rsidRDefault="00966D50" w:rsidP="00966D50">
            <w:pPr>
              <w:spacing w:before="0" w:line="240" w:lineRule="auto"/>
              <w:jc w:val="center"/>
              <w:rPr>
                <w:rFonts w:eastAsia="Times New Roman"/>
                <w:b/>
                <w:bCs/>
                <w:i/>
                <w:color w:val="000000"/>
                <w:lang w:eastAsia="en-GB"/>
              </w:rPr>
            </w:pPr>
            <w:r w:rsidRPr="00FD0FA3">
              <w:rPr>
                <w:rFonts w:eastAsia="Times New Roman"/>
                <w:b/>
                <w:bCs/>
                <w:i/>
                <w:color w:val="000000"/>
                <w:lang w:eastAsia="en-GB"/>
              </w:rPr>
              <w:t>F</w:t>
            </w:r>
          </w:p>
        </w:tc>
        <w:tc>
          <w:tcPr>
            <w:tcW w:w="960" w:type="dxa"/>
            <w:tcBorders>
              <w:top w:val="single" w:sz="4" w:space="0" w:color="auto"/>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s</w:t>
            </w:r>
            <w:r w:rsidRPr="00A43123">
              <w:rPr>
                <w:rFonts w:eastAsia="Times New Roman"/>
                <w:b/>
                <w:bCs/>
                <w:color w:val="000000"/>
                <w:lang w:eastAsia="en-GB"/>
              </w:rPr>
              <w:t>ig.</w:t>
            </w:r>
          </w:p>
        </w:tc>
      </w:tr>
      <w:tr w:rsidR="00966D50" w:rsidRPr="00A43123" w:rsidTr="00FB1519">
        <w:trPr>
          <w:trHeight w:hRule="exact" w:val="284"/>
        </w:trPr>
        <w:tc>
          <w:tcPr>
            <w:tcW w:w="974" w:type="dxa"/>
            <w:vMerge w:val="restart"/>
            <w:tcBorders>
              <w:top w:val="single" w:sz="4" w:space="0" w:color="auto"/>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humerus</w:t>
            </w:r>
          </w:p>
        </w:tc>
        <w:tc>
          <w:tcPr>
            <w:tcW w:w="1876" w:type="dxa"/>
            <w:tcBorders>
              <w:top w:val="single" w:sz="4" w:space="0" w:color="auto"/>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egression</w:t>
            </w:r>
          </w:p>
        </w:tc>
        <w:tc>
          <w:tcPr>
            <w:tcW w:w="1724" w:type="dxa"/>
            <w:tcBorders>
              <w:top w:val="single" w:sz="4" w:space="0" w:color="auto"/>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15867.07</w:t>
            </w:r>
          </w:p>
        </w:tc>
        <w:tc>
          <w:tcPr>
            <w:tcW w:w="960" w:type="dxa"/>
            <w:tcBorders>
              <w:top w:val="single" w:sz="4" w:space="0" w:color="auto"/>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w:t>
            </w:r>
          </w:p>
        </w:tc>
        <w:tc>
          <w:tcPr>
            <w:tcW w:w="1569" w:type="dxa"/>
            <w:tcBorders>
              <w:top w:val="single" w:sz="4" w:space="0" w:color="auto"/>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15867.07</w:t>
            </w:r>
          </w:p>
        </w:tc>
        <w:tc>
          <w:tcPr>
            <w:tcW w:w="931" w:type="dxa"/>
            <w:tcBorders>
              <w:top w:val="single" w:sz="4" w:space="0" w:color="auto"/>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509.324</w:t>
            </w:r>
          </w:p>
        </w:tc>
        <w:tc>
          <w:tcPr>
            <w:tcW w:w="960" w:type="dxa"/>
            <w:tcBorders>
              <w:top w:val="single" w:sz="4" w:space="0" w:color="auto"/>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0.000</w:t>
            </w:r>
          </w:p>
        </w:tc>
      </w:tr>
      <w:tr w:rsidR="00966D50" w:rsidRPr="00A43123" w:rsidTr="00FB1519">
        <w:trPr>
          <w:trHeight w:hRule="exact" w:val="284"/>
        </w:trPr>
        <w:tc>
          <w:tcPr>
            <w:tcW w:w="974" w:type="dxa"/>
            <w:vMerge/>
            <w:tcBorders>
              <w:top w:val="nil"/>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tcBorders>
              <w:top w:val="nil"/>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esidual</w:t>
            </w:r>
          </w:p>
        </w:tc>
        <w:tc>
          <w:tcPr>
            <w:tcW w:w="1724" w:type="dxa"/>
            <w:tcBorders>
              <w:top w:val="nil"/>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2461.102</w:t>
            </w:r>
          </w:p>
        </w:tc>
        <w:tc>
          <w:tcPr>
            <w:tcW w:w="960" w:type="dxa"/>
            <w:tcBorders>
              <w:top w:val="nil"/>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79</w:t>
            </w:r>
          </w:p>
        </w:tc>
        <w:tc>
          <w:tcPr>
            <w:tcW w:w="1569" w:type="dxa"/>
            <w:tcBorders>
              <w:top w:val="nil"/>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31.153</w:t>
            </w:r>
          </w:p>
        </w:tc>
        <w:tc>
          <w:tcPr>
            <w:tcW w:w="931" w:type="dxa"/>
            <w:tcBorders>
              <w:top w:val="nil"/>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tcBorders>
              <w:top w:val="nil"/>
              <w:bottom w:val="nil"/>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tcBorders>
              <w:top w:val="nil"/>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tcBorders>
              <w:top w:val="nil"/>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A43123">
              <w:rPr>
                <w:rFonts w:eastAsia="Times New Roman"/>
                <w:color w:val="000000"/>
                <w:lang w:eastAsia="en-GB"/>
              </w:rPr>
              <w:t>otal</w:t>
            </w:r>
          </w:p>
        </w:tc>
        <w:tc>
          <w:tcPr>
            <w:tcW w:w="1724" w:type="dxa"/>
            <w:tcBorders>
              <w:top w:val="nil"/>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18328.173</w:t>
            </w:r>
          </w:p>
        </w:tc>
        <w:tc>
          <w:tcPr>
            <w:tcW w:w="960" w:type="dxa"/>
            <w:tcBorders>
              <w:top w:val="nil"/>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80</w:t>
            </w:r>
          </w:p>
        </w:tc>
        <w:tc>
          <w:tcPr>
            <w:tcW w:w="1569" w:type="dxa"/>
            <w:tcBorders>
              <w:top w:val="nil"/>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31" w:type="dxa"/>
            <w:tcBorders>
              <w:top w:val="nil"/>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tcBorders>
              <w:top w:val="nil"/>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val="restart"/>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radius</w:t>
            </w:r>
          </w:p>
        </w:tc>
        <w:tc>
          <w:tcPr>
            <w:tcW w:w="1876"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egression</w:t>
            </w:r>
          </w:p>
        </w:tc>
        <w:tc>
          <w:tcPr>
            <w:tcW w:w="1724"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106745.598</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w:t>
            </w:r>
          </w:p>
        </w:tc>
        <w:tc>
          <w:tcPr>
            <w:tcW w:w="1569"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106745.598</w:t>
            </w:r>
          </w:p>
        </w:tc>
        <w:tc>
          <w:tcPr>
            <w:tcW w:w="931"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379.043</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0.000</w:t>
            </w:r>
          </w:p>
        </w:tc>
      </w:tr>
      <w:tr w:rsidR="00966D50" w:rsidRPr="00A43123" w:rsidTr="00FB1519">
        <w:trPr>
          <w:trHeight w:hRule="exact" w:val="284"/>
        </w:trPr>
        <w:tc>
          <w:tcPr>
            <w:tcW w:w="974" w:type="dxa"/>
            <w:vMerge/>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esidual</w:t>
            </w:r>
          </w:p>
        </w:tc>
        <w:tc>
          <w:tcPr>
            <w:tcW w:w="1724"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20276.527</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72</w:t>
            </w:r>
          </w:p>
        </w:tc>
        <w:tc>
          <w:tcPr>
            <w:tcW w:w="1569"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281.618</w:t>
            </w:r>
          </w:p>
        </w:tc>
        <w:tc>
          <w:tcPr>
            <w:tcW w:w="931"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A43123">
              <w:rPr>
                <w:rFonts w:eastAsia="Times New Roman"/>
                <w:color w:val="000000"/>
                <w:lang w:eastAsia="en-GB"/>
              </w:rPr>
              <w:t>otal</w:t>
            </w:r>
          </w:p>
        </w:tc>
        <w:tc>
          <w:tcPr>
            <w:tcW w:w="1724"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127022.125</w:t>
            </w:r>
          </w:p>
        </w:tc>
        <w:tc>
          <w:tcPr>
            <w:tcW w:w="960"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73</w:t>
            </w:r>
          </w:p>
        </w:tc>
        <w:tc>
          <w:tcPr>
            <w:tcW w:w="1569"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31"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val="restart"/>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ulna</w:t>
            </w:r>
          </w:p>
        </w:tc>
        <w:tc>
          <w:tcPr>
            <w:tcW w:w="1876"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egression</w:t>
            </w:r>
          </w:p>
        </w:tc>
        <w:tc>
          <w:tcPr>
            <w:tcW w:w="1724"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58379.325</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w:t>
            </w:r>
          </w:p>
        </w:tc>
        <w:tc>
          <w:tcPr>
            <w:tcW w:w="1569"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58379.325</w:t>
            </w:r>
          </w:p>
        </w:tc>
        <w:tc>
          <w:tcPr>
            <w:tcW w:w="931"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217.386</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0.000</w:t>
            </w:r>
          </w:p>
        </w:tc>
      </w:tr>
      <w:tr w:rsidR="00966D50" w:rsidRPr="00A43123" w:rsidTr="00FB1519">
        <w:trPr>
          <w:trHeight w:hRule="exact" w:val="284"/>
        </w:trPr>
        <w:tc>
          <w:tcPr>
            <w:tcW w:w="974" w:type="dxa"/>
            <w:vMerge/>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esidual</w:t>
            </w:r>
          </w:p>
        </w:tc>
        <w:tc>
          <w:tcPr>
            <w:tcW w:w="1724"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13964.698</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52</w:t>
            </w:r>
          </w:p>
        </w:tc>
        <w:tc>
          <w:tcPr>
            <w:tcW w:w="1569"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268.552</w:t>
            </w:r>
          </w:p>
        </w:tc>
        <w:tc>
          <w:tcPr>
            <w:tcW w:w="931"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A43123">
              <w:rPr>
                <w:rFonts w:eastAsia="Times New Roman"/>
                <w:color w:val="000000"/>
                <w:lang w:eastAsia="en-GB"/>
              </w:rPr>
              <w:t>otal</w:t>
            </w:r>
          </w:p>
        </w:tc>
        <w:tc>
          <w:tcPr>
            <w:tcW w:w="1724"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72344.023</w:t>
            </w:r>
          </w:p>
        </w:tc>
        <w:tc>
          <w:tcPr>
            <w:tcW w:w="960"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53</w:t>
            </w:r>
          </w:p>
        </w:tc>
        <w:tc>
          <w:tcPr>
            <w:tcW w:w="1569"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31"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val="restart"/>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femur</w:t>
            </w:r>
          </w:p>
        </w:tc>
        <w:tc>
          <w:tcPr>
            <w:tcW w:w="1876"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egression</w:t>
            </w:r>
          </w:p>
        </w:tc>
        <w:tc>
          <w:tcPr>
            <w:tcW w:w="1724"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176650.194</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w:t>
            </w:r>
          </w:p>
        </w:tc>
        <w:tc>
          <w:tcPr>
            <w:tcW w:w="1569"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176650.194</w:t>
            </w:r>
          </w:p>
        </w:tc>
        <w:tc>
          <w:tcPr>
            <w:tcW w:w="931"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478.091</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0.000</w:t>
            </w:r>
          </w:p>
        </w:tc>
      </w:tr>
      <w:tr w:rsidR="00966D50" w:rsidRPr="00A43123" w:rsidTr="00FB1519">
        <w:trPr>
          <w:trHeight w:hRule="exact" w:val="284"/>
        </w:trPr>
        <w:tc>
          <w:tcPr>
            <w:tcW w:w="974" w:type="dxa"/>
            <w:vMerge/>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esidual</w:t>
            </w:r>
          </w:p>
        </w:tc>
        <w:tc>
          <w:tcPr>
            <w:tcW w:w="1724"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29559.245</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80</w:t>
            </w:r>
          </w:p>
        </w:tc>
        <w:tc>
          <w:tcPr>
            <w:tcW w:w="1569"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369.491</w:t>
            </w:r>
          </w:p>
        </w:tc>
        <w:tc>
          <w:tcPr>
            <w:tcW w:w="931"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A43123">
              <w:rPr>
                <w:rFonts w:eastAsia="Times New Roman"/>
                <w:color w:val="000000"/>
                <w:lang w:eastAsia="en-GB"/>
              </w:rPr>
              <w:t>otal</w:t>
            </w:r>
          </w:p>
        </w:tc>
        <w:tc>
          <w:tcPr>
            <w:tcW w:w="1724"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206209.439</w:t>
            </w:r>
          </w:p>
        </w:tc>
        <w:tc>
          <w:tcPr>
            <w:tcW w:w="960"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81</w:t>
            </w:r>
          </w:p>
        </w:tc>
        <w:tc>
          <w:tcPr>
            <w:tcW w:w="1569"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31"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val="restart"/>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tibia</w:t>
            </w:r>
          </w:p>
        </w:tc>
        <w:tc>
          <w:tcPr>
            <w:tcW w:w="1876"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egression</w:t>
            </w:r>
          </w:p>
        </w:tc>
        <w:tc>
          <w:tcPr>
            <w:tcW w:w="1724"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132829.062</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w:t>
            </w:r>
          </w:p>
        </w:tc>
        <w:tc>
          <w:tcPr>
            <w:tcW w:w="1569"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132829.062</w:t>
            </w:r>
          </w:p>
        </w:tc>
        <w:tc>
          <w:tcPr>
            <w:tcW w:w="931"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472.042</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0.000</w:t>
            </w:r>
          </w:p>
        </w:tc>
      </w:tr>
      <w:tr w:rsidR="00966D50" w:rsidRPr="00A43123" w:rsidTr="00FB1519">
        <w:trPr>
          <w:trHeight w:hRule="exact" w:val="284"/>
        </w:trPr>
        <w:tc>
          <w:tcPr>
            <w:tcW w:w="974" w:type="dxa"/>
            <w:vMerge/>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esidual</w:t>
            </w:r>
          </w:p>
        </w:tc>
        <w:tc>
          <w:tcPr>
            <w:tcW w:w="1724"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22229.994</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79</w:t>
            </w:r>
          </w:p>
        </w:tc>
        <w:tc>
          <w:tcPr>
            <w:tcW w:w="1569"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281.392</w:t>
            </w:r>
          </w:p>
        </w:tc>
        <w:tc>
          <w:tcPr>
            <w:tcW w:w="931"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A43123">
              <w:rPr>
                <w:rFonts w:eastAsia="Times New Roman"/>
                <w:color w:val="000000"/>
                <w:lang w:eastAsia="en-GB"/>
              </w:rPr>
              <w:t>otal</w:t>
            </w:r>
          </w:p>
        </w:tc>
        <w:tc>
          <w:tcPr>
            <w:tcW w:w="1724"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155059.056</w:t>
            </w:r>
          </w:p>
        </w:tc>
        <w:tc>
          <w:tcPr>
            <w:tcW w:w="960"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80</w:t>
            </w:r>
          </w:p>
        </w:tc>
        <w:tc>
          <w:tcPr>
            <w:tcW w:w="1569"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31"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val="restart"/>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fibula</w:t>
            </w:r>
          </w:p>
        </w:tc>
        <w:tc>
          <w:tcPr>
            <w:tcW w:w="1876"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egression</w:t>
            </w:r>
          </w:p>
        </w:tc>
        <w:tc>
          <w:tcPr>
            <w:tcW w:w="1724"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43670.026</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w:t>
            </w:r>
          </w:p>
        </w:tc>
        <w:tc>
          <w:tcPr>
            <w:tcW w:w="1569"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43670.026</w:t>
            </w:r>
          </w:p>
        </w:tc>
        <w:tc>
          <w:tcPr>
            <w:tcW w:w="931"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191.943</w:t>
            </w:r>
          </w:p>
        </w:tc>
        <w:tc>
          <w:tcPr>
            <w:tcW w:w="960" w:type="dxa"/>
            <w:tcBorders>
              <w:top w:val="single" w:sz="4" w:space="0" w:color="auto"/>
            </w:tcBorders>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0.000</w:t>
            </w:r>
          </w:p>
        </w:tc>
      </w:tr>
      <w:tr w:rsidR="00966D50" w:rsidRPr="00A43123" w:rsidTr="00FB1519">
        <w:trPr>
          <w:trHeight w:hRule="exact" w:val="284"/>
        </w:trPr>
        <w:tc>
          <w:tcPr>
            <w:tcW w:w="974" w:type="dxa"/>
            <w:vMerge/>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A43123">
              <w:rPr>
                <w:rFonts w:eastAsia="Times New Roman"/>
                <w:color w:val="000000"/>
                <w:lang w:eastAsia="en-GB"/>
              </w:rPr>
              <w:t>esidual</w:t>
            </w:r>
          </w:p>
        </w:tc>
        <w:tc>
          <w:tcPr>
            <w:tcW w:w="1724"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14333.459</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63</w:t>
            </w:r>
          </w:p>
        </w:tc>
        <w:tc>
          <w:tcPr>
            <w:tcW w:w="1569"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227.515</w:t>
            </w:r>
          </w:p>
        </w:tc>
        <w:tc>
          <w:tcPr>
            <w:tcW w:w="931"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r w:rsidR="00966D50" w:rsidRPr="00A43123" w:rsidTr="00FB1519">
        <w:trPr>
          <w:trHeight w:hRule="exact" w:val="284"/>
        </w:trPr>
        <w:tc>
          <w:tcPr>
            <w:tcW w:w="974" w:type="dxa"/>
            <w:vMerge/>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p>
        </w:tc>
        <w:tc>
          <w:tcPr>
            <w:tcW w:w="1876"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A43123">
              <w:rPr>
                <w:rFonts w:eastAsia="Times New Roman"/>
                <w:color w:val="000000"/>
                <w:lang w:eastAsia="en-GB"/>
              </w:rPr>
              <w:t>otal</w:t>
            </w:r>
          </w:p>
        </w:tc>
        <w:tc>
          <w:tcPr>
            <w:tcW w:w="1724"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58003.485</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64</w:t>
            </w:r>
          </w:p>
        </w:tc>
        <w:tc>
          <w:tcPr>
            <w:tcW w:w="1569"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31"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c>
          <w:tcPr>
            <w:tcW w:w="960" w:type="dxa"/>
            <w:shd w:val="clear" w:color="auto" w:fill="auto"/>
            <w:noWrap/>
            <w:vAlign w:val="center"/>
            <w:hideMark/>
          </w:tcPr>
          <w:p w:rsidR="00966D50" w:rsidRPr="00A43123" w:rsidRDefault="00966D50" w:rsidP="00966D50">
            <w:pPr>
              <w:spacing w:before="0" w:line="240" w:lineRule="auto"/>
              <w:jc w:val="center"/>
              <w:rPr>
                <w:rFonts w:eastAsia="Times New Roman"/>
                <w:color w:val="000000"/>
                <w:lang w:eastAsia="en-GB"/>
              </w:rPr>
            </w:pPr>
            <w:r w:rsidRPr="00A43123">
              <w:rPr>
                <w:rFonts w:eastAsia="Times New Roman"/>
                <w:color w:val="000000"/>
                <w:lang w:eastAsia="en-GB"/>
              </w:rPr>
              <w:t> </w:t>
            </w:r>
          </w:p>
        </w:tc>
      </w:tr>
    </w:tbl>
    <w:p w:rsidR="00966D50" w:rsidRDefault="00966D50" w:rsidP="00733544">
      <w:pPr>
        <w:pStyle w:val="Table"/>
      </w:pPr>
      <w:bookmarkStart w:id="3525" w:name="_Toc373177891"/>
      <w:bookmarkStart w:id="3526" w:name="_Toc373484430"/>
      <w:r>
        <w:rPr>
          <w:i/>
        </w:rPr>
        <w:lastRenderedPageBreak/>
        <w:t xml:space="preserve"> </w:t>
      </w:r>
      <w:r w:rsidR="00BB6CE4" w:rsidRPr="00BB6CE4">
        <w:rPr>
          <w:b/>
        </w:rPr>
        <w:t>Table 8.9</w:t>
      </w:r>
      <w:r w:rsidR="00BB6CE4">
        <w:rPr>
          <w:i/>
        </w:rPr>
        <w:t xml:space="preserve"> </w:t>
      </w:r>
      <w:r>
        <w:rPr>
          <w:i/>
        </w:rPr>
        <w:t>Pan troglodytes</w:t>
      </w:r>
      <w:r>
        <w:t xml:space="preserve"> males linear regression ANOVA outputs for all long-bones as plotted against dental score.</w:t>
      </w:r>
      <w:bookmarkEnd w:id="3525"/>
      <w:bookmarkEnd w:id="3526"/>
    </w:p>
    <w:tbl>
      <w:tblPr>
        <w:tblW w:w="6768" w:type="dxa"/>
        <w:jc w:val="center"/>
        <w:tblInd w:w="93" w:type="dxa"/>
        <w:tblBorders>
          <w:top w:val="single" w:sz="4" w:space="0" w:color="auto"/>
          <w:bottom w:val="single" w:sz="4" w:space="0" w:color="auto"/>
        </w:tblBorders>
        <w:tblLook w:val="04A0" w:firstRow="1" w:lastRow="0" w:firstColumn="1" w:lastColumn="0" w:noHBand="0" w:noVBand="1"/>
      </w:tblPr>
      <w:tblGrid>
        <w:gridCol w:w="974"/>
        <w:gridCol w:w="1121"/>
        <w:gridCol w:w="1041"/>
        <w:gridCol w:w="960"/>
        <w:gridCol w:w="1041"/>
        <w:gridCol w:w="960"/>
        <w:gridCol w:w="960"/>
      </w:tblGrid>
      <w:tr w:rsidR="00966D50" w:rsidRPr="00883B31" w:rsidTr="00FB1519">
        <w:trPr>
          <w:trHeight w:val="315"/>
          <w:jc w:val="center"/>
        </w:trPr>
        <w:tc>
          <w:tcPr>
            <w:tcW w:w="960" w:type="dxa"/>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b</w:t>
            </w:r>
            <w:r w:rsidRPr="00883B31">
              <w:rPr>
                <w:rFonts w:eastAsia="Times New Roman"/>
                <w:b/>
                <w:bCs/>
                <w:color w:val="000000"/>
                <w:lang w:eastAsia="en-GB"/>
              </w:rPr>
              <w:t>one</w:t>
            </w:r>
          </w:p>
        </w:tc>
        <w:tc>
          <w:tcPr>
            <w:tcW w:w="1008" w:type="dxa"/>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m</w:t>
            </w:r>
            <w:r w:rsidRPr="00883B31">
              <w:rPr>
                <w:rFonts w:eastAsia="Times New Roman"/>
                <w:b/>
                <w:bCs/>
                <w:color w:val="000000"/>
                <w:lang w:eastAsia="en-GB"/>
              </w:rPr>
              <w:t>odel</w:t>
            </w:r>
          </w:p>
        </w:tc>
        <w:tc>
          <w:tcPr>
            <w:tcW w:w="960" w:type="dxa"/>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s</w:t>
            </w:r>
            <w:r w:rsidRPr="00883B31">
              <w:rPr>
                <w:rFonts w:eastAsia="Times New Roman"/>
                <w:b/>
                <w:bCs/>
                <w:color w:val="000000"/>
                <w:lang w:eastAsia="en-GB"/>
              </w:rPr>
              <w:t xml:space="preserve">um of </w:t>
            </w:r>
            <w:r>
              <w:rPr>
                <w:rFonts w:eastAsia="Times New Roman"/>
                <w:b/>
                <w:bCs/>
                <w:color w:val="000000"/>
                <w:lang w:eastAsia="en-GB"/>
              </w:rPr>
              <w:t>s</w:t>
            </w:r>
            <w:r w:rsidRPr="00883B31">
              <w:rPr>
                <w:rFonts w:eastAsia="Times New Roman"/>
                <w:b/>
                <w:bCs/>
                <w:color w:val="000000"/>
                <w:lang w:eastAsia="en-GB"/>
              </w:rPr>
              <w:t>quares</w:t>
            </w:r>
          </w:p>
        </w:tc>
        <w:tc>
          <w:tcPr>
            <w:tcW w:w="960" w:type="dxa"/>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df</w:t>
            </w:r>
          </w:p>
        </w:tc>
        <w:tc>
          <w:tcPr>
            <w:tcW w:w="960" w:type="dxa"/>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m</w:t>
            </w:r>
            <w:r w:rsidRPr="00883B31">
              <w:rPr>
                <w:rFonts w:eastAsia="Times New Roman"/>
                <w:b/>
                <w:bCs/>
                <w:color w:val="000000"/>
                <w:lang w:eastAsia="en-GB"/>
              </w:rPr>
              <w:t xml:space="preserve">ean </w:t>
            </w:r>
            <w:r>
              <w:rPr>
                <w:rFonts w:eastAsia="Times New Roman"/>
                <w:b/>
                <w:bCs/>
                <w:color w:val="000000"/>
                <w:lang w:eastAsia="en-GB"/>
              </w:rPr>
              <w:t>s</w:t>
            </w:r>
            <w:r w:rsidRPr="00883B31">
              <w:rPr>
                <w:rFonts w:eastAsia="Times New Roman"/>
                <w:b/>
                <w:bCs/>
                <w:color w:val="000000"/>
                <w:lang w:eastAsia="en-GB"/>
              </w:rPr>
              <w:t>quare</w:t>
            </w:r>
          </w:p>
        </w:tc>
        <w:tc>
          <w:tcPr>
            <w:tcW w:w="960" w:type="dxa"/>
            <w:tcBorders>
              <w:top w:val="single" w:sz="4" w:space="0" w:color="auto"/>
              <w:bottom w:val="single" w:sz="4" w:space="0" w:color="auto"/>
            </w:tcBorders>
            <w:shd w:val="clear" w:color="auto" w:fill="auto"/>
            <w:noWrap/>
            <w:vAlign w:val="center"/>
            <w:hideMark/>
          </w:tcPr>
          <w:p w:rsidR="00966D50" w:rsidRPr="0020389D" w:rsidRDefault="00966D50" w:rsidP="00966D50">
            <w:pPr>
              <w:spacing w:before="0" w:line="240" w:lineRule="auto"/>
              <w:jc w:val="center"/>
              <w:rPr>
                <w:rFonts w:eastAsia="Times New Roman"/>
                <w:b/>
                <w:bCs/>
                <w:i/>
                <w:color w:val="000000"/>
                <w:lang w:eastAsia="en-GB"/>
              </w:rPr>
            </w:pPr>
            <w:r w:rsidRPr="0020389D">
              <w:rPr>
                <w:rFonts w:eastAsia="Times New Roman"/>
                <w:b/>
                <w:bCs/>
                <w:i/>
                <w:color w:val="000000"/>
                <w:lang w:eastAsia="en-GB"/>
              </w:rPr>
              <w:t>F</w:t>
            </w:r>
          </w:p>
        </w:tc>
        <w:tc>
          <w:tcPr>
            <w:tcW w:w="960" w:type="dxa"/>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s</w:t>
            </w:r>
            <w:r w:rsidRPr="00883B31">
              <w:rPr>
                <w:rFonts w:eastAsia="Times New Roman"/>
                <w:b/>
                <w:bCs/>
                <w:color w:val="000000"/>
                <w:lang w:eastAsia="en-GB"/>
              </w:rPr>
              <w:t>ig.</w:t>
            </w:r>
          </w:p>
        </w:tc>
      </w:tr>
      <w:tr w:rsidR="00966D50" w:rsidRPr="00883B31" w:rsidTr="00FB1519">
        <w:trPr>
          <w:trHeight w:val="300"/>
          <w:jc w:val="center"/>
        </w:trPr>
        <w:tc>
          <w:tcPr>
            <w:tcW w:w="960" w:type="dxa"/>
            <w:vMerge w:val="restart"/>
            <w:tcBorders>
              <w:top w:val="single" w:sz="4" w:space="0" w:color="auto"/>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humerus</w:t>
            </w:r>
          </w:p>
        </w:tc>
        <w:tc>
          <w:tcPr>
            <w:tcW w:w="1008" w:type="dxa"/>
            <w:tcBorders>
              <w:top w:val="single" w:sz="4" w:space="0" w:color="auto"/>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egression</w:t>
            </w:r>
          </w:p>
        </w:tc>
        <w:tc>
          <w:tcPr>
            <w:tcW w:w="960" w:type="dxa"/>
            <w:tcBorders>
              <w:top w:val="single" w:sz="4" w:space="0" w:color="auto"/>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83451.57</w:t>
            </w:r>
          </w:p>
        </w:tc>
        <w:tc>
          <w:tcPr>
            <w:tcW w:w="960" w:type="dxa"/>
            <w:tcBorders>
              <w:top w:val="single" w:sz="4" w:space="0" w:color="auto"/>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w:t>
            </w:r>
          </w:p>
        </w:tc>
        <w:tc>
          <w:tcPr>
            <w:tcW w:w="960" w:type="dxa"/>
            <w:tcBorders>
              <w:top w:val="single" w:sz="4" w:space="0" w:color="auto"/>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83451.57</w:t>
            </w:r>
          </w:p>
        </w:tc>
        <w:tc>
          <w:tcPr>
            <w:tcW w:w="960" w:type="dxa"/>
            <w:tcBorders>
              <w:top w:val="single" w:sz="4" w:space="0" w:color="auto"/>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160.243</w:t>
            </w:r>
          </w:p>
        </w:tc>
        <w:tc>
          <w:tcPr>
            <w:tcW w:w="960" w:type="dxa"/>
            <w:tcBorders>
              <w:top w:val="single" w:sz="4" w:space="0" w:color="auto"/>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val="300"/>
          <w:jc w:val="center"/>
        </w:trPr>
        <w:tc>
          <w:tcPr>
            <w:tcW w:w="960" w:type="dxa"/>
            <w:vMerge/>
            <w:tcBorders>
              <w:top w:val="nil"/>
              <w:bottom w:val="nil"/>
            </w:tcBorders>
            <w:vAlign w:val="center"/>
            <w:hideMark/>
          </w:tcPr>
          <w:p w:rsidR="00966D50" w:rsidRPr="00883B31" w:rsidRDefault="00966D50" w:rsidP="00966D50">
            <w:pPr>
              <w:spacing w:before="0" w:line="240" w:lineRule="auto"/>
              <w:rPr>
                <w:rFonts w:eastAsia="Times New Roman"/>
                <w:color w:val="000000"/>
                <w:lang w:eastAsia="en-GB"/>
              </w:rPr>
            </w:pPr>
          </w:p>
        </w:tc>
        <w:tc>
          <w:tcPr>
            <w:tcW w:w="1008" w:type="dxa"/>
            <w:tcBorders>
              <w:top w:val="nil"/>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esidual</w:t>
            </w:r>
          </w:p>
        </w:tc>
        <w:tc>
          <w:tcPr>
            <w:tcW w:w="960" w:type="dxa"/>
            <w:tcBorders>
              <w:top w:val="nil"/>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25518.36</w:t>
            </w:r>
          </w:p>
        </w:tc>
        <w:tc>
          <w:tcPr>
            <w:tcW w:w="960" w:type="dxa"/>
            <w:tcBorders>
              <w:top w:val="nil"/>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49</w:t>
            </w:r>
          </w:p>
        </w:tc>
        <w:tc>
          <w:tcPr>
            <w:tcW w:w="960" w:type="dxa"/>
            <w:tcBorders>
              <w:top w:val="nil"/>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520.783</w:t>
            </w:r>
          </w:p>
        </w:tc>
        <w:tc>
          <w:tcPr>
            <w:tcW w:w="960" w:type="dxa"/>
            <w:tcBorders>
              <w:top w:val="nil"/>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top w:val="nil"/>
              <w:bottom w:val="nil"/>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15"/>
          <w:jc w:val="center"/>
        </w:trPr>
        <w:tc>
          <w:tcPr>
            <w:tcW w:w="960" w:type="dxa"/>
            <w:vMerge/>
            <w:tcBorders>
              <w:top w:val="nil"/>
              <w:bottom w:val="single" w:sz="4" w:space="0" w:color="auto"/>
            </w:tcBorders>
            <w:vAlign w:val="center"/>
            <w:hideMark/>
          </w:tcPr>
          <w:p w:rsidR="00966D50" w:rsidRPr="00883B31" w:rsidRDefault="00966D50" w:rsidP="00966D50">
            <w:pPr>
              <w:spacing w:before="0" w:line="240" w:lineRule="auto"/>
              <w:rPr>
                <w:rFonts w:eastAsia="Times New Roman"/>
                <w:color w:val="000000"/>
                <w:lang w:eastAsia="en-GB"/>
              </w:rPr>
            </w:pPr>
          </w:p>
        </w:tc>
        <w:tc>
          <w:tcPr>
            <w:tcW w:w="1008" w:type="dxa"/>
            <w:tcBorders>
              <w:top w:val="nil"/>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883B31">
              <w:rPr>
                <w:rFonts w:eastAsia="Times New Roman"/>
                <w:color w:val="000000"/>
                <w:lang w:eastAsia="en-GB"/>
              </w:rPr>
              <w:t>otal</w:t>
            </w:r>
          </w:p>
        </w:tc>
        <w:tc>
          <w:tcPr>
            <w:tcW w:w="960" w:type="dxa"/>
            <w:tcBorders>
              <w:top w:val="nil"/>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108969.9</w:t>
            </w:r>
          </w:p>
        </w:tc>
        <w:tc>
          <w:tcPr>
            <w:tcW w:w="960" w:type="dxa"/>
            <w:tcBorders>
              <w:top w:val="nil"/>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50</w:t>
            </w:r>
          </w:p>
        </w:tc>
        <w:tc>
          <w:tcPr>
            <w:tcW w:w="960" w:type="dxa"/>
            <w:tcBorders>
              <w:top w:val="nil"/>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top w:val="nil"/>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top w:val="nil"/>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00"/>
          <w:jc w:val="center"/>
        </w:trPr>
        <w:tc>
          <w:tcPr>
            <w:tcW w:w="960"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radius</w:t>
            </w:r>
          </w:p>
        </w:tc>
        <w:tc>
          <w:tcPr>
            <w:tcW w:w="10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egression</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80946.75</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80946.75</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314.908</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val="300"/>
          <w:jc w:val="center"/>
        </w:trPr>
        <w:tc>
          <w:tcPr>
            <w:tcW w:w="960" w:type="dxa"/>
            <w:vMerge/>
            <w:vAlign w:val="center"/>
            <w:hideMark/>
          </w:tcPr>
          <w:p w:rsidR="00966D50" w:rsidRPr="00883B31" w:rsidRDefault="00966D50" w:rsidP="00966D50">
            <w:pPr>
              <w:spacing w:before="0" w:line="240" w:lineRule="auto"/>
              <w:rPr>
                <w:rFonts w:eastAsia="Times New Roman"/>
                <w:color w:val="000000"/>
                <w:lang w:eastAsia="en-GB"/>
              </w:rPr>
            </w:pPr>
          </w:p>
        </w:tc>
        <w:tc>
          <w:tcPr>
            <w:tcW w:w="1008"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esidual</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12081.31</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47</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257.049</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15"/>
          <w:jc w:val="center"/>
        </w:trPr>
        <w:tc>
          <w:tcPr>
            <w:tcW w:w="960" w:type="dxa"/>
            <w:vMerge/>
            <w:tcBorders>
              <w:bottom w:val="single" w:sz="4" w:space="0" w:color="auto"/>
            </w:tcBorders>
            <w:vAlign w:val="center"/>
            <w:hideMark/>
          </w:tcPr>
          <w:p w:rsidR="00966D50" w:rsidRPr="00883B31" w:rsidRDefault="00966D50" w:rsidP="00966D50">
            <w:pPr>
              <w:spacing w:before="0" w:line="240" w:lineRule="auto"/>
              <w:rPr>
                <w:rFonts w:eastAsia="Times New Roman"/>
                <w:color w:val="000000"/>
                <w:lang w:eastAsia="en-GB"/>
              </w:rPr>
            </w:pPr>
          </w:p>
        </w:tc>
        <w:tc>
          <w:tcPr>
            <w:tcW w:w="10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883B31">
              <w:rPr>
                <w:rFonts w:eastAsia="Times New Roman"/>
                <w:color w:val="000000"/>
                <w:lang w:eastAsia="en-GB"/>
              </w:rPr>
              <w:t>otal</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93028.06</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48</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00"/>
          <w:jc w:val="center"/>
        </w:trPr>
        <w:tc>
          <w:tcPr>
            <w:tcW w:w="960"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ulna</w:t>
            </w:r>
          </w:p>
        </w:tc>
        <w:tc>
          <w:tcPr>
            <w:tcW w:w="10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egression</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60063.74</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60063.74</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246.108</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val="300"/>
          <w:jc w:val="center"/>
        </w:trPr>
        <w:tc>
          <w:tcPr>
            <w:tcW w:w="960" w:type="dxa"/>
            <w:vMerge/>
            <w:vAlign w:val="center"/>
            <w:hideMark/>
          </w:tcPr>
          <w:p w:rsidR="00966D50" w:rsidRPr="00883B31" w:rsidRDefault="00966D50" w:rsidP="00966D50">
            <w:pPr>
              <w:spacing w:before="0" w:line="240" w:lineRule="auto"/>
              <w:rPr>
                <w:rFonts w:eastAsia="Times New Roman"/>
                <w:color w:val="000000"/>
                <w:lang w:eastAsia="en-GB"/>
              </w:rPr>
            </w:pPr>
          </w:p>
        </w:tc>
        <w:tc>
          <w:tcPr>
            <w:tcW w:w="1008"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esidual</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5613.257</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23</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244.055</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15"/>
          <w:jc w:val="center"/>
        </w:trPr>
        <w:tc>
          <w:tcPr>
            <w:tcW w:w="960" w:type="dxa"/>
            <w:vMerge/>
            <w:tcBorders>
              <w:bottom w:val="single" w:sz="4" w:space="0" w:color="auto"/>
            </w:tcBorders>
            <w:vAlign w:val="center"/>
            <w:hideMark/>
          </w:tcPr>
          <w:p w:rsidR="00966D50" w:rsidRPr="00883B31" w:rsidRDefault="00966D50" w:rsidP="00966D50">
            <w:pPr>
              <w:spacing w:before="0" w:line="240" w:lineRule="auto"/>
              <w:rPr>
                <w:rFonts w:eastAsia="Times New Roman"/>
                <w:color w:val="000000"/>
                <w:lang w:eastAsia="en-GB"/>
              </w:rPr>
            </w:pPr>
          </w:p>
        </w:tc>
        <w:tc>
          <w:tcPr>
            <w:tcW w:w="10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883B31">
              <w:rPr>
                <w:rFonts w:eastAsia="Times New Roman"/>
                <w:color w:val="000000"/>
                <w:lang w:eastAsia="en-GB"/>
              </w:rPr>
              <w:t>otal</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65677</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24</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00"/>
          <w:jc w:val="center"/>
        </w:trPr>
        <w:tc>
          <w:tcPr>
            <w:tcW w:w="960"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femur</w:t>
            </w:r>
          </w:p>
        </w:tc>
        <w:tc>
          <w:tcPr>
            <w:tcW w:w="10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egression</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119512.8</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119512.8</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501.436</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val="300"/>
          <w:jc w:val="center"/>
        </w:trPr>
        <w:tc>
          <w:tcPr>
            <w:tcW w:w="960" w:type="dxa"/>
            <w:vMerge/>
            <w:vAlign w:val="center"/>
            <w:hideMark/>
          </w:tcPr>
          <w:p w:rsidR="00966D50" w:rsidRPr="00883B31" w:rsidRDefault="00966D50" w:rsidP="00966D50">
            <w:pPr>
              <w:spacing w:before="0" w:line="240" w:lineRule="auto"/>
              <w:rPr>
                <w:rFonts w:eastAsia="Times New Roman"/>
                <w:color w:val="000000"/>
                <w:lang w:eastAsia="en-GB"/>
              </w:rPr>
            </w:pPr>
          </w:p>
        </w:tc>
        <w:tc>
          <w:tcPr>
            <w:tcW w:w="1008"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esidual</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12632.08</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53</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238.341</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15"/>
          <w:jc w:val="center"/>
        </w:trPr>
        <w:tc>
          <w:tcPr>
            <w:tcW w:w="960" w:type="dxa"/>
            <w:vMerge/>
            <w:tcBorders>
              <w:bottom w:val="single" w:sz="4" w:space="0" w:color="auto"/>
            </w:tcBorders>
            <w:vAlign w:val="center"/>
            <w:hideMark/>
          </w:tcPr>
          <w:p w:rsidR="00966D50" w:rsidRPr="00883B31" w:rsidRDefault="00966D50" w:rsidP="00966D50">
            <w:pPr>
              <w:spacing w:before="0" w:line="240" w:lineRule="auto"/>
              <w:rPr>
                <w:rFonts w:eastAsia="Times New Roman"/>
                <w:color w:val="000000"/>
                <w:lang w:eastAsia="en-GB"/>
              </w:rPr>
            </w:pPr>
          </w:p>
        </w:tc>
        <w:tc>
          <w:tcPr>
            <w:tcW w:w="10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883B31">
              <w:rPr>
                <w:rFonts w:eastAsia="Times New Roman"/>
                <w:color w:val="000000"/>
                <w:lang w:eastAsia="en-GB"/>
              </w:rPr>
              <w:t>otal</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132144.8</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54</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00"/>
          <w:jc w:val="center"/>
        </w:trPr>
        <w:tc>
          <w:tcPr>
            <w:tcW w:w="960"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tibia</w:t>
            </w:r>
          </w:p>
        </w:tc>
        <w:tc>
          <w:tcPr>
            <w:tcW w:w="10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egression</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83537.95</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83537.95</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404.683</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val="300"/>
          <w:jc w:val="center"/>
        </w:trPr>
        <w:tc>
          <w:tcPr>
            <w:tcW w:w="960" w:type="dxa"/>
            <w:vMerge/>
            <w:vAlign w:val="center"/>
            <w:hideMark/>
          </w:tcPr>
          <w:p w:rsidR="00966D50" w:rsidRPr="00883B31" w:rsidRDefault="00966D50" w:rsidP="00966D50">
            <w:pPr>
              <w:spacing w:before="0" w:line="240" w:lineRule="auto"/>
              <w:rPr>
                <w:rFonts w:eastAsia="Times New Roman"/>
                <w:color w:val="000000"/>
                <w:lang w:eastAsia="en-GB"/>
              </w:rPr>
            </w:pPr>
          </w:p>
        </w:tc>
        <w:tc>
          <w:tcPr>
            <w:tcW w:w="1008"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esidual</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10734.26</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52</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206.428</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15"/>
          <w:jc w:val="center"/>
        </w:trPr>
        <w:tc>
          <w:tcPr>
            <w:tcW w:w="960" w:type="dxa"/>
            <w:vMerge/>
            <w:tcBorders>
              <w:bottom w:val="single" w:sz="4" w:space="0" w:color="auto"/>
            </w:tcBorders>
            <w:vAlign w:val="center"/>
            <w:hideMark/>
          </w:tcPr>
          <w:p w:rsidR="00966D50" w:rsidRPr="00883B31" w:rsidRDefault="00966D50" w:rsidP="00966D50">
            <w:pPr>
              <w:spacing w:before="0" w:line="240" w:lineRule="auto"/>
              <w:rPr>
                <w:rFonts w:eastAsia="Times New Roman"/>
                <w:color w:val="000000"/>
                <w:lang w:eastAsia="en-GB"/>
              </w:rPr>
            </w:pPr>
          </w:p>
        </w:tc>
        <w:tc>
          <w:tcPr>
            <w:tcW w:w="10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883B31">
              <w:rPr>
                <w:rFonts w:eastAsia="Times New Roman"/>
                <w:color w:val="000000"/>
                <w:lang w:eastAsia="en-GB"/>
              </w:rPr>
              <w:t>otal</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94272.21</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53</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00"/>
          <w:jc w:val="center"/>
        </w:trPr>
        <w:tc>
          <w:tcPr>
            <w:tcW w:w="960"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fibula</w:t>
            </w:r>
          </w:p>
        </w:tc>
        <w:tc>
          <w:tcPr>
            <w:tcW w:w="10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egression</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45765.35</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45765.35</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366.814</w:t>
            </w:r>
          </w:p>
        </w:tc>
        <w:tc>
          <w:tcPr>
            <w:tcW w:w="960"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val="300"/>
          <w:jc w:val="center"/>
        </w:trPr>
        <w:tc>
          <w:tcPr>
            <w:tcW w:w="960" w:type="dxa"/>
            <w:vMerge/>
            <w:vAlign w:val="center"/>
            <w:hideMark/>
          </w:tcPr>
          <w:p w:rsidR="00966D50" w:rsidRPr="00883B31" w:rsidRDefault="00966D50" w:rsidP="00966D50">
            <w:pPr>
              <w:spacing w:before="0" w:line="240" w:lineRule="auto"/>
              <w:rPr>
                <w:rFonts w:eastAsia="Times New Roman"/>
                <w:color w:val="000000"/>
                <w:lang w:eastAsia="en-GB"/>
              </w:rPr>
            </w:pPr>
          </w:p>
        </w:tc>
        <w:tc>
          <w:tcPr>
            <w:tcW w:w="1008"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r</w:t>
            </w:r>
            <w:r w:rsidRPr="00883B31">
              <w:rPr>
                <w:rFonts w:eastAsia="Times New Roman"/>
                <w:color w:val="000000"/>
                <w:lang w:eastAsia="en-GB"/>
              </w:rPr>
              <w:t>esidual</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4741.05</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38</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124.764</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r w:rsidR="00966D50" w:rsidRPr="00883B31" w:rsidTr="00FB1519">
        <w:trPr>
          <w:trHeight w:val="315"/>
          <w:jc w:val="center"/>
        </w:trPr>
        <w:tc>
          <w:tcPr>
            <w:tcW w:w="960" w:type="dxa"/>
            <w:vMerge/>
            <w:vAlign w:val="center"/>
            <w:hideMark/>
          </w:tcPr>
          <w:p w:rsidR="00966D50" w:rsidRPr="00883B31" w:rsidRDefault="00966D50" w:rsidP="00966D50">
            <w:pPr>
              <w:spacing w:before="0" w:line="240" w:lineRule="auto"/>
              <w:rPr>
                <w:rFonts w:eastAsia="Times New Roman"/>
                <w:color w:val="000000"/>
                <w:lang w:eastAsia="en-GB"/>
              </w:rPr>
            </w:pPr>
          </w:p>
        </w:tc>
        <w:tc>
          <w:tcPr>
            <w:tcW w:w="1008"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t</w:t>
            </w:r>
            <w:r w:rsidRPr="00883B31">
              <w:rPr>
                <w:rFonts w:eastAsia="Times New Roman"/>
                <w:color w:val="000000"/>
                <w:lang w:eastAsia="en-GB"/>
              </w:rPr>
              <w:t>otal</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50506.4</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39</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 </w:t>
            </w:r>
          </w:p>
        </w:tc>
      </w:tr>
    </w:tbl>
    <w:p w:rsidR="00966D50" w:rsidRDefault="00BB6CE4" w:rsidP="00733544">
      <w:pPr>
        <w:pStyle w:val="Table"/>
      </w:pPr>
      <w:r w:rsidRPr="00BB6CE4">
        <w:rPr>
          <w:b/>
        </w:rPr>
        <w:t>Table 8.10</w:t>
      </w:r>
      <w:r w:rsidR="00966D50">
        <w:t xml:space="preserve"> </w:t>
      </w:r>
      <w:bookmarkStart w:id="3527" w:name="_Toc373177892"/>
      <w:bookmarkStart w:id="3528" w:name="_Toc373484431"/>
      <w:r w:rsidR="00966D50">
        <w:t xml:space="preserve">Coefficients of linear regression analysis of long-bones as plotted against dental score for </w:t>
      </w:r>
      <w:r w:rsidR="00966D50">
        <w:rPr>
          <w:i/>
        </w:rPr>
        <w:t xml:space="preserve">Pan troglodytes </w:t>
      </w:r>
      <w:r w:rsidR="00966D50">
        <w:t>females.</w:t>
      </w:r>
      <w:bookmarkEnd w:id="3527"/>
      <w:bookmarkEnd w:id="3528"/>
    </w:p>
    <w:tbl>
      <w:tblPr>
        <w:tblW w:w="8366" w:type="dxa"/>
        <w:jc w:val="center"/>
        <w:tblLook w:val="04A0" w:firstRow="1" w:lastRow="0" w:firstColumn="1" w:lastColumn="0" w:noHBand="0" w:noVBand="1"/>
      </w:tblPr>
      <w:tblGrid>
        <w:gridCol w:w="974"/>
        <w:gridCol w:w="1136"/>
        <w:gridCol w:w="1289"/>
        <w:gridCol w:w="1222"/>
        <w:gridCol w:w="1439"/>
        <w:gridCol w:w="1041"/>
        <w:gridCol w:w="1408"/>
      </w:tblGrid>
      <w:tr w:rsidR="00966D50"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sidRPr="00883B31">
              <w:rPr>
                <w:rFonts w:eastAsia="Times New Roman"/>
                <w:b/>
                <w:bCs/>
                <w:color w:val="000000"/>
                <w:lang w:eastAsia="en-GB"/>
              </w:rPr>
              <w:t> </w:t>
            </w:r>
            <w:r>
              <w:rPr>
                <w:rFonts w:eastAsia="Times New Roman"/>
                <w:b/>
                <w:bCs/>
                <w:color w:val="000000"/>
                <w:lang w:eastAsia="en-GB"/>
              </w:rPr>
              <w:t>b</w:t>
            </w:r>
            <w:r w:rsidRPr="00883B31">
              <w:rPr>
                <w:rFonts w:eastAsia="Times New Roman"/>
                <w:b/>
                <w:bCs/>
                <w:color w:val="000000"/>
                <w:lang w:eastAsia="en-GB"/>
              </w:rPr>
              <w:t>one</w:t>
            </w:r>
          </w:p>
        </w:tc>
        <w:tc>
          <w:tcPr>
            <w:tcW w:w="1136"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m</w:t>
            </w:r>
            <w:r w:rsidRPr="00883B31">
              <w:rPr>
                <w:rFonts w:eastAsia="Times New Roman"/>
                <w:b/>
                <w:bCs/>
                <w:color w:val="000000"/>
                <w:lang w:eastAsia="en-GB"/>
              </w:rPr>
              <w:t>odel</w:t>
            </w:r>
          </w:p>
        </w:tc>
        <w:tc>
          <w:tcPr>
            <w:tcW w:w="2511" w:type="dxa"/>
            <w:gridSpan w:val="2"/>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u</w:t>
            </w:r>
            <w:r w:rsidRPr="00883B31">
              <w:rPr>
                <w:rFonts w:eastAsia="Times New Roman"/>
                <w:b/>
                <w:bCs/>
                <w:color w:val="000000"/>
                <w:lang w:eastAsia="en-GB"/>
              </w:rPr>
              <w:t>nstandardized Coefficients</w:t>
            </w:r>
          </w:p>
        </w:tc>
        <w:tc>
          <w:tcPr>
            <w:tcW w:w="1296" w:type="dxa"/>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s</w:t>
            </w:r>
            <w:r w:rsidRPr="00883B31">
              <w:rPr>
                <w:rFonts w:eastAsia="Times New Roman"/>
                <w:b/>
                <w:bCs/>
                <w:color w:val="000000"/>
                <w:lang w:eastAsia="en-GB"/>
              </w:rPr>
              <w:t>tandardized Coefficients</w:t>
            </w:r>
          </w:p>
        </w:tc>
        <w:tc>
          <w:tcPr>
            <w:tcW w:w="1041"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sidRPr="00883B31">
              <w:rPr>
                <w:rFonts w:eastAsia="Times New Roman"/>
                <w:b/>
                <w:bCs/>
                <w:color w:val="000000"/>
                <w:lang w:eastAsia="en-GB"/>
              </w:rPr>
              <w:t> t</w:t>
            </w:r>
          </w:p>
        </w:tc>
        <w:tc>
          <w:tcPr>
            <w:tcW w:w="1408"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s</w:t>
            </w:r>
            <w:r w:rsidRPr="00883B31">
              <w:rPr>
                <w:rFonts w:eastAsia="Times New Roman"/>
                <w:b/>
                <w:bCs/>
                <w:color w:val="000000"/>
                <w:lang w:eastAsia="en-GB"/>
              </w:rPr>
              <w:t>ignificance</w:t>
            </w:r>
          </w:p>
        </w:tc>
      </w:tr>
      <w:tr w:rsidR="00966D50" w:rsidRPr="00883B31" w:rsidTr="00FB1519">
        <w:trPr>
          <w:trHeight w:hRule="exact" w:val="284"/>
          <w:jc w:val="center"/>
        </w:trPr>
        <w:tc>
          <w:tcPr>
            <w:tcW w:w="974" w:type="dxa"/>
            <w:vMerge/>
            <w:tcBorders>
              <w:bottom w:val="single" w:sz="4" w:space="0" w:color="auto"/>
            </w:tcBorders>
            <w:vAlign w:val="center"/>
            <w:hideMark/>
          </w:tcPr>
          <w:p w:rsidR="00966D50" w:rsidRPr="00883B31" w:rsidRDefault="00966D50" w:rsidP="00966D50">
            <w:pPr>
              <w:spacing w:before="0" w:line="240" w:lineRule="auto"/>
              <w:rPr>
                <w:rFonts w:eastAsia="Times New Roman"/>
                <w:b/>
                <w:bCs/>
                <w:color w:val="000000"/>
                <w:lang w:eastAsia="en-GB"/>
              </w:rPr>
            </w:pPr>
          </w:p>
        </w:tc>
        <w:tc>
          <w:tcPr>
            <w:tcW w:w="1136" w:type="dxa"/>
            <w:vMerge/>
            <w:tcBorders>
              <w:bottom w:val="single" w:sz="4" w:space="0" w:color="auto"/>
            </w:tcBorders>
            <w:vAlign w:val="center"/>
            <w:hideMark/>
          </w:tcPr>
          <w:p w:rsidR="00966D50" w:rsidRPr="00883B31" w:rsidRDefault="00966D50" w:rsidP="00966D50">
            <w:pPr>
              <w:spacing w:before="0" w:line="240" w:lineRule="auto"/>
              <w:rPr>
                <w:rFonts w:eastAsia="Times New Roman"/>
                <w:b/>
                <w:bCs/>
                <w:color w:val="000000"/>
                <w:lang w:eastAsia="en-GB"/>
              </w:rPr>
            </w:pPr>
          </w:p>
        </w:tc>
        <w:tc>
          <w:tcPr>
            <w:tcW w:w="1289" w:type="dxa"/>
            <w:tcBorders>
              <w:top w:val="single" w:sz="4" w:space="0" w:color="auto"/>
              <w:bottom w:val="single" w:sz="4" w:space="0" w:color="auto"/>
            </w:tcBorders>
            <w:shd w:val="clear" w:color="auto" w:fill="auto"/>
            <w:noWrap/>
            <w:vAlign w:val="center"/>
            <w:hideMark/>
          </w:tcPr>
          <w:p w:rsidR="00966D50" w:rsidRPr="00AA496C" w:rsidRDefault="00966D50" w:rsidP="00966D50">
            <w:pPr>
              <w:spacing w:before="0" w:line="240" w:lineRule="auto"/>
              <w:jc w:val="center"/>
              <w:rPr>
                <w:rFonts w:eastAsia="Times New Roman"/>
                <w:b/>
                <w:bCs/>
                <w:i/>
                <w:color w:val="000000"/>
                <w:lang w:eastAsia="en-GB"/>
              </w:rPr>
            </w:pPr>
            <w:r w:rsidRPr="00AA496C">
              <w:rPr>
                <w:rFonts w:eastAsia="Times New Roman"/>
                <w:b/>
                <w:bCs/>
                <w:i/>
                <w:color w:val="000000"/>
                <w:lang w:eastAsia="en-GB"/>
              </w:rPr>
              <w:t>B</w:t>
            </w:r>
          </w:p>
        </w:tc>
        <w:tc>
          <w:tcPr>
            <w:tcW w:w="1222" w:type="dxa"/>
            <w:tcBorders>
              <w:top w:val="single" w:sz="4" w:space="0" w:color="auto"/>
              <w:bottom w:val="single" w:sz="4" w:space="0" w:color="auto"/>
            </w:tcBorders>
            <w:shd w:val="clear" w:color="auto" w:fill="auto"/>
            <w:noWrap/>
            <w:vAlign w:val="center"/>
            <w:hideMark/>
          </w:tcPr>
          <w:p w:rsidR="00966D50" w:rsidRPr="00883B31" w:rsidRDefault="00966D50" w:rsidP="00966D50">
            <w:pPr>
              <w:spacing w:before="0" w:line="240" w:lineRule="auto"/>
              <w:rPr>
                <w:rFonts w:eastAsia="Times New Roman"/>
                <w:b/>
                <w:bCs/>
                <w:color w:val="000000"/>
                <w:lang w:eastAsia="en-GB"/>
              </w:rPr>
            </w:pPr>
            <w:r>
              <w:rPr>
                <w:rFonts w:eastAsia="Times New Roman"/>
                <w:b/>
                <w:bCs/>
                <w:color w:val="000000"/>
                <w:lang w:eastAsia="en-GB"/>
              </w:rPr>
              <w:t>s</w:t>
            </w:r>
            <w:r w:rsidRPr="00883B31">
              <w:rPr>
                <w:rFonts w:eastAsia="Times New Roman"/>
                <w:b/>
                <w:bCs/>
                <w:color w:val="000000"/>
                <w:lang w:eastAsia="en-GB"/>
              </w:rPr>
              <w:t xml:space="preserve">td. </w:t>
            </w:r>
            <w:r>
              <w:rPr>
                <w:rFonts w:eastAsia="Times New Roman"/>
                <w:b/>
                <w:bCs/>
                <w:color w:val="000000"/>
                <w:lang w:eastAsia="en-GB"/>
              </w:rPr>
              <w:t>e</w:t>
            </w:r>
            <w:r w:rsidRPr="00883B31">
              <w:rPr>
                <w:rFonts w:eastAsia="Times New Roman"/>
                <w:b/>
                <w:bCs/>
                <w:color w:val="000000"/>
                <w:lang w:eastAsia="en-GB"/>
              </w:rPr>
              <w:t>rror</w:t>
            </w:r>
          </w:p>
        </w:tc>
        <w:tc>
          <w:tcPr>
            <w:tcW w:w="1296" w:type="dxa"/>
            <w:tcBorders>
              <w:top w:val="single" w:sz="4" w:space="0" w:color="auto"/>
              <w:bottom w:val="single" w:sz="4" w:space="0" w:color="auto"/>
            </w:tcBorders>
            <w:shd w:val="clear" w:color="auto" w:fill="auto"/>
            <w:noWrap/>
            <w:vAlign w:val="center"/>
            <w:hideMark/>
          </w:tcPr>
          <w:p w:rsidR="00966D50" w:rsidRPr="0025780C" w:rsidRDefault="00966D50" w:rsidP="00966D50">
            <w:pPr>
              <w:spacing w:before="0" w:line="240" w:lineRule="auto"/>
              <w:jc w:val="center"/>
              <w:rPr>
                <w:rFonts w:eastAsia="Times New Roman"/>
                <w:b/>
                <w:bCs/>
                <w:color w:val="000000"/>
                <w:lang w:eastAsia="en-GB"/>
              </w:rPr>
            </w:pPr>
            <w:r>
              <w:rPr>
                <w:rFonts w:eastAsia="Times New Roman"/>
                <w:b/>
                <w:bCs/>
                <w:color w:val="000000"/>
                <w:lang w:eastAsia="en-GB"/>
              </w:rPr>
              <w:t>Beta</w:t>
            </w:r>
          </w:p>
        </w:tc>
        <w:tc>
          <w:tcPr>
            <w:tcW w:w="1041" w:type="dxa"/>
            <w:vMerge/>
            <w:tcBorders>
              <w:bottom w:val="single" w:sz="4" w:space="0" w:color="auto"/>
            </w:tcBorders>
            <w:vAlign w:val="center"/>
            <w:hideMark/>
          </w:tcPr>
          <w:p w:rsidR="00966D50" w:rsidRPr="00883B31" w:rsidRDefault="00966D50" w:rsidP="00966D50">
            <w:pPr>
              <w:spacing w:before="0" w:line="240" w:lineRule="auto"/>
              <w:rPr>
                <w:rFonts w:eastAsia="Times New Roman"/>
                <w:b/>
                <w:bCs/>
                <w:color w:val="000000"/>
                <w:lang w:eastAsia="en-GB"/>
              </w:rPr>
            </w:pPr>
          </w:p>
        </w:tc>
        <w:tc>
          <w:tcPr>
            <w:tcW w:w="1408" w:type="dxa"/>
            <w:vMerge/>
            <w:tcBorders>
              <w:bottom w:val="single" w:sz="4" w:space="0" w:color="auto"/>
            </w:tcBorders>
            <w:vAlign w:val="center"/>
            <w:hideMark/>
          </w:tcPr>
          <w:p w:rsidR="00966D50" w:rsidRPr="00883B31" w:rsidRDefault="00966D50" w:rsidP="00966D50">
            <w:pPr>
              <w:spacing w:before="0" w:line="240" w:lineRule="auto"/>
              <w:rPr>
                <w:rFonts w:eastAsia="Times New Roman"/>
                <w:b/>
                <w:bCs/>
                <w:color w:val="000000"/>
                <w:lang w:eastAsia="en-GB"/>
              </w:rPr>
            </w:pPr>
          </w:p>
        </w:tc>
      </w:tr>
      <w:tr w:rsidR="00966D50"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humerus</w:t>
            </w:r>
          </w:p>
        </w:tc>
        <w:tc>
          <w:tcPr>
            <w:tcW w:w="113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289"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-16.47(</w:t>
            </w:r>
            <w:r w:rsidRPr="00AA496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222"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3.624927</w:t>
            </w:r>
          </w:p>
        </w:tc>
        <w:tc>
          <w:tcPr>
            <w:tcW w:w="129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041"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-4.54623</w:t>
            </w:r>
          </w:p>
        </w:tc>
        <w:tc>
          <w:tcPr>
            <w:tcW w:w="14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tcBorders>
              <w:bottom w:val="single" w:sz="4" w:space="0" w:color="auto"/>
            </w:tcBorders>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13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289"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0.2659</w:t>
            </w:r>
            <w:r>
              <w:rPr>
                <w:rFonts w:eastAsia="Times New Roman"/>
                <w:color w:val="000000"/>
                <w:lang w:eastAsia="en-GB"/>
              </w:rPr>
              <w:t xml:space="preserve"> (</w:t>
            </w:r>
            <w:r w:rsidRPr="00AA496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222"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0.014876</w:t>
            </w:r>
          </w:p>
        </w:tc>
        <w:tc>
          <w:tcPr>
            <w:tcW w:w="129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0.921215</w:t>
            </w:r>
          </w:p>
        </w:tc>
        <w:tc>
          <w:tcPr>
            <w:tcW w:w="1041"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17.87679</w:t>
            </w:r>
          </w:p>
        </w:tc>
        <w:tc>
          <w:tcPr>
            <w:tcW w:w="14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radius</w:t>
            </w:r>
          </w:p>
        </w:tc>
        <w:tc>
          <w:tcPr>
            <w:tcW w:w="113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289"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82.935</w:t>
            </w:r>
            <w:r>
              <w:rPr>
                <w:rFonts w:eastAsia="Times New Roman"/>
                <w:color w:val="000000"/>
                <w:lang w:eastAsia="en-GB"/>
              </w:rPr>
              <w:t>(</w:t>
            </w:r>
            <w:r w:rsidRPr="00AA496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222"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8.138</w:t>
            </w:r>
          </w:p>
        </w:tc>
        <w:tc>
          <w:tcPr>
            <w:tcW w:w="129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041"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10.191</w:t>
            </w:r>
          </w:p>
        </w:tc>
        <w:tc>
          <w:tcPr>
            <w:tcW w:w="14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tcBorders>
              <w:bottom w:val="single" w:sz="4" w:space="0" w:color="auto"/>
            </w:tcBorders>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13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289"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2.882</w:t>
            </w:r>
            <w:r>
              <w:rPr>
                <w:rFonts w:eastAsia="Times New Roman"/>
                <w:color w:val="000000"/>
                <w:lang w:eastAsia="en-GB"/>
              </w:rPr>
              <w:t>(</w:t>
            </w:r>
            <w:r w:rsidRPr="00AA496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222"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0.148</w:t>
            </w:r>
          </w:p>
        </w:tc>
        <w:tc>
          <w:tcPr>
            <w:tcW w:w="129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0.917</w:t>
            </w:r>
          </w:p>
        </w:tc>
        <w:tc>
          <w:tcPr>
            <w:tcW w:w="1041"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19.469</w:t>
            </w:r>
          </w:p>
        </w:tc>
        <w:tc>
          <w:tcPr>
            <w:tcW w:w="14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ulna</w:t>
            </w:r>
          </w:p>
        </w:tc>
        <w:tc>
          <w:tcPr>
            <w:tcW w:w="113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289"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91.52</w:t>
            </w:r>
            <w:r>
              <w:rPr>
                <w:rFonts w:eastAsia="Times New Roman"/>
                <w:color w:val="000000"/>
                <w:lang w:eastAsia="en-GB"/>
              </w:rPr>
              <w:t>(</w:t>
            </w:r>
            <w:r w:rsidRPr="00AA496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222"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11.971</w:t>
            </w:r>
          </w:p>
        </w:tc>
        <w:tc>
          <w:tcPr>
            <w:tcW w:w="129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041"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7.646</w:t>
            </w:r>
          </w:p>
        </w:tc>
        <w:tc>
          <w:tcPr>
            <w:tcW w:w="14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tcBorders>
              <w:bottom w:val="single" w:sz="4" w:space="0" w:color="auto"/>
            </w:tcBorders>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13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289"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3.007</w:t>
            </w:r>
            <w:r>
              <w:rPr>
                <w:rFonts w:eastAsia="Times New Roman"/>
                <w:color w:val="000000"/>
                <w:lang w:eastAsia="en-GB"/>
              </w:rPr>
              <w:t>(</w:t>
            </w:r>
            <w:r w:rsidRPr="00AA496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222"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0.204</w:t>
            </w:r>
          </w:p>
        </w:tc>
        <w:tc>
          <w:tcPr>
            <w:tcW w:w="129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0.898</w:t>
            </w:r>
          </w:p>
        </w:tc>
        <w:tc>
          <w:tcPr>
            <w:tcW w:w="1041"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14.744</w:t>
            </w:r>
          </w:p>
        </w:tc>
        <w:tc>
          <w:tcPr>
            <w:tcW w:w="14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femur</w:t>
            </w:r>
          </w:p>
        </w:tc>
        <w:tc>
          <w:tcPr>
            <w:tcW w:w="113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289"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88.54(</w:t>
            </w:r>
            <w:r w:rsidRPr="00AA496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222"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7.676</w:t>
            </w:r>
          </w:p>
        </w:tc>
        <w:tc>
          <w:tcPr>
            <w:tcW w:w="129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041"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11.535</w:t>
            </w:r>
          </w:p>
        </w:tc>
        <w:tc>
          <w:tcPr>
            <w:tcW w:w="14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tcBorders>
              <w:bottom w:val="single" w:sz="4" w:space="0" w:color="auto"/>
            </w:tcBorders>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13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289"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3.141</w:t>
            </w:r>
            <w:r>
              <w:rPr>
                <w:rFonts w:eastAsia="Times New Roman"/>
                <w:color w:val="000000"/>
                <w:lang w:eastAsia="en-GB"/>
              </w:rPr>
              <w:t>(</w:t>
            </w:r>
            <w:r w:rsidRPr="00AA496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222"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0.144</w:t>
            </w:r>
          </w:p>
        </w:tc>
        <w:tc>
          <w:tcPr>
            <w:tcW w:w="129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0.926</w:t>
            </w:r>
          </w:p>
        </w:tc>
        <w:tc>
          <w:tcPr>
            <w:tcW w:w="1041"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21.865</w:t>
            </w:r>
          </w:p>
        </w:tc>
        <w:tc>
          <w:tcPr>
            <w:tcW w:w="14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tibia</w:t>
            </w:r>
          </w:p>
        </w:tc>
        <w:tc>
          <w:tcPr>
            <w:tcW w:w="113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289"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70.27(</w:t>
            </w:r>
            <w:r w:rsidRPr="00AA496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222"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6.7</w:t>
            </w:r>
          </w:p>
        </w:tc>
        <w:tc>
          <w:tcPr>
            <w:tcW w:w="129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041"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10.488</w:t>
            </w:r>
          </w:p>
        </w:tc>
        <w:tc>
          <w:tcPr>
            <w:tcW w:w="14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tcBorders>
              <w:bottom w:val="single" w:sz="4" w:space="0" w:color="auto"/>
            </w:tcBorders>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13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289"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2.724</w:t>
            </w:r>
            <w:r>
              <w:rPr>
                <w:rFonts w:eastAsia="Times New Roman"/>
                <w:color w:val="000000"/>
                <w:lang w:eastAsia="en-GB"/>
              </w:rPr>
              <w:t>(</w:t>
            </w:r>
            <w:r w:rsidRPr="00AA496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222"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0.125</w:t>
            </w:r>
          </w:p>
        </w:tc>
        <w:tc>
          <w:tcPr>
            <w:tcW w:w="129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0.926</w:t>
            </w:r>
          </w:p>
        </w:tc>
        <w:tc>
          <w:tcPr>
            <w:tcW w:w="1041"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21.727</w:t>
            </w:r>
          </w:p>
        </w:tc>
        <w:tc>
          <w:tcPr>
            <w:tcW w:w="14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fibula</w:t>
            </w:r>
          </w:p>
        </w:tc>
        <w:tc>
          <w:tcPr>
            <w:tcW w:w="113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289"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77.61(</w:t>
            </w:r>
            <w:r w:rsidRPr="00AA496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222"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9.241</w:t>
            </w:r>
          </w:p>
        </w:tc>
        <w:tc>
          <w:tcPr>
            <w:tcW w:w="1296"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041"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8.399</w:t>
            </w:r>
          </w:p>
        </w:tc>
        <w:tc>
          <w:tcPr>
            <w:tcW w:w="1408" w:type="dxa"/>
            <w:tcBorders>
              <w:top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66D50" w:rsidRPr="00883B31" w:rsidTr="00FB1519">
        <w:trPr>
          <w:trHeight w:hRule="exact" w:val="284"/>
          <w:jc w:val="center"/>
        </w:trPr>
        <w:tc>
          <w:tcPr>
            <w:tcW w:w="974" w:type="dxa"/>
            <w:vMerge/>
            <w:tcBorders>
              <w:bottom w:val="single" w:sz="4" w:space="0" w:color="auto"/>
            </w:tcBorders>
            <w:vAlign w:val="center"/>
            <w:hideMark/>
          </w:tcPr>
          <w:p w:rsidR="00966D50" w:rsidRPr="00883B31" w:rsidRDefault="00966D50" w:rsidP="00966D50">
            <w:pPr>
              <w:spacing w:before="0" w:line="240" w:lineRule="auto"/>
              <w:jc w:val="center"/>
              <w:rPr>
                <w:rFonts w:eastAsia="Times New Roman"/>
                <w:color w:val="000000"/>
                <w:lang w:eastAsia="en-GB"/>
              </w:rPr>
            </w:pPr>
          </w:p>
        </w:tc>
        <w:tc>
          <w:tcPr>
            <w:tcW w:w="113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289"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2.244</w:t>
            </w:r>
            <w:r>
              <w:rPr>
                <w:rFonts w:eastAsia="Times New Roman"/>
                <w:color w:val="000000"/>
                <w:lang w:eastAsia="en-GB"/>
              </w:rPr>
              <w:t>(</w:t>
            </w:r>
            <w:r w:rsidRPr="00AA496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222"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0.162</w:t>
            </w:r>
          </w:p>
        </w:tc>
        <w:tc>
          <w:tcPr>
            <w:tcW w:w="1296"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0.868</w:t>
            </w:r>
          </w:p>
        </w:tc>
        <w:tc>
          <w:tcPr>
            <w:tcW w:w="1041"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13.854</w:t>
            </w:r>
          </w:p>
        </w:tc>
        <w:tc>
          <w:tcPr>
            <w:tcW w:w="1408" w:type="dxa"/>
            <w:tcBorders>
              <w:bottom w:val="single" w:sz="4" w:space="0" w:color="auto"/>
            </w:tcBorders>
            <w:shd w:val="clear" w:color="auto" w:fill="auto"/>
            <w:noWrap/>
            <w:vAlign w:val="center"/>
            <w:hideMark/>
          </w:tcPr>
          <w:p w:rsidR="00966D50" w:rsidRPr="00883B31" w:rsidRDefault="00966D50" w:rsidP="00966D50">
            <w:pPr>
              <w:spacing w:before="0" w:line="240" w:lineRule="auto"/>
              <w:jc w:val="center"/>
              <w:rPr>
                <w:rFonts w:eastAsia="Times New Roman"/>
                <w:color w:val="000000"/>
                <w:lang w:eastAsia="en-GB"/>
              </w:rPr>
            </w:pPr>
            <w:r w:rsidRPr="00883B31">
              <w:rPr>
                <w:rFonts w:eastAsia="Times New Roman"/>
                <w:color w:val="000000"/>
                <w:lang w:eastAsia="en-GB"/>
              </w:rPr>
              <w:t>0.000</w:t>
            </w:r>
          </w:p>
        </w:tc>
      </w:tr>
    </w:tbl>
    <w:p w:rsidR="00966D50" w:rsidRDefault="00966D50" w:rsidP="00966D50">
      <w:pPr>
        <w:spacing w:before="0"/>
        <w:ind w:firstLine="182"/>
      </w:pPr>
      <w:r>
        <w:t xml:space="preserve">Note: </w:t>
      </w:r>
      <w:r w:rsidRPr="00AA496C">
        <w:rPr>
          <w:i/>
        </w:rPr>
        <w:t>B</w:t>
      </w:r>
      <w:r w:rsidRPr="00FB49B6">
        <w:rPr>
          <w:vertAlign w:val="subscript"/>
        </w:rPr>
        <w:t>1</w:t>
      </w:r>
      <w:r>
        <w:t xml:space="preserve"> is the y intercept and </w:t>
      </w:r>
      <w:r w:rsidRPr="00AA496C">
        <w:rPr>
          <w:i/>
        </w:rPr>
        <w:t>B</w:t>
      </w:r>
      <w:r w:rsidRPr="00FB49B6">
        <w:rPr>
          <w:vertAlign w:val="subscript"/>
        </w:rPr>
        <w:t>2</w:t>
      </w:r>
      <w:r>
        <w:rPr>
          <w:vertAlign w:val="subscript"/>
        </w:rPr>
        <w:t xml:space="preserve"> </w:t>
      </w:r>
      <w:r>
        <w:t>the slope for the regression equation.</w:t>
      </w:r>
    </w:p>
    <w:p w:rsidR="00966D50" w:rsidRDefault="00966D50">
      <w:pPr>
        <w:spacing w:before="0" w:after="200" w:line="276" w:lineRule="auto"/>
        <w:jc w:val="left"/>
        <w:rPr>
          <w:rFonts w:asciiTheme="majorBidi" w:hAnsiTheme="majorBidi" w:cstheme="majorBidi"/>
          <w:b/>
          <w:i/>
        </w:rPr>
      </w:pPr>
      <w:r>
        <w:rPr>
          <w:rFonts w:asciiTheme="majorBidi" w:hAnsiTheme="majorBidi" w:cstheme="majorBidi"/>
          <w:b/>
          <w:i/>
        </w:rPr>
        <w:br w:type="page"/>
      </w:r>
    </w:p>
    <w:p w:rsidR="00946775" w:rsidRDefault="00BB6CE4" w:rsidP="00733544">
      <w:pPr>
        <w:pStyle w:val="Table"/>
      </w:pPr>
      <w:bookmarkStart w:id="3529" w:name="_Toc373177893"/>
      <w:bookmarkStart w:id="3530" w:name="_Toc373484432"/>
      <w:r w:rsidRPr="00BB6CE4">
        <w:rPr>
          <w:b/>
        </w:rPr>
        <w:lastRenderedPageBreak/>
        <w:t>Table 8.11</w:t>
      </w:r>
      <w:r w:rsidR="00946775">
        <w:t xml:space="preserve"> Coefficients of linear regression analysis of long-bones as plotted against dental score for </w:t>
      </w:r>
      <w:r w:rsidR="00946775">
        <w:rPr>
          <w:i/>
        </w:rPr>
        <w:t xml:space="preserve">Pan troglodytes </w:t>
      </w:r>
      <w:r w:rsidR="00946775">
        <w:t>males.</w:t>
      </w:r>
      <w:bookmarkEnd w:id="3529"/>
      <w:bookmarkEnd w:id="3530"/>
    </w:p>
    <w:tbl>
      <w:tblPr>
        <w:tblW w:w="8317" w:type="dxa"/>
        <w:jc w:val="center"/>
        <w:tblBorders>
          <w:top w:val="single" w:sz="4" w:space="0" w:color="auto"/>
          <w:bottom w:val="single" w:sz="4" w:space="0" w:color="auto"/>
        </w:tblBorders>
        <w:tblLook w:val="04A0" w:firstRow="1" w:lastRow="0" w:firstColumn="1" w:lastColumn="0" w:noHBand="0" w:noVBand="1"/>
      </w:tblPr>
      <w:tblGrid>
        <w:gridCol w:w="974"/>
        <w:gridCol w:w="1136"/>
        <w:gridCol w:w="1185"/>
        <w:gridCol w:w="1178"/>
        <w:gridCol w:w="1476"/>
        <w:gridCol w:w="960"/>
        <w:gridCol w:w="1408"/>
      </w:tblGrid>
      <w:tr w:rsidR="00946775"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b/>
                <w:bCs/>
                <w:color w:val="000000"/>
                <w:lang w:eastAsia="en-GB"/>
              </w:rPr>
            </w:pPr>
            <w:r>
              <w:rPr>
                <w:rFonts w:eastAsia="Times New Roman"/>
                <w:b/>
                <w:bCs/>
                <w:color w:val="000000"/>
                <w:lang w:eastAsia="en-GB"/>
              </w:rPr>
              <w:t>b</w:t>
            </w:r>
            <w:r w:rsidRPr="00883B31">
              <w:rPr>
                <w:rFonts w:eastAsia="Times New Roman"/>
                <w:b/>
                <w:bCs/>
                <w:color w:val="000000"/>
                <w:lang w:eastAsia="en-GB"/>
              </w:rPr>
              <w:t>one</w:t>
            </w:r>
          </w:p>
        </w:tc>
        <w:tc>
          <w:tcPr>
            <w:tcW w:w="1136" w:type="dxa"/>
            <w:vMerge w:val="restart"/>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b/>
                <w:bCs/>
                <w:color w:val="000000"/>
                <w:lang w:eastAsia="en-GB"/>
              </w:rPr>
            </w:pPr>
            <w:r>
              <w:rPr>
                <w:rFonts w:eastAsia="Times New Roman"/>
                <w:b/>
                <w:bCs/>
                <w:color w:val="000000"/>
                <w:lang w:eastAsia="en-GB"/>
              </w:rPr>
              <w:t>m</w:t>
            </w:r>
            <w:r w:rsidRPr="00883B31">
              <w:rPr>
                <w:rFonts w:eastAsia="Times New Roman"/>
                <w:b/>
                <w:bCs/>
                <w:color w:val="000000"/>
                <w:lang w:eastAsia="en-GB"/>
              </w:rPr>
              <w:t>odel</w:t>
            </w:r>
          </w:p>
        </w:tc>
        <w:tc>
          <w:tcPr>
            <w:tcW w:w="2363" w:type="dxa"/>
            <w:gridSpan w:val="2"/>
            <w:tcBorders>
              <w:top w:val="single" w:sz="4" w:space="0" w:color="auto"/>
              <w:bottom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b/>
                <w:bCs/>
                <w:color w:val="000000"/>
                <w:lang w:eastAsia="en-GB"/>
              </w:rPr>
            </w:pPr>
            <w:r>
              <w:rPr>
                <w:rFonts w:eastAsia="Times New Roman"/>
                <w:b/>
                <w:bCs/>
                <w:color w:val="000000"/>
                <w:lang w:eastAsia="en-GB"/>
              </w:rPr>
              <w:t>u</w:t>
            </w:r>
            <w:r w:rsidRPr="00883B31">
              <w:rPr>
                <w:rFonts w:eastAsia="Times New Roman"/>
                <w:b/>
                <w:bCs/>
                <w:color w:val="000000"/>
                <w:lang w:eastAsia="en-GB"/>
              </w:rPr>
              <w:t>nstandardized Coefficients</w:t>
            </w:r>
          </w:p>
        </w:tc>
        <w:tc>
          <w:tcPr>
            <w:tcW w:w="1476" w:type="dxa"/>
            <w:tcBorders>
              <w:top w:val="single" w:sz="4" w:space="0" w:color="auto"/>
              <w:bottom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b/>
                <w:bCs/>
                <w:color w:val="000000"/>
                <w:lang w:eastAsia="en-GB"/>
              </w:rPr>
            </w:pPr>
            <w:r>
              <w:rPr>
                <w:rFonts w:eastAsia="Times New Roman"/>
                <w:b/>
                <w:bCs/>
                <w:color w:val="000000"/>
                <w:lang w:eastAsia="en-GB"/>
              </w:rPr>
              <w:t>s</w:t>
            </w:r>
            <w:r w:rsidRPr="00883B31">
              <w:rPr>
                <w:rFonts w:eastAsia="Times New Roman"/>
                <w:b/>
                <w:bCs/>
                <w:color w:val="000000"/>
                <w:lang w:eastAsia="en-GB"/>
              </w:rPr>
              <w:t>tandardized Coefficients</w:t>
            </w:r>
          </w:p>
        </w:tc>
        <w:tc>
          <w:tcPr>
            <w:tcW w:w="960" w:type="dxa"/>
            <w:vMerge w:val="restart"/>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b/>
                <w:bCs/>
                <w:color w:val="000000"/>
                <w:lang w:eastAsia="en-GB"/>
              </w:rPr>
            </w:pPr>
            <w:r w:rsidRPr="00883B31">
              <w:rPr>
                <w:rFonts w:eastAsia="Times New Roman"/>
                <w:b/>
                <w:bCs/>
                <w:color w:val="000000"/>
                <w:lang w:eastAsia="en-GB"/>
              </w:rPr>
              <w:t> t</w:t>
            </w:r>
          </w:p>
        </w:tc>
        <w:tc>
          <w:tcPr>
            <w:tcW w:w="1408" w:type="dxa"/>
            <w:vMerge w:val="restart"/>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b/>
                <w:bCs/>
                <w:color w:val="000000"/>
                <w:lang w:eastAsia="en-GB"/>
              </w:rPr>
            </w:pPr>
            <w:r>
              <w:rPr>
                <w:rFonts w:eastAsia="Times New Roman"/>
                <w:b/>
                <w:bCs/>
                <w:color w:val="000000"/>
                <w:lang w:eastAsia="en-GB"/>
              </w:rPr>
              <w:t> s</w:t>
            </w:r>
            <w:r w:rsidRPr="00883B31">
              <w:rPr>
                <w:rFonts w:eastAsia="Times New Roman"/>
                <w:b/>
                <w:bCs/>
                <w:color w:val="000000"/>
                <w:lang w:eastAsia="en-GB"/>
              </w:rPr>
              <w:t>ignificance</w:t>
            </w:r>
          </w:p>
        </w:tc>
      </w:tr>
      <w:tr w:rsidR="00946775" w:rsidRPr="00883B31" w:rsidTr="00FB1519">
        <w:trPr>
          <w:trHeight w:hRule="exact" w:val="284"/>
          <w:jc w:val="center"/>
        </w:trPr>
        <w:tc>
          <w:tcPr>
            <w:tcW w:w="974" w:type="dxa"/>
            <w:vMerge/>
            <w:tcBorders>
              <w:bottom w:val="single" w:sz="4" w:space="0" w:color="auto"/>
            </w:tcBorders>
            <w:vAlign w:val="center"/>
            <w:hideMark/>
          </w:tcPr>
          <w:p w:rsidR="00946775" w:rsidRPr="00883B31" w:rsidRDefault="00946775" w:rsidP="00946775">
            <w:pPr>
              <w:spacing w:before="0" w:line="240" w:lineRule="auto"/>
              <w:rPr>
                <w:rFonts w:eastAsia="Times New Roman"/>
                <w:b/>
                <w:bCs/>
                <w:color w:val="000000"/>
                <w:lang w:eastAsia="en-GB"/>
              </w:rPr>
            </w:pPr>
          </w:p>
        </w:tc>
        <w:tc>
          <w:tcPr>
            <w:tcW w:w="1136" w:type="dxa"/>
            <w:vMerge/>
            <w:tcBorders>
              <w:bottom w:val="single" w:sz="4" w:space="0" w:color="auto"/>
            </w:tcBorders>
            <w:vAlign w:val="center"/>
            <w:hideMark/>
          </w:tcPr>
          <w:p w:rsidR="00946775" w:rsidRPr="00883B31" w:rsidRDefault="00946775" w:rsidP="00946775">
            <w:pPr>
              <w:spacing w:before="0" w:line="240" w:lineRule="auto"/>
              <w:rPr>
                <w:rFonts w:eastAsia="Times New Roman"/>
                <w:b/>
                <w:bCs/>
                <w:color w:val="000000"/>
                <w:lang w:eastAsia="en-GB"/>
              </w:rPr>
            </w:pPr>
          </w:p>
        </w:tc>
        <w:tc>
          <w:tcPr>
            <w:tcW w:w="1185" w:type="dxa"/>
            <w:tcBorders>
              <w:top w:val="single" w:sz="4" w:space="0" w:color="auto"/>
              <w:bottom w:val="single" w:sz="4" w:space="0" w:color="auto"/>
            </w:tcBorders>
            <w:shd w:val="clear" w:color="auto" w:fill="auto"/>
            <w:noWrap/>
            <w:vAlign w:val="center"/>
            <w:hideMark/>
          </w:tcPr>
          <w:p w:rsidR="00946775" w:rsidRPr="0025780C" w:rsidRDefault="00946775" w:rsidP="00946775">
            <w:pPr>
              <w:spacing w:before="0" w:line="240" w:lineRule="auto"/>
              <w:jc w:val="center"/>
              <w:rPr>
                <w:rFonts w:eastAsia="Times New Roman"/>
                <w:b/>
                <w:bCs/>
                <w:i/>
                <w:color w:val="000000"/>
                <w:lang w:eastAsia="en-GB"/>
              </w:rPr>
            </w:pPr>
            <w:r w:rsidRPr="0025780C">
              <w:rPr>
                <w:rFonts w:eastAsia="Times New Roman"/>
                <w:b/>
                <w:bCs/>
                <w:i/>
                <w:color w:val="000000"/>
                <w:lang w:eastAsia="en-GB"/>
              </w:rPr>
              <w:t>B</w:t>
            </w:r>
          </w:p>
        </w:tc>
        <w:tc>
          <w:tcPr>
            <w:tcW w:w="1178" w:type="dxa"/>
            <w:tcBorders>
              <w:top w:val="single" w:sz="4" w:space="0" w:color="auto"/>
              <w:bottom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b/>
                <w:bCs/>
                <w:color w:val="000000"/>
                <w:lang w:eastAsia="en-GB"/>
              </w:rPr>
            </w:pPr>
            <w:r>
              <w:rPr>
                <w:rFonts w:eastAsia="Times New Roman"/>
                <w:b/>
                <w:bCs/>
                <w:color w:val="000000"/>
                <w:lang w:eastAsia="en-GB"/>
              </w:rPr>
              <w:t>s</w:t>
            </w:r>
            <w:r w:rsidRPr="00883B31">
              <w:rPr>
                <w:rFonts w:eastAsia="Times New Roman"/>
                <w:b/>
                <w:bCs/>
                <w:color w:val="000000"/>
                <w:lang w:eastAsia="en-GB"/>
              </w:rPr>
              <w:t xml:space="preserve">td. </w:t>
            </w:r>
            <w:r>
              <w:rPr>
                <w:rFonts w:eastAsia="Times New Roman"/>
                <w:b/>
                <w:bCs/>
                <w:color w:val="000000"/>
                <w:lang w:eastAsia="en-GB"/>
              </w:rPr>
              <w:t>e</w:t>
            </w:r>
            <w:r w:rsidRPr="00883B31">
              <w:rPr>
                <w:rFonts w:eastAsia="Times New Roman"/>
                <w:b/>
                <w:bCs/>
                <w:color w:val="000000"/>
                <w:lang w:eastAsia="en-GB"/>
              </w:rPr>
              <w:t>rror</w:t>
            </w:r>
          </w:p>
        </w:tc>
        <w:tc>
          <w:tcPr>
            <w:tcW w:w="1476" w:type="dxa"/>
            <w:tcBorders>
              <w:top w:val="single" w:sz="4" w:space="0" w:color="auto"/>
              <w:bottom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b/>
                <w:bCs/>
                <w:color w:val="000000"/>
                <w:lang w:eastAsia="en-GB"/>
              </w:rPr>
            </w:pPr>
            <w:r w:rsidRPr="00883B31">
              <w:rPr>
                <w:rFonts w:eastAsia="Times New Roman"/>
                <w:b/>
                <w:bCs/>
                <w:color w:val="000000"/>
                <w:lang w:eastAsia="en-GB"/>
              </w:rPr>
              <w:t>Beta</w:t>
            </w:r>
          </w:p>
        </w:tc>
        <w:tc>
          <w:tcPr>
            <w:tcW w:w="960" w:type="dxa"/>
            <w:vMerge/>
            <w:tcBorders>
              <w:bottom w:val="single" w:sz="4" w:space="0" w:color="auto"/>
            </w:tcBorders>
            <w:vAlign w:val="center"/>
            <w:hideMark/>
          </w:tcPr>
          <w:p w:rsidR="00946775" w:rsidRPr="00883B31" w:rsidRDefault="00946775" w:rsidP="00946775">
            <w:pPr>
              <w:spacing w:before="0" w:line="240" w:lineRule="auto"/>
              <w:rPr>
                <w:rFonts w:eastAsia="Times New Roman"/>
                <w:b/>
                <w:bCs/>
                <w:color w:val="000000"/>
                <w:lang w:eastAsia="en-GB"/>
              </w:rPr>
            </w:pPr>
          </w:p>
        </w:tc>
        <w:tc>
          <w:tcPr>
            <w:tcW w:w="1408" w:type="dxa"/>
            <w:vMerge/>
            <w:tcBorders>
              <w:bottom w:val="single" w:sz="4" w:space="0" w:color="auto"/>
            </w:tcBorders>
            <w:vAlign w:val="center"/>
            <w:hideMark/>
          </w:tcPr>
          <w:p w:rsidR="00946775" w:rsidRPr="00883B31" w:rsidRDefault="00946775" w:rsidP="00946775">
            <w:pPr>
              <w:spacing w:before="0" w:line="240" w:lineRule="auto"/>
              <w:rPr>
                <w:rFonts w:eastAsia="Times New Roman"/>
                <w:b/>
                <w:bCs/>
                <w:color w:val="000000"/>
                <w:lang w:eastAsia="en-GB"/>
              </w:rPr>
            </w:pPr>
          </w:p>
        </w:tc>
      </w:tr>
      <w:tr w:rsidR="00946775" w:rsidRPr="00883B31" w:rsidTr="00FB1519">
        <w:trPr>
          <w:trHeight w:hRule="exact" w:val="284"/>
          <w:jc w:val="center"/>
        </w:trPr>
        <w:tc>
          <w:tcPr>
            <w:tcW w:w="974" w:type="dxa"/>
            <w:vMerge w:val="restart"/>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humerus</w:t>
            </w:r>
          </w:p>
        </w:tc>
        <w:tc>
          <w:tcPr>
            <w:tcW w:w="1136" w:type="dxa"/>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185" w:type="dxa"/>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95.822</w:t>
            </w:r>
            <w:r>
              <w:rPr>
                <w:rFonts w:eastAsia="Times New Roman"/>
                <w:color w:val="000000"/>
                <w:lang w:eastAsia="en-GB"/>
              </w:rPr>
              <w:t>(</w:t>
            </w:r>
            <w:r w:rsidRPr="0025780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178" w:type="dxa"/>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11.308</w:t>
            </w:r>
          </w:p>
        </w:tc>
        <w:tc>
          <w:tcPr>
            <w:tcW w:w="1476" w:type="dxa"/>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8.474</w:t>
            </w:r>
          </w:p>
        </w:tc>
        <w:tc>
          <w:tcPr>
            <w:tcW w:w="1408" w:type="dxa"/>
            <w:tcBorders>
              <w:top w:val="single" w:sz="4" w:space="0" w:color="auto"/>
            </w:tcBorders>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ign w:val="center"/>
            <w:hideMark/>
          </w:tcPr>
          <w:p w:rsidR="00946775" w:rsidRPr="00883B31" w:rsidRDefault="00946775" w:rsidP="00946775">
            <w:pPr>
              <w:spacing w:before="0" w:line="240" w:lineRule="auto"/>
              <w:rPr>
                <w:rFonts w:eastAsia="Times New Roman"/>
                <w:color w:val="000000"/>
                <w:lang w:eastAsia="en-GB"/>
              </w:rPr>
            </w:pP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2.901</w:t>
            </w:r>
            <w:r>
              <w:rPr>
                <w:rFonts w:eastAsia="Times New Roman"/>
                <w:color w:val="000000"/>
                <w:lang w:eastAsia="en-GB"/>
              </w:rPr>
              <w:t>(</w:t>
            </w:r>
            <w:r w:rsidRPr="0025780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0.229</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0.875</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12.659</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restart"/>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radius</w:t>
            </w: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77.365</w:t>
            </w:r>
            <w:r>
              <w:rPr>
                <w:rFonts w:eastAsia="Times New Roman"/>
                <w:color w:val="000000"/>
                <w:lang w:eastAsia="en-GB"/>
              </w:rPr>
              <w:t>(</w:t>
            </w:r>
            <w:r w:rsidRPr="0025780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8.209</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9.425</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ign w:val="center"/>
            <w:hideMark/>
          </w:tcPr>
          <w:p w:rsidR="00946775" w:rsidRPr="00883B31" w:rsidRDefault="00946775" w:rsidP="00946775">
            <w:pPr>
              <w:spacing w:before="0" w:line="240" w:lineRule="auto"/>
              <w:rPr>
                <w:rFonts w:eastAsia="Times New Roman"/>
                <w:color w:val="000000"/>
                <w:lang w:eastAsia="en-GB"/>
              </w:rPr>
            </w:pP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2.948</w:t>
            </w:r>
            <w:r>
              <w:rPr>
                <w:rFonts w:eastAsia="Times New Roman"/>
                <w:color w:val="000000"/>
                <w:lang w:eastAsia="en-GB"/>
              </w:rPr>
              <w:t>(</w:t>
            </w:r>
            <w:r w:rsidRPr="0025780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0.166</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0.933</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17.746</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restart"/>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ulna</w:t>
            </w: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79.1</w:t>
            </w:r>
            <w:r>
              <w:rPr>
                <w:rFonts w:eastAsia="Times New Roman"/>
                <w:color w:val="000000"/>
                <w:lang w:eastAsia="en-GB"/>
              </w:rPr>
              <w:t>(</w:t>
            </w:r>
            <w:r w:rsidRPr="0025780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10.954</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7.221</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ign w:val="center"/>
            <w:hideMark/>
          </w:tcPr>
          <w:p w:rsidR="00946775" w:rsidRPr="00883B31" w:rsidRDefault="00946775" w:rsidP="00946775">
            <w:pPr>
              <w:spacing w:before="0" w:line="240" w:lineRule="auto"/>
              <w:rPr>
                <w:rFonts w:eastAsia="Times New Roman"/>
                <w:color w:val="000000"/>
                <w:lang w:eastAsia="en-GB"/>
              </w:rPr>
            </w:pP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bookmarkStart w:id="3531" w:name="RANGE!K33"/>
            <w:r>
              <w:rPr>
                <w:rFonts w:eastAsia="Times New Roman"/>
                <w:color w:val="000000"/>
                <w:lang w:eastAsia="en-GB"/>
              </w:rPr>
              <w:t>d</w:t>
            </w:r>
            <w:r w:rsidRPr="00883B31">
              <w:rPr>
                <w:rFonts w:eastAsia="Times New Roman"/>
                <w:color w:val="000000"/>
                <w:lang w:eastAsia="en-GB"/>
              </w:rPr>
              <w:t>ental score</w:t>
            </w:r>
            <w:bookmarkEnd w:id="3531"/>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3.184</w:t>
            </w:r>
            <w:r>
              <w:rPr>
                <w:rFonts w:eastAsia="Times New Roman"/>
                <w:color w:val="000000"/>
                <w:lang w:eastAsia="en-GB"/>
              </w:rPr>
              <w:t>(</w:t>
            </w:r>
            <w:r w:rsidRPr="0025780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0.203</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0.956</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15.688</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restart"/>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femur</w:t>
            </w: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80.171</w:t>
            </w:r>
            <w:r>
              <w:rPr>
                <w:rFonts w:eastAsia="Times New Roman"/>
                <w:color w:val="000000"/>
                <w:lang w:eastAsia="en-GB"/>
              </w:rPr>
              <w:t>(</w:t>
            </w:r>
            <w:r w:rsidRPr="0025780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7.026</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11.41</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ign w:val="center"/>
            <w:hideMark/>
          </w:tcPr>
          <w:p w:rsidR="00946775" w:rsidRPr="00883B31" w:rsidRDefault="00946775" w:rsidP="00946775">
            <w:pPr>
              <w:spacing w:before="0" w:line="240" w:lineRule="auto"/>
              <w:rPr>
                <w:rFonts w:eastAsia="Times New Roman"/>
                <w:color w:val="000000"/>
                <w:lang w:eastAsia="en-GB"/>
              </w:rPr>
            </w:pP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3.25</w:t>
            </w:r>
            <w:r>
              <w:rPr>
                <w:rFonts w:eastAsia="Times New Roman"/>
                <w:color w:val="000000"/>
                <w:lang w:eastAsia="en-GB"/>
              </w:rPr>
              <w:t>(</w:t>
            </w:r>
            <w:r w:rsidRPr="0025780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0.145</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0.951</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22.393</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restart"/>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tibia</w:t>
            </w: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61.505</w:t>
            </w:r>
            <w:r>
              <w:rPr>
                <w:rFonts w:eastAsia="Times New Roman"/>
                <w:color w:val="000000"/>
                <w:lang w:eastAsia="en-GB"/>
              </w:rPr>
              <w:t>(</w:t>
            </w:r>
            <w:r w:rsidRPr="0025780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6.861</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8.964</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ign w:val="center"/>
            <w:hideMark/>
          </w:tcPr>
          <w:p w:rsidR="00946775" w:rsidRPr="00883B31" w:rsidRDefault="00946775" w:rsidP="00946775">
            <w:pPr>
              <w:spacing w:before="0" w:line="240" w:lineRule="auto"/>
              <w:rPr>
                <w:rFonts w:eastAsia="Times New Roman"/>
                <w:color w:val="000000"/>
                <w:lang w:eastAsia="en-GB"/>
              </w:rPr>
            </w:pP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2.828</w:t>
            </w:r>
            <w:r>
              <w:rPr>
                <w:rFonts w:eastAsia="Times New Roman"/>
                <w:color w:val="000000"/>
                <w:lang w:eastAsia="en-GB"/>
              </w:rPr>
              <w:t>(</w:t>
            </w:r>
            <w:r w:rsidRPr="0025780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0.141</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0.941</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20.117</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restart"/>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fibula</w:t>
            </w: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c</w:t>
            </w:r>
            <w:r w:rsidRPr="00883B31">
              <w:rPr>
                <w:rFonts w:eastAsia="Times New Roman"/>
                <w:color w:val="000000"/>
                <w:lang w:eastAsia="en-GB"/>
              </w:rPr>
              <w:t>onstant</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53.522</w:t>
            </w:r>
            <w:r>
              <w:rPr>
                <w:rFonts w:eastAsia="Times New Roman"/>
                <w:color w:val="000000"/>
                <w:lang w:eastAsia="en-GB"/>
              </w:rPr>
              <w:t>(</w:t>
            </w:r>
            <w:r w:rsidRPr="0025780C">
              <w:rPr>
                <w:rFonts w:eastAsia="Times New Roman"/>
                <w:i/>
                <w:color w:val="000000"/>
                <w:lang w:eastAsia="en-GB"/>
              </w:rPr>
              <w:t>B</w:t>
            </w:r>
            <w:r w:rsidRPr="00B126EE">
              <w:rPr>
                <w:rFonts w:eastAsia="Times New Roman"/>
                <w:color w:val="000000"/>
                <w:vertAlign w:val="subscript"/>
                <w:lang w:eastAsia="en-GB"/>
              </w:rPr>
              <w:t>1</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7.086</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 </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7.553</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r w:rsidR="00946775" w:rsidRPr="00883B31" w:rsidTr="00FB1519">
        <w:trPr>
          <w:trHeight w:hRule="exact" w:val="284"/>
          <w:jc w:val="center"/>
        </w:trPr>
        <w:tc>
          <w:tcPr>
            <w:tcW w:w="974" w:type="dxa"/>
            <w:vMerge/>
            <w:vAlign w:val="center"/>
            <w:hideMark/>
          </w:tcPr>
          <w:p w:rsidR="00946775" w:rsidRPr="00883B31" w:rsidRDefault="00946775" w:rsidP="00946775">
            <w:pPr>
              <w:spacing w:before="0" w:line="240" w:lineRule="auto"/>
              <w:rPr>
                <w:rFonts w:eastAsia="Times New Roman"/>
                <w:color w:val="000000"/>
                <w:lang w:eastAsia="en-GB"/>
              </w:rPr>
            </w:pPr>
          </w:p>
        </w:tc>
        <w:tc>
          <w:tcPr>
            <w:tcW w:w="113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Pr>
                <w:rFonts w:eastAsia="Times New Roman"/>
                <w:color w:val="000000"/>
                <w:lang w:eastAsia="en-GB"/>
              </w:rPr>
              <w:t>d</w:t>
            </w:r>
            <w:r w:rsidRPr="00883B31">
              <w:rPr>
                <w:rFonts w:eastAsia="Times New Roman"/>
                <w:color w:val="000000"/>
                <w:lang w:eastAsia="en-GB"/>
              </w:rPr>
              <w:t>ental score</w:t>
            </w:r>
          </w:p>
        </w:tc>
        <w:tc>
          <w:tcPr>
            <w:tcW w:w="1185"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2.597</w:t>
            </w:r>
            <w:r>
              <w:rPr>
                <w:rFonts w:eastAsia="Times New Roman"/>
                <w:color w:val="000000"/>
                <w:lang w:eastAsia="en-GB"/>
              </w:rPr>
              <w:t>(</w:t>
            </w:r>
            <w:r w:rsidRPr="0025780C">
              <w:rPr>
                <w:rFonts w:eastAsia="Times New Roman"/>
                <w:i/>
                <w:color w:val="000000"/>
                <w:lang w:eastAsia="en-GB"/>
              </w:rPr>
              <w:t>B</w:t>
            </w:r>
            <w:r>
              <w:rPr>
                <w:rFonts w:eastAsia="Times New Roman"/>
                <w:color w:val="000000"/>
                <w:vertAlign w:val="subscript"/>
                <w:lang w:eastAsia="en-GB"/>
              </w:rPr>
              <w:t>2</w:t>
            </w:r>
            <w:r>
              <w:rPr>
                <w:rFonts w:eastAsia="Times New Roman"/>
                <w:color w:val="000000"/>
                <w:lang w:eastAsia="en-GB"/>
              </w:rPr>
              <w:t>)</w:t>
            </w:r>
          </w:p>
        </w:tc>
        <w:tc>
          <w:tcPr>
            <w:tcW w:w="117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0.136</w:t>
            </w:r>
          </w:p>
        </w:tc>
        <w:tc>
          <w:tcPr>
            <w:tcW w:w="1476"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0.952</w:t>
            </w:r>
          </w:p>
        </w:tc>
        <w:tc>
          <w:tcPr>
            <w:tcW w:w="960"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19.152</w:t>
            </w:r>
          </w:p>
        </w:tc>
        <w:tc>
          <w:tcPr>
            <w:tcW w:w="1408" w:type="dxa"/>
            <w:shd w:val="clear" w:color="auto" w:fill="auto"/>
            <w:noWrap/>
            <w:vAlign w:val="center"/>
            <w:hideMark/>
          </w:tcPr>
          <w:p w:rsidR="00946775" w:rsidRPr="00883B31" w:rsidRDefault="00946775" w:rsidP="00946775">
            <w:pPr>
              <w:spacing w:before="0" w:line="240" w:lineRule="auto"/>
              <w:jc w:val="center"/>
              <w:rPr>
                <w:rFonts w:eastAsia="Times New Roman"/>
                <w:color w:val="000000"/>
                <w:lang w:eastAsia="en-GB"/>
              </w:rPr>
            </w:pPr>
            <w:r w:rsidRPr="00883B31">
              <w:rPr>
                <w:rFonts w:eastAsia="Times New Roman"/>
                <w:color w:val="000000"/>
                <w:lang w:eastAsia="en-GB"/>
              </w:rPr>
              <w:t>0.000</w:t>
            </w:r>
          </w:p>
        </w:tc>
      </w:tr>
    </w:tbl>
    <w:p w:rsidR="00946775" w:rsidRDefault="00946775" w:rsidP="00946775">
      <w:pPr>
        <w:spacing w:before="0"/>
        <w:ind w:firstLine="70"/>
      </w:pPr>
      <w:r>
        <w:t xml:space="preserve">Note: </w:t>
      </w:r>
      <w:r w:rsidRPr="0025780C">
        <w:rPr>
          <w:i/>
        </w:rPr>
        <w:t>B</w:t>
      </w:r>
      <w:r w:rsidRPr="00FB49B6">
        <w:rPr>
          <w:vertAlign w:val="subscript"/>
        </w:rPr>
        <w:t>1</w:t>
      </w:r>
      <w:r>
        <w:t xml:space="preserve"> is the y intercept and </w:t>
      </w:r>
      <w:r w:rsidRPr="0025780C">
        <w:rPr>
          <w:i/>
        </w:rPr>
        <w:t>B</w:t>
      </w:r>
      <w:r w:rsidRPr="00FB49B6">
        <w:rPr>
          <w:vertAlign w:val="subscript"/>
        </w:rPr>
        <w:t>2</w:t>
      </w:r>
      <w:r>
        <w:rPr>
          <w:vertAlign w:val="subscript"/>
        </w:rPr>
        <w:t xml:space="preserve"> </w:t>
      </w:r>
      <w:r>
        <w:t>the slope for the regression equation.</w:t>
      </w:r>
    </w:p>
    <w:p w:rsidR="00946775" w:rsidRDefault="00946775">
      <w:pPr>
        <w:spacing w:before="0" w:after="200" w:line="276" w:lineRule="auto"/>
        <w:jc w:val="left"/>
      </w:pPr>
      <w:r>
        <w:br w:type="page"/>
      </w:r>
    </w:p>
    <w:p w:rsidR="00946775" w:rsidRDefault="00946775" w:rsidP="00946775">
      <w:pPr>
        <w:spacing w:before="0"/>
        <w:rPr>
          <w:b/>
          <w:i/>
        </w:rPr>
      </w:pPr>
      <w:bookmarkStart w:id="3532" w:name="_Toc373178858"/>
      <w:bookmarkStart w:id="3533" w:name="_Toc373484011"/>
      <w:r>
        <w:rPr>
          <w:b/>
          <w:i/>
        </w:rPr>
        <w:lastRenderedPageBreak/>
        <w:t>8.4</w:t>
      </w:r>
      <w:r>
        <w:rPr>
          <w:b/>
          <w:i/>
        </w:rPr>
        <w:tab/>
      </w:r>
      <w:r w:rsidRPr="00946775">
        <w:rPr>
          <w:b/>
          <w:i/>
        </w:rPr>
        <w:t>Descriptive statistics for mid-fusion and complete fusion relative to dental score</w:t>
      </w:r>
      <w:bookmarkEnd w:id="3532"/>
      <w:bookmarkEnd w:id="3533"/>
    </w:p>
    <w:p w:rsidR="00FA730D" w:rsidRPr="00672D44" w:rsidRDefault="00FA730D" w:rsidP="00FA730D">
      <w:pPr>
        <w:spacing w:before="0" w:line="240" w:lineRule="auto"/>
      </w:pPr>
      <w:r w:rsidRPr="00FA730D">
        <w:rPr>
          <w:noProof/>
        </w:rPr>
        <w:t>The following</w:t>
      </w:r>
      <w:r w:rsidRPr="00CC52B0">
        <w:rPr>
          <w:noProof/>
        </w:rPr>
        <w:t xml:space="preserve"> tables present </w:t>
      </w:r>
      <w:r>
        <w:rPr>
          <w:noProof/>
        </w:rPr>
        <w:t>descriptive statistics f</w:t>
      </w:r>
      <w:r w:rsidRPr="00CC52B0">
        <w:rPr>
          <w:noProof/>
        </w:rPr>
        <w:t xml:space="preserve">or </w:t>
      </w:r>
      <w:r>
        <w:rPr>
          <w:noProof/>
        </w:rPr>
        <w:t xml:space="preserve">ranges of dental scores at mid-fusion and complete fusion for all </w:t>
      </w:r>
      <w:r w:rsidRPr="00CC52B0">
        <w:rPr>
          <w:noProof/>
        </w:rPr>
        <w:t xml:space="preserve">epiphyseal fusion </w:t>
      </w:r>
      <w:r>
        <w:rPr>
          <w:noProof/>
        </w:rPr>
        <w:t>sites as analysed in Chapter 4, section 4.2.1</w:t>
      </w:r>
      <w:r w:rsidRPr="00CC52B0">
        <w:rPr>
          <w:noProof/>
        </w:rPr>
        <w:t>.  The production of these was for the purposes of comparing dental development and skeletal fusion.  These tables were those referred to but not presented in the text.</w:t>
      </w:r>
    </w:p>
    <w:p w:rsidR="00FA730D" w:rsidRPr="000E133E" w:rsidRDefault="00DB0B33" w:rsidP="00733544">
      <w:pPr>
        <w:pStyle w:val="Table"/>
      </w:pPr>
      <w:r w:rsidRPr="00DB0B33">
        <w:rPr>
          <w:b/>
        </w:rPr>
        <w:t>Table 8.12</w:t>
      </w:r>
      <w:r w:rsidR="00FA730D" w:rsidRPr="00EF5A9A">
        <w:t xml:space="preserve"> </w:t>
      </w:r>
      <w:bookmarkStart w:id="3534" w:name="_Toc373484433"/>
      <w:r w:rsidR="00FA730D" w:rsidRPr="00EF5A9A">
        <w:t>Median values</w:t>
      </w:r>
      <w:r w:rsidR="00FA730D">
        <w:t xml:space="preserve"> </w:t>
      </w:r>
      <w:r w:rsidR="00FA730D" w:rsidRPr="00EF5A9A">
        <w:t xml:space="preserve">and ranges of </w:t>
      </w:r>
      <w:r w:rsidR="00FA730D">
        <w:t>dental score</w:t>
      </w:r>
      <w:r w:rsidR="00FA730D" w:rsidRPr="00EF5A9A">
        <w:t xml:space="preserve"> </w:t>
      </w:r>
      <w:r w:rsidR="00FA730D">
        <w:t xml:space="preserve">for </w:t>
      </w:r>
      <w:r w:rsidR="00FA730D" w:rsidRPr="00EF5A9A">
        <w:t xml:space="preserve">all mid-fusion epiphyses in </w:t>
      </w:r>
      <w:r w:rsidR="00FA730D" w:rsidRPr="00EF5A9A">
        <w:rPr>
          <w:i/>
        </w:rPr>
        <w:t>Pan troglodytes</w:t>
      </w:r>
      <w:r w:rsidR="00FA730D" w:rsidRPr="00EF5A9A">
        <w:t xml:space="preserve"> males.</w:t>
      </w:r>
      <w:bookmarkEnd w:id="3534"/>
    </w:p>
    <w:tbl>
      <w:tblPr>
        <w:tblW w:w="8804" w:type="dxa"/>
        <w:tblInd w:w="93" w:type="dxa"/>
        <w:tblBorders>
          <w:top w:val="single" w:sz="4" w:space="0" w:color="auto"/>
          <w:bottom w:val="single" w:sz="4" w:space="0" w:color="auto"/>
        </w:tblBorders>
        <w:tblLook w:val="04A0" w:firstRow="1" w:lastRow="0" w:firstColumn="1" w:lastColumn="0" w:noHBand="0" w:noVBand="1"/>
      </w:tblPr>
      <w:tblGrid>
        <w:gridCol w:w="943"/>
        <w:gridCol w:w="3229"/>
        <w:gridCol w:w="914"/>
        <w:gridCol w:w="1102"/>
        <w:gridCol w:w="1276"/>
        <w:gridCol w:w="1340"/>
      </w:tblGrid>
      <w:tr w:rsidR="00FA730D" w:rsidRPr="002A1F31" w:rsidTr="00FB1519">
        <w:trPr>
          <w:trHeight w:val="272"/>
        </w:trPr>
        <w:tc>
          <w:tcPr>
            <w:tcW w:w="943" w:type="dxa"/>
            <w:vMerge w:val="restart"/>
            <w:tcBorders>
              <w:top w:val="single" w:sz="4" w:space="0" w:color="auto"/>
              <w:bottom w:val="nil"/>
            </w:tcBorders>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skeletal region</w:t>
            </w:r>
          </w:p>
        </w:tc>
        <w:tc>
          <w:tcPr>
            <w:tcW w:w="3229" w:type="dxa"/>
            <w:vMerge w:val="restart"/>
            <w:tcBorders>
              <w:top w:val="single" w:sz="4" w:space="0" w:color="auto"/>
              <w:bottom w:val="nil"/>
            </w:tcBorders>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epiphyseal fusion site</w:t>
            </w:r>
          </w:p>
        </w:tc>
        <w:tc>
          <w:tcPr>
            <w:tcW w:w="914" w:type="dxa"/>
            <w:vMerge w:val="restart"/>
            <w:tcBorders>
              <w:top w:val="single" w:sz="4" w:space="0" w:color="auto"/>
              <w:bottom w:val="nil"/>
            </w:tcBorders>
            <w:shd w:val="clear" w:color="auto" w:fill="auto"/>
            <w:noWrap/>
            <w:vAlign w:val="center"/>
            <w:hideMark/>
          </w:tcPr>
          <w:p w:rsidR="00FA730D" w:rsidRPr="002A1F31" w:rsidRDefault="00FA730D" w:rsidP="00FA730D">
            <w:pPr>
              <w:spacing w:before="0" w:line="240" w:lineRule="auto"/>
              <w:jc w:val="center"/>
              <w:rPr>
                <w:rFonts w:eastAsia="Times New Roman"/>
                <w:b/>
                <w:bCs/>
                <w:i/>
                <w:iCs/>
                <w:color w:val="000000"/>
                <w:lang w:eastAsia="en-GB"/>
              </w:rPr>
            </w:pPr>
            <w:r w:rsidRPr="002A1F31">
              <w:rPr>
                <w:rFonts w:eastAsia="Times New Roman"/>
                <w:b/>
                <w:bCs/>
                <w:i/>
                <w:iCs/>
                <w:color w:val="000000"/>
                <w:lang w:eastAsia="en-GB"/>
              </w:rPr>
              <w:t>N</w:t>
            </w:r>
          </w:p>
        </w:tc>
        <w:tc>
          <w:tcPr>
            <w:tcW w:w="1102" w:type="dxa"/>
            <w:tcBorders>
              <w:top w:val="single" w:sz="4" w:space="0" w:color="auto"/>
              <w:bottom w:val="nil"/>
            </w:tcBorders>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median</w:t>
            </w:r>
          </w:p>
        </w:tc>
        <w:tc>
          <w:tcPr>
            <w:tcW w:w="1276" w:type="dxa"/>
            <w:vMerge w:val="restart"/>
            <w:tcBorders>
              <w:top w:val="single" w:sz="4" w:space="0" w:color="auto"/>
              <w:bottom w:val="nil"/>
            </w:tcBorders>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minimum dental score</w:t>
            </w:r>
          </w:p>
        </w:tc>
        <w:tc>
          <w:tcPr>
            <w:tcW w:w="1340" w:type="dxa"/>
            <w:vMerge w:val="restart"/>
            <w:tcBorders>
              <w:top w:val="single" w:sz="4" w:space="0" w:color="auto"/>
              <w:bottom w:val="nil"/>
            </w:tcBorders>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maximum dental score</w:t>
            </w:r>
          </w:p>
        </w:tc>
      </w:tr>
      <w:tr w:rsidR="00FA730D" w:rsidRPr="002A1F31" w:rsidTr="00FB1519">
        <w:trPr>
          <w:trHeight w:val="272"/>
        </w:trPr>
        <w:tc>
          <w:tcPr>
            <w:tcW w:w="943" w:type="dxa"/>
            <w:vMerge/>
            <w:tcBorders>
              <w:top w:val="nil"/>
              <w:bottom w:val="single" w:sz="4" w:space="0" w:color="auto"/>
            </w:tcBorders>
            <w:vAlign w:val="center"/>
            <w:hideMark/>
          </w:tcPr>
          <w:p w:rsidR="00FA730D" w:rsidRPr="002A1F31" w:rsidRDefault="00FA730D" w:rsidP="00FA730D">
            <w:pPr>
              <w:spacing w:before="0" w:line="240" w:lineRule="auto"/>
              <w:rPr>
                <w:rFonts w:eastAsia="Times New Roman"/>
                <w:b/>
                <w:bCs/>
                <w:color w:val="000000"/>
                <w:lang w:eastAsia="en-GB"/>
              </w:rPr>
            </w:pPr>
          </w:p>
        </w:tc>
        <w:tc>
          <w:tcPr>
            <w:tcW w:w="3229" w:type="dxa"/>
            <w:vMerge/>
            <w:tcBorders>
              <w:top w:val="nil"/>
              <w:bottom w:val="single" w:sz="4" w:space="0" w:color="auto"/>
            </w:tcBorders>
            <w:vAlign w:val="center"/>
            <w:hideMark/>
          </w:tcPr>
          <w:p w:rsidR="00FA730D" w:rsidRPr="002A1F31" w:rsidRDefault="00FA730D" w:rsidP="00FA730D">
            <w:pPr>
              <w:spacing w:before="0" w:line="240" w:lineRule="auto"/>
              <w:rPr>
                <w:rFonts w:eastAsia="Times New Roman"/>
                <w:b/>
                <w:bCs/>
                <w:color w:val="000000"/>
                <w:lang w:eastAsia="en-GB"/>
              </w:rPr>
            </w:pPr>
          </w:p>
        </w:tc>
        <w:tc>
          <w:tcPr>
            <w:tcW w:w="914" w:type="dxa"/>
            <w:vMerge/>
            <w:tcBorders>
              <w:top w:val="nil"/>
              <w:bottom w:val="single" w:sz="4" w:space="0" w:color="auto"/>
            </w:tcBorders>
            <w:vAlign w:val="center"/>
            <w:hideMark/>
          </w:tcPr>
          <w:p w:rsidR="00FA730D" w:rsidRPr="002A1F31" w:rsidRDefault="00FA730D" w:rsidP="00FA730D">
            <w:pPr>
              <w:spacing w:before="0" w:line="240" w:lineRule="auto"/>
              <w:rPr>
                <w:rFonts w:eastAsia="Times New Roman"/>
                <w:b/>
                <w:bCs/>
                <w:i/>
                <w:iCs/>
                <w:color w:val="000000"/>
                <w:lang w:eastAsia="en-GB"/>
              </w:rPr>
            </w:pPr>
          </w:p>
        </w:tc>
        <w:tc>
          <w:tcPr>
            <w:tcW w:w="1102" w:type="dxa"/>
            <w:tcBorders>
              <w:top w:val="nil"/>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dental score</w:t>
            </w:r>
          </w:p>
        </w:tc>
        <w:tc>
          <w:tcPr>
            <w:tcW w:w="1276" w:type="dxa"/>
            <w:vMerge/>
            <w:tcBorders>
              <w:top w:val="nil"/>
              <w:bottom w:val="single" w:sz="4" w:space="0" w:color="auto"/>
            </w:tcBorders>
            <w:vAlign w:val="center"/>
            <w:hideMark/>
          </w:tcPr>
          <w:p w:rsidR="00FA730D" w:rsidRPr="002A1F31" w:rsidRDefault="00FA730D" w:rsidP="00FA730D">
            <w:pPr>
              <w:spacing w:before="0" w:line="240" w:lineRule="auto"/>
              <w:rPr>
                <w:rFonts w:eastAsia="Times New Roman"/>
                <w:b/>
                <w:bCs/>
                <w:color w:val="000000"/>
                <w:lang w:eastAsia="en-GB"/>
              </w:rPr>
            </w:pPr>
          </w:p>
        </w:tc>
        <w:tc>
          <w:tcPr>
            <w:tcW w:w="1340" w:type="dxa"/>
            <w:vMerge/>
            <w:tcBorders>
              <w:top w:val="nil"/>
              <w:bottom w:val="single" w:sz="4" w:space="0" w:color="auto"/>
            </w:tcBorders>
            <w:vAlign w:val="center"/>
            <w:hideMark/>
          </w:tcPr>
          <w:p w:rsidR="00FA730D" w:rsidRPr="002A1F31" w:rsidRDefault="00FA730D" w:rsidP="00FA730D">
            <w:pPr>
              <w:spacing w:before="0" w:line="240" w:lineRule="auto"/>
              <w:rPr>
                <w:rFonts w:eastAsia="Times New Roman"/>
                <w:b/>
                <w:bCs/>
                <w:color w:val="000000"/>
                <w:lang w:eastAsia="en-GB"/>
              </w:rPr>
            </w:pPr>
          </w:p>
        </w:tc>
      </w:tr>
      <w:tr w:rsidR="00FA730D" w:rsidRPr="002A1F31" w:rsidTr="00FB1519">
        <w:trPr>
          <w:trHeight w:val="272"/>
        </w:trPr>
        <w:tc>
          <w:tcPr>
            <w:tcW w:w="943" w:type="dxa"/>
            <w:vMerge w:val="restart"/>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upper limb</w:t>
            </w:r>
          </w:p>
        </w:tc>
        <w:tc>
          <w:tcPr>
            <w:tcW w:w="3229"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proximal humerus</w:t>
            </w:r>
          </w:p>
        </w:tc>
        <w:tc>
          <w:tcPr>
            <w:tcW w:w="914"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7</w:t>
            </w:r>
          </w:p>
        </w:tc>
        <w:tc>
          <w:tcPr>
            <w:tcW w:w="1102"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c>
          <w:tcPr>
            <w:tcW w:w="1276"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340"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Pr>
                <w:rFonts w:eastAsia="Times New Roman"/>
                <w:color w:val="000000"/>
                <w:lang w:eastAsia="en-GB"/>
              </w:rPr>
              <w:t>distal humerus</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58</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43</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Pr>
                <w:rFonts w:eastAsia="Times New Roman"/>
                <w:color w:val="000000"/>
                <w:lang w:eastAsia="en-GB"/>
              </w:rPr>
              <w:t xml:space="preserve">humeral </w:t>
            </w:r>
            <w:r w:rsidRPr="002A1F31">
              <w:rPr>
                <w:rFonts w:eastAsia="Times New Roman"/>
                <w:color w:val="000000"/>
                <w:lang w:eastAsia="en-GB"/>
              </w:rPr>
              <w:t>medial epicondyle</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7</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proximal radius</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3</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distal radius</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8</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proximal ulna</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60.5</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tcBorders>
              <w:bottom w:val="single" w:sz="4" w:space="0" w:color="auto"/>
            </w:tcBorders>
            <w:vAlign w:val="center"/>
            <w:hideMark/>
          </w:tcPr>
          <w:p w:rsidR="00FA730D" w:rsidRPr="002A1F31" w:rsidRDefault="00FA730D" w:rsidP="00FA730D">
            <w:pPr>
              <w:spacing w:before="0" w:line="240" w:lineRule="auto"/>
              <w:rPr>
                <w:rFonts w:eastAsia="Times New Roman"/>
                <w:color w:val="000000"/>
                <w:lang w:eastAsia="en-GB"/>
              </w:rPr>
            </w:pPr>
          </w:p>
        </w:tc>
        <w:tc>
          <w:tcPr>
            <w:tcW w:w="3229"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distal ulna</w:t>
            </w:r>
          </w:p>
        </w:tc>
        <w:tc>
          <w:tcPr>
            <w:tcW w:w="914"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w:t>
            </w:r>
          </w:p>
        </w:tc>
        <w:tc>
          <w:tcPr>
            <w:tcW w:w="1102"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c>
          <w:tcPr>
            <w:tcW w:w="1276"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340"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restart"/>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hand</w:t>
            </w:r>
          </w:p>
        </w:tc>
        <w:tc>
          <w:tcPr>
            <w:tcW w:w="3229"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distal phalanges (hand)</w:t>
            </w:r>
          </w:p>
        </w:tc>
        <w:tc>
          <w:tcPr>
            <w:tcW w:w="914"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2</w:t>
            </w:r>
          </w:p>
        </w:tc>
        <w:tc>
          <w:tcPr>
            <w:tcW w:w="1102"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56.5</w:t>
            </w:r>
          </w:p>
        </w:tc>
        <w:tc>
          <w:tcPr>
            <w:tcW w:w="1276"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58</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base of metacarpal 1</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2</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58</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proximal and middle phalanges (hand)</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r>
      <w:tr w:rsidR="00FA730D" w:rsidRPr="002A1F31" w:rsidTr="00FB1519">
        <w:trPr>
          <w:trHeight w:val="272"/>
        </w:trPr>
        <w:tc>
          <w:tcPr>
            <w:tcW w:w="943" w:type="dxa"/>
            <w:vMerge/>
            <w:tcBorders>
              <w:bottom w:val="single" w:sz="4" w:space="0" w:color="auto"/>
            </w:tcBorders>
            <w:vAlign w:val="center"/>
            <w:hideMark/>
          </w:tcPr>
          <w:p w:rsidR="00FA730D" w:rsidRPr="002A1F31" w:rsidRDefault="00FA730D" w:rsidP="00FA730D">
            <w:pPr>
              <w:spacing w:before="0" w:line="240" w:lineRule="auto"/>
              <w:rPr>
                <w:rFonts w:eastAsia="Times New Roman"/>
                <w:color w:val="000000"/>
                <w:lang w:eastAsia="en-GB"/>
              </w:rPr>
            </w:pPr>
          </w:p>
        </w:tc>
        <w:tc>
          <w:tcPr>
            <w:tcW w:w="3229"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metacarpal heads 2-5</w:t>
            </w:r>
          </w:p>
        </w:tc>
        <w:tc>
          <w:tcPr>
            <w:tcW w:w="914"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2</w:t>
            </w:r>
          </w:p>
        </w:tc>
        <w:tc>
          <w:tcPr>
            <w:tcW w:w="1102"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62</w:t>
            </w:r>
          </w:p>
        </w:tc>
        <w:tc>
          <w:tcPr>
            <w:tcW w:w="1276"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c>
          <w:tcPr>
            <w:tcW w:w="1340"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r>
      <w:tr w:rsidR="00FA730D" w:rsidRPr="002A1F31" w:rsidTr="00FB1519">
        <w:trPr>
          <w:trHeight w:val="272"/>
        </w:trPr>
        <w:tc>
          <w:tcPr>
            <w:tcW w:w="943" w:type="dxa"/>
            <w:vMerge w:val="restart"/>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lower limb</w:t>
            </w:r>
          </w:p>
        </w:tc>
        <w:tc>
          <w:tcPr>
            <w:tcW w:w="3229"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femoral head</w:t>
            </w:r>
          </w:p>
        </w:tc>
        <w:tc>
          <w:tcPr>
            <w:tcW w:w="914"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4</w:t>
            </w:r>
          </w:p>
        </w:tc>
        <w:tc>
          <w:tcPr>
            <w:tcW w:w="1102"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greater trochanter</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1</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lesser trochanter</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3</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58</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distal femur</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7</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62</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59</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proximal tibia</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7</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62</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distal tibia</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proximal fibula</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tcBorders>
              <w:bottom w:val="single" w:sz="4" w:space="0" w:color="auto"/>
            </w:tcBorders>
            <w:vAlign w:val="center"/>
            <w:hideMark/>
          </w:tcPr>
          <w:p w:rsidR="00FA730D" w:rsidRPr="002A1F31" w:rsidRDefault="00FA730D" w:rsidP="00FA730D">
            <w:pPr>
              <w:spacing w:before="0" w:line="240" w:lineRule="auto"/>
              <w:rPr>
                <w:rFonts w:eastAsia="Times New Roman"/>
                <w:color w:val="000000"/>
                <w:lang w:eastAsia="en-GB"/>
              </w:rPr>
            </w:pPr>
          </w:p>
        </w:tc>
        <w:tc>
          <w:tcPr>
            <w:tcW w:w="3229"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distal fibula</w:t>
            </w:r>
          </w:p>
        </w:tc>
        <w:tc>
          <w:tcPr>
            <w:tcW w:w="914"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7</w:t>
            </w:r>
          </w:p>
        </w:tc>
        <w:tc>
          <w:tcPr>
            <w:tcW w:w="1102"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restart"/>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foot</w:t>
            </w:r>
          </w:p>
        </w:tc>
        <w:tc>
          <w:tcPr>
            <w:tcW w:w="3229"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calcaneus</w:t>
            </w:r>
          </w:p>
        </w:tc>
        <w:tc>
          <w:tcPr>
            <w:tcW w:w="914"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3</w:t>
            </w:r>
          </w:p>
        </w:tc>
        <w:tc>
          <w:tcPr>
            <w:tcW w:w="1102"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talus</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0</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 </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 </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 </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distal phalanges (foot)</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2</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58</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middle phalanges (foot)</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3</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59</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metatarsal heads (2-5)</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2</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62</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base of metatarsal 1</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2</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59</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tcBorders>
              <w:bottom w:val="single" w:sz="4" w:space="0" w:color="auto"/>
            </w:tcBorders>
            <w:vAlign w:val="center"/>
            <w:hideMark/>
          </w:tcPr>
          <w:p w:rsidR="00FA730D" w:rsidRPr="002A1F31" w:rsidRDefault="00FA730D" w:rsidP="00FA730D">
            <w:pPr>
              <w:spacing w:before="0" w:line="240" w:lineRule="auto"/>
              <w:rPr>
                <w:rFonts w:eastAsia="Times New Roman"/>
                <w:color w:val="000000"/>
                <w:lang w:eastAsia="en-GB"/>
              </w:rPr>
            </w:pPr>
          </w:p>
        </w:tc>
        <w:tc>
          <w:tcPr>
            <w:tcW w:w="3229"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proximal phalanges (foot)</w:t>
            </w:r>
          </w:p>
        </w:tc>
        <w:tc>
          <w:tcPr>
            <w:tcW w:w="914"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2</w:t>
            </w:r>
          </w:p>
        </w:tc>
        <w:tc>
          <w:tcPr>
            <w:tcW w:w="1102"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59</w:t>
            </w:r>
          </w:p>
        </w:tc>
        <w:tc>
          <w:tcPr>
            <w:tcW w:w="1340"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restart"/>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pelvis</w:t>
            </w:r>
          </w:p>
        </w:tc>
        <w:tc>
          <w:tcPr>
            <w:tcW w:w="3229"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triradiate</w:t>
            </w:r>
          </w:p>
        </w:tc>
        <w:tc>
          <w:tcPr>
            <w:tcW w:w="914"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8</w:t>
            </w:r>
          </w:p>
        </w:tc>
        <w:tc>
          <w:tcPr>
            <w:tcW w:w="1102"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31</w:t>
            </w:r>
          </w:p>
        </w:tc>
        <w:tc>
          <w:tcPr>
            <w:tcW w:w="1340"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anterior inferior iliac spine</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1</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55</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iliac crest</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64</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tcBorders>
              <w:bottom w:val="single" w:sz="4" w:space="0" w:color="auto"/>
            </w:tcBorders>
            <w:vAlign w:val="center"/>
            <w:hideMark/>
          </w:tcPr>
          <w:p w:rsidR="00FA730D" w:rsidRPr="002A1F31" w:rsidRDefault="00FA730D" w:rsidP="00FA730D">
            <w:pPr>
              <w:spacing w:before="0" w:line="240" w:lineRule="auto"/>
              <w:rPr>
                <w:rFonts w:eastAsia="Times New Roman"/>
                <w:color w:val="000000"/>
                <w:lang w:eastAsia="en-GB"/>
              </w:rPr>
            </w:pPr>
          </w:p>
        </w:tc>
        <w:tc>
          <w:tcPr>
            <w:tcW w:w="3229"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ischia</w:t>
            </w:r>
            <w:r>
              <w:rPr>
                <w:rFonts w:eastAsia="Times New Roman"/>
                <w:color w:val="000000"/>
                <w:lang w:eastAsia="en-GB"/>
              </w:rPr>
              <w:t>l</w:t>
            </w:r>
            <w:r w:rsidRPr="002A1F31">
              <w:rPr>
                <w:rFonts w:eastAsia="Times New Roman"/>
                <w:color w:val="000000"/>
                <w:lang w:eastAsia="en-GB"/>
              </w:rPr>
              <w:t xml:space="preserve"> epiphysis</w:t>
            </w:r>
          </w:p>
        </w:tc>
        <w:tc>
          <w:tcPr>
            <w:tcW w:w="914"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4</w:t>
            </w:r>
          </w:p>
        </w:tc>
        <w:tc>
          <w:tcPr>
            <w:tcW w:w="1102"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62.5</w:t>
            </w:r>
          </w:p>
        </w:tc>
        <w:tc>
          <w:tcPr>
            <w:tcW w:w="1276"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340"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val="restart"/>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clavicle</w:t>
            </w:r>
          </w:p>
        </w:tc>
        <w:tc>
          <w:tcPr>
            <w:tcW w:w="3229"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medial clavicle</w:t>
            </w:r>
          </w:p>
        </w:tc>
        <w:tc>
          <w:tcPr>
            <w:tcW w:w="914"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4</w:t>
            </w:r>
          </w:p>
        </w:tc>
        <w:tc>
          <w:tcPr>
            <w:tcW w:w="1102"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64</w:t>
            </w:r>
          </w:p>
        </w:tc>
        <w:tc>
          <w:tcPr>
            <w:tcW w:w="1276"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c>
          <w:tcPr>
            <w:tcW w:w="1340"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r w:rsidR="00FA730D" w:rsidRPr="002A1F31" w:rsidTr="00FB1519">
        <w:trPr>
          <w:trHeight w:val="272"/>
        </w:trPr>
        <w:tc>
          <w:tcPr>
            <w:tcW w:w="943" w:type="dxa"/>
            <w:vMerge/>
            <w:tcBorders>
              <w:bottom w:val="single" w:sz="4" w:space="0" w:color="auto"/>
            </w:tcBorders>
            <w:vAlign w:val="center"/>
            <w:hideMark/>
          </w:tcPr>
          <w:p w:rsidR="00FA730D" w:rsidRPr="002A1F31" w:rsidRDefault="00FA730D" w:rsidP="00FA730D">
            <w:pPr>
              <w:spacing w:before="0" w:line="240" w:lineRule="auto"/>
              <w:rPr>
                <w:rFonts w:eastAsia="Times New Roman"/>
                <w:color w:val="000000"/>
                <w:lang w:eastAsia="en-GB"/>
              </w:rPr>
            </w:pPr>
          </w:p>
        </w:tc>
        <w:tc>
          <w:tcPr>
            <w:tcW w:w="3229"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lateral clavicle</w:t>
            </w:r>
          </w:p>
        </w:tc>
        <w:tc>
          <w:tcPr>
            <w:tcW w:w="914"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1</w:t>
            </w:r>
          </w:p>
        </w:tc>
        <w:tc>
          <w:tcPr>
            <w:tcW w:w="1102"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50</w:t>
            </w:r>
          </w:p>
        </w:tc>
        <w:tc>
          <w:tcPr>
            <w:tcW w:w="1276"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50</w:t>
            </w:r>
          </w:p>
        </w:tc>
        <w:tc>
          <w:tcPr>
            <w:tcW w:w="1340" w:type="dxa"/>
            <w:tcBorders>
              <w:bottom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50</w:t>
            </w:r>
          </w:p>
        </w:tc>
      </w:tr>
      <w:tr w:rsidR="00FA730D" w:rsidRPr="002A1F31" w:rsidTr="00FB1519">
        <w:trPr>
          <w:trHeight w:val="272"/>
        </w:trPr>
        <w:tc>
          <w:tcPr>
            <w:tcW w:w="943" w:type="dxa"/>
            <w:vMerge w:val="restart"/>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scapula</w:t>
            </w:r>
          </w:p>
        </w:tc>
        <w:tc>
          <w:tcPr>
            <w:tcW w:w="3229"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coracoid</w:t>
            </w:r>
          </w:p>
        </w:tc>
        <w:tc>
          <w:tcPr>
            <w:tcW w:w="914"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w:t>
            </w:r>
          </w:p>
        </w:tc>
        <w:tc>
          <w:tcPr>
            <w:tcW w:w="1102"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58</w:t>
            </w:r>
          </w:p>
        </w:tc>
        <w:tc>
          <w:tcPr>
            <w:tcW w:w="1340" w:type="dxa"/>
            <w:tcBorders>
              <w:top w:val="single" w:sz="4" w:space="0" w:color="auto"/>
            </w:tcBorders>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sub-coracoid and glenoid</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7</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58</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13</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61</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acromium</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2</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60</w:t>
            </w:r>
          </w:p>
        </w:tc>
      </w:tr>
      <w:tr w:rsidR="00FA730D" w:rsidRPr="002A1F31" w:rsidTr="00FB1519">
        <w:trPr>
          <w:trHeight w:val="272"/>
        </w:trPr>
        <w:tc>
          <w:tcPr>
            <w:tcW w:w="943" w:type="dxa"/>
            <w:vMerge/>
            <w:vAlign w:val="center"/>
            <w:hideMark/>
          </w:tcPr>
          <w:p w:rsidR="00FA730D" w:rsidRPr="002A1F31" w:rsidRDefault="00FA730D" w:rsidP="00FA730D">
            <w:pPr>
              <w:spacing w:before="0" w:line="240" w:lineRule="auto"/>
              <w:rPr>
                <w:rFonts w:eastAsia="Times New Roman"/>
                <w:color w:val="000000"/>
                <w:lang w:eastAsia="en-GB"/>
              </w:rPr>
            </w:pPr>
          </w:p>
        </w:tc>
        <w:tc>
          <w:tcPr>
            <w:tcW w:w="3229"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medial border</w:t>
            </w:r>
          </w:p>
        </w:tc>
        <w:tc>
          <w:tcPr>
            <w:tcW w:w="914"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4</w:t>
            </w:r>
          </w:p>
        </w:tc>
        <w:tc>
          <w:tcPr>
            <w:tcW w:w="1102" w:type="dxa"/>
            <w:shd w:val="clear" w:color="auto" w:fill="auto"/>
            <w:noWrap/>
            <w:vAlign w:val="center"/>
            <w:hideMark/>
          </w:tcPr>
          <w:p w:rsidR="00FA730D" w:rsidRPr="002A1F31" w:rsidRDefault="00FA730D" w:rsidP="00FA730D">
            <w:pPr>
              <w:spacing w:before="0" w:line="240" w:lineRule="auto"/>
              <w:jc w:val="center"/>
              <w:rPr>
                <w:rFonts w:eastAsia="Times New Roman"/>
                <w:b/>
                <w:bCs/>
                <w:color w:val="000000"/>
                <w:lang w:eastAsia="en-GB"/>
              </w:rPr>
            </w:pPr>
            <w:r w:rsidRPr="002A1F31">
              <w:rPr>
                <w:rFonts w:eastAsia="Times New Roman"/>
                <w:b/>
                <w:bCs/>
                <w:color w:val="000000"/>
                <w:lang w:eastAsia="en-GB"/>
              </w:rPr>
              <w:t>64</w:t>
            </w:r>
          </w:p>
        </w:tc>
        <w:tc>
          <w:tcPr>
            <w:tcW w:w="1276"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63</w:t>
            </w:r>
          </w:p>
        </w:tc>
        <w:tc>
          <w:tcPr>
            <w:tcW w:w="1340" w:type="dxa"/>
            <w:shd w:val="clear" w:color="auto" w:fill="auto"/>
            <w:noWrap/>
            <w:vAlign w:val="center"/>
            <w:hideMark/>
          </w:tcPr>
          <w:p w:rsidR="00FA730D" w:rsidRPr="002A1F31" w:rsidRDefault="00FA730D" w:rsidP="00FA730D">
            <w:pPr>
              <w:spacing w:before="0" w:line="240" w:lineRule="auto"/>
              <w:jc w:val="center"/>
              <w:rPr>
                <w:rFonts w:eastAsia="Times New Roman"/>
                <w:color w:val="000000"/>
                <w:lang w:eastAsia="en-GB"/>
              </w:rPr>
            </w:pPr>
            <w:r w:rsidRPr="002A1F31">
              <w:rPr>
                <w:rFonts w:eastAsia="Times New Roman"/>
                <w:color w:val="000000"/>
                <w:lang w:eastAsia="en-GB"/>
              </w:rPr>
              <w:t>64</w:t>
            </w:r>
          </w:p>
        </w:tc>
      </w:tr>
    </w:tbl>
    <w:p w:rsidR="00FA730D" w:rsidRPr="005243E2" w:rsidRDefault="00DB0B33" w:rsidP="00733544">
      <w:pPr>
        <w:pStyle w:val="Table"/>
      </w:pPr>
      <w:bookmarkStart w:id="3535" w:name="_Toc373177895"/>
      <w:bookmarkStart w:id="3536" w:name="_Toc373484434"/>
      <w:r w:rsidRPr="00DB0B33">
        <w:rPr>
          <w:b/>
        </w:rPr>
        <w:lastRenderedPageBreak/>
        <w:t>Table 8.13</w:t>
      </w:r>
      <w:r w:rsidR="00FA730D">
        <w:t xml:space="preserve"> </w:t>
      </w:r>
      <w:r w:rsidR="00FA730D" w:rsidRPr="00EF5A9A">
        <w:t>Median values</w:t>
      </w:r>
      <w:r w:rsidR="00FA730D">
        <w:t xml:space="preserve"> </w:t>
      </w:r>
      <w:r w:rsidR="00FA730D" w:rsidRPr="00EF5A9A">
        <w:t xml:space="preserve">and ranges of </w:t>
      </w:r>
      <w:r w:rsidR="00FA730D">
        <w:t>dental score</w:t>
      </w:r>
      <w:r w:rsidR="00FA730D" w:rsidRPr="00EF5A9A">
        <w:t xml:space="preserve"> </w:t>
      </w:r>
      <w:r w:rsidR="00FA730D">
        <w:t xml:space="preserve">for </w:t>
      </w:r>
      <w:r w:rsidR="00FA730D" w:rsidRPr="00EF5A9A">
        <w:t xml:space="preserve">all complete fusion epiphyses in </w:t>
      </w:r>
      <w:r w:rsidR="00FA730D" w:rsidRPr="00EF5A9A">
        <w:rPr>
          <w:i/>
        </w:rPr>
        <w:t>Pan troglodytes</w:t>
      </w:r>
      <w:r w:rsidR="00FA730D">
        <w:t xml:space="preserve"> males.</w:t>
      </w:r>
      <w:bookmarkEnd w:id="3535"/>
      <w:bookmarkEnd w:id="3536"/>
    </w:p>
    <w:tbl>
      <w:tblPr>
        <w:tblW w:w="8841" w:type="dxa"/>
        <w:tblInd w:w="93" w:type="dxa"/>
        <w:tblBorders>
          <w:top w:val="single" w:sz="4" w:space="0" w:color="auto"/>
          <w:bottom w:val="single" w:sz="4" w:space="0" w:color="auto"/>
        </w:tblBorders>
        <w:tblLook w:val="04A0" w:firstRow="1" w:lastRow="0" w:firstColumn="1" w:lastColumn="0" w:noHBand="0" w:noVBand="1"/>
      </w:tblPr>
      <w:tblGrid>
        <w:gridCol w:w="990"/>
        <w:gridCol w:w="3427"/>
        <w:gridCol w:w="960"/>
        <w:gridCol w:w="1161"/>
        <w:gridCol w:w="1133"/>
        <w:gridCol w:w="1170"/>
      </w:tblGrid>
      <w:tr w:rsidR="00FA730D" w:rsidRPr="00945CB1" w:rsidTr="00FB1519">
        <w:trPr>
          <w:trHeight w:val="284"/>
        </w:trPr>
        <w:tc>
          <w:tcPr>
            <w:tcW w:w="990" w:type="dxa"/>
            <w:vMerge w:val="restart"/>
            <w:tcBorders>
              <w:top w:val="single" w:sz="4" w:space="0" w:color="auto"/>
              <w:bottom w:val="nil"/>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skeletal region</w:t>
            </w:r>
          </w:p>
        </w:tc>
        <w:tc>
          <w:tcPr>
            <w:tcW w:w="3427" w:type="dxa"/>
            <w:vMerge w:val="restart"/>
            <w:tcBorders>
              <w:top w:val="single" w:sz="4" w:space="0" w:color="auto"/>
              <w:bottom w:val="nil"/>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epiphyseal fusion site</w:t>
            </w:r>
          </w:p>
        </w:tc>
        <w:tc>
          <w:tcPr>
            <w:tcW w:w="960" w:type="dxa"/>
            <w:vMerge w:val="restart"/>
            <w:tcBorders>
              <w:top w:val="single" w:sz="4" w:space="0" w:color="auto"/>
              <w:bottom w:val="nil"/>
            </w:tcBorders>
            <w:shd w:val="clear" w:color="auto" w:fill="auto"/>
            <w:noWrap/>
            <w:vAlign w:val="center"/>
            <w:hideMark/>
          </w:tcPr>
          <w:p w:rsidR="00FA730D" w:rsidRPr="00945CB1" w:rsidRDefault="00FA730D" w:rsidP="00FA730D">
            <w:pPr>
              <w:spacing w:before="0" w:line="240" w:lineRule="auto"/>
              <w:jc w:val="center"/>
              <w:rPr>
                <w:rFonts w:eastAsia="Times New Roman"/>
                <w:b/>
                <w:bCs/>
                <w:i/>
                <w:iCs/>
                <w:color w:val="000000"/>
                <w:lang w:eastAsia="en-GB"/>
              </w:rPr>
            </w:pPr>
            <w:r w:rsidRPr="00945CB1">
              <w:rPr>
                <w:rFonts w:eastAsia="Times New Roman"/>
                <w:b/>
                <w:bCs/>
                <w:i/>
                <w:iCs/>
                <w:color w:val="000000"/>
                <w:lang w:eastAsia="en-GB"/>
              </w:rPr>
              <w:t>N</w:t>
            </w:r>
          </w:p>
        </w:tc>
        <w:tc>
          <w:tcPr>
            <w:tcW w:w="1161" w:type="dxa"/>
            <w:tcBorders>
              <w:top w:val="single" w:sz="4" w:space="0" w:color="auto"/>
              <w:bottom w:val="nil"/>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median</w:t>
            </w:r>
          </w:p>
        </w:tc>
        <w:tc>
          <w:tcPr>
            <w:tcW w:w="1133" w:type="dxa"/>
            <w:vMerge w:val="restart"/>
            <w:tcBorders>
              <w:top w:val="single" w:sz="4" w:space="0" w:color="auto"/>
              <w:bottom w:val="nil"/>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minimum dental score</w:t>
            </w:r>
          </w:p>
        </w:tc>
        <w:tc>
          <w:tcPr>
            <w:tcW w:w="1170" w:type="dxa"/>
            <w:vMerge w:val="restart"/>
            <w:tcBorders>
              <w:top w:val="single" w:sz="4" w:space="0" w:color="auto"/>
              <w:bottom w:val="nil"/>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maximum dental score</w:t>
            </w:r>
          </w:p>
        </w:tc>
      </w:tr>
      <w:tr w:rsidR="00FA730D" w:rsidRPr="00945CB1" w:rsidTr="00FB1519">
        <w:trPr>
          <w:trHeight w:val="284"/>
        </w:trPr>
        <w:tc>
          <w:tcPr>
            <w:tcW w:w="990" w:type="dxa"/>
            <w:vMerge/>
            <w:tcBorders>
              <w:top w:val="nil"/>
              <w:bottom w:val="single" w:sz="4" w:space="0" w:color="auto"/>
            </w:tcBorders>
            <w:vAlign w:val="center"/>
            <w:hideMark/>
          </w:tcPr>
          <w:p w:rsidR="00FA730D" w:rsidRPr="00945CB1" w:rsidRDefault="00FA730D" w:rsidP="00FA730D">
            <w:pPr>
              <w:spacing w:before="0" w:line="240" w:lineRule="auto"/>
              <w:rPr>
                <w:rFonts w:eastAsia="Times New Roman"/>
                <w:b/>
                <w:bCs/>
                <w:color w:val="000000"/>
                <w:lang w:eastAsia="en-GB"/>
              </w:rPr>
            </w:pPr>
          </w:p>
        </w:tc>
        <w:tc>
          <w:tcPr>
            <w:tcW w:w="3427" w:type="dxa"/>
            <w:vMerge/>
            <w:tcBorders>
              <w:top w:val="nil"/>
              <w:bottom w:val="single" w:sz="4" w:space="0" w:color="auto"/>
            </w:tcBorders>
            <w:vAlign w:val="center"/>
            <w:hideMark/>
          </w:tcPr>
          <w:p w:rsidR="00FA730D" w:rsidRPr="00945CB1" w:rsidRDefault="00FA730D" w:rsidP="00FA730D">
            <w:pPr>
              <w:spacing w:before="0" w:line="240" w:lineRule="auto"/>
              <w:rPr>
                <w:rFonts w:eastAsia="Times New Roman"/>
                <w:b/>
                <w:bCs/>
                <w:color w:val="000000"/>
                <w:lang w:eastAsia="en-GB"/>
              </w:rPr>
            </w:pPr>
          </w:p>
        </w:tc>
        <w:tc>
          <w:tcPr>
            <w:tcW w:w="960" w:type="dxa"/>
            <w:vMerge/>
            <w:tcBorders>
              <w:top w:val="nil"/>
              <w:bottom w:val="single" w:sz="4" w:space="0" w:color="auto"/>
            </w:tcBorders>
            <w:vAlign w:val="center"/>
            <w:hideMark/>
          </w:tcPr>
          <w:p w:rsidR="00FA730D" w:rsidRPr="00945CB1" w:rsidRDefault="00FA730D" w:rsidP="00FA730D">
            <w:pPr>
              <w:spacing w:before="0" w:line="240" w:lineRule="auto"/>
              <w:rPr>
                <w:rFonts w:eastAsia="Times New Roman"/>
                <w:b/>
                <w:bCs/>
                <w:i/>
                <w:iCs/>
                <w:color w:val="000000"/>
                <w:lang w:eastAsia="en-GB"/>
              </w:rPr>
            </w:pPr>
          </w:p>
        </w:tc>
        <w:tc>
          <w:tcPr>
            <w:tcW w:w="1161" w:type="dxa"/>
            <w:tcBorders>
              <w:top w:val="nil"/>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dental score</w:t>
            </w:r>
          </w:p>
        </w:tc>
        <w:tc>
          <w:tcPr>
            <w:tcW w:w="1133" w:type="dxa"/>
            <w:vMerge/>
            <w:tcBorders>
              <w:top w:val="nil"/>
              <w:bottom w:val="single" w:sz="4" w:space="0" w:color="auto"/>
            </w:tcBorders>
            <w:vAlign w:val="center"/>
            <w:hideMark/>
          </w:tcPr>
          <w:p w:rsidR="00FA730D" w:rsidRPr="00945CB1" w:rsidRDefault="00FA730D" w:rsidP="00FA730D">
            <w:pPr>
              <w:spacing w:before="0" w:line="240" w:lineRule="auto"/>
              <w:rPr>
                <w:rFonts w:eastAsia="Times New Roman"/>
                <w:b/>
                <w:bCs/>
                <w:color w:val="000000"/>
                <w:lang w:eastAsia="en-GB"/>
              </w:rPr>
            </w:pPr>
          </w:p>
        </w:tc>
        <w:tc>
          <w:tcPr>
            <w:tcW w:w="1170" w:type="dxa"/>
            <w:vMerge/>
            <w:tcBorders>
              <w:top w:val="nil"/>
              <w:bottom w:val="single" w:sz="4" w:space="0" w:color="auto"/>
            </w:tcBorders>
            <w:vAlign w:val="center"/>
            <w:hideMark/>
          </w:tcPr>
          <w:p w:rsidR="00FA730D" w:rsidRPr="00945CB1" w:rsidRDefault="00FA730D" w:rsidP="00FA730D">
            <w:pPr>
              <w:spacing w:before="0" w:line="240" w:lineRule="auto"/>
              <w:rPr>
                <w:rFonts w:eastAsia="Times New Roman"/>
                <w:b/>
                <w:bCs/>
                <w:color w:val="000000"/>
                <w:lang w:eastAsia="en-GB"/>
              </w:rPr>
            </w:pPr>
          </w:p>
        </w:tc>
      </w:tr>
      <w:tr w:rsidR="00FA730D" w:rsidRPr="00945CB1" w:rsidTr="00FB1519">
        <w:trPr>
          <w:trHeight w:val="284"/>
        </w:trPr>
        <w:tc>
          <w:tcPr>
            <w:tcW w:w="990" w:type="dxa"/>
            <w:vMerge w:val="restart"/>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upper limb</w:t>
            </w:r>
          </w:p>
        </w:tc>
        <w:tc>
          <w:tcPr>
            <w:tcW w:w="3427"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proximal humerus</w:t>
            </w:r>
          </w:p>
        </w:tc>
        <w:tc>
          <w:tcPr>
            <w:tcW w:w="96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3</w:t>
            </w:r>
          </w:p>
        </w:tc>
        <w:tc>
          <w:tcPr>
            <w:tcW w:w="1161"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c>
          <w:tcPr>
            <w:tcW w:w="117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Pr>
                <w:rFonts w:eastAsia="Times New Roman"/>
                <w:color w:val="000000"/>
                <w:lang w:eastAsia="en-GB"/>
              </w:rPr>
              <w:t>distal humerus</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18</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61.5</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55</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Pr>
                <w:rFonts w:eastAsia="Times New Roman"/>
                <w:color w:val="000000"/>
                <w:lang w:eastAsia="en-GB"/>
              </w:rPr>
              <w:t xml:space="preserve">humeral </w:t>
            </w:r>
            <w:r w:rsidRPr="00945CB1">
              <w:rPr>
                <w:rFonts w:eastAsia="Times New Roman"/>
                <w:color w:val="000000"/>
                <w:lang w:eastAsia="en-GB"/>
              </w:rPr>
              <w:t>medial epicondyle</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13</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proximal radius</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10</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60</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distal radius</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3</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proximal ulna</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12</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tcBorders>
              <w:bottom w:val="single" w:sz="4" w:space="0" w:color="auto"/>
            </w:tcBorders>
            <w:vAlign w:val="center"/>
            <w:hideMark/>
          </w:tcPr>
          <w:p w:rsidR="00FA730D" w:rsidRPr="00945CB1" w:rsidRDefault="00FA730D" w:rsidP="00FA730D">
            <w:pPr>
              <w:spacing w:before="0" w:line="240" w:lineRule="auto"/>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distal ulna</w:t>
            </w:r>
          </w:p>
        </w:tc>
        <w:tc>
          <w:tcPr>
            <w:tcW w:w="96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4</w:t>
            </w:r>
          </w:p>
        </w:tc>
        <w:tc>
          <w:tcPr>
            <w:tcW w:w="1161"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7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restart"/>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hand</w:t>
            </w:r>
          </w:p>
        </w:tc>
        <w:tc>
          <w:tcPr>
            <w:tcW w:w="3427"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distal phalanges (hand)</w:t>
            </w:r>
          </w:p>
        </w:tc>
        <w:tc>
          <w:tcPr>
            <w:tcW w:w="96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w:t>
            </w:r>
          </w:p>
        </w:tc>
        <w:tc>
          <w:tcPr>
            <w:tcW w:w="1161"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base of metacarpal 1</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10</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63.5</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proximal and middle phalanges (hand)</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8</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62</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tcBorders>
              <w:bottom w:val="single" w:sz="4" w:space="0" w:color="auto"/>
            </w:tcBorders>
            <w:vAlign w:val="center"/>
            <w:hideMark/>
          </w:tcPr>
          <w:p w:rsidR="00FA730D" w:rsidRPr="00945CB1" w:rsidRDefault="00FA730D" w:rsidP="00FA730D">
            <w:pPr>
              <w:spacing w:before="0" w:line="240" w:lineRule="auto"/>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metacarpal heads 2-5</w:t>
            </w:r>
          </w:p>
        </w:tc>
        <w:tc>
          <w:tcPr>
            <w:tcW w:w="96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8</w:t>
            </w:r>
          </w:p>
        </w:tc>
        <w:tc>
          <w:tcPr>
            <w:tcW w:w="1161"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62</w:t>
            </w:r>
          </w:p>
        </w:tc>
        <w:tc>
          <w:tcPr>
            <w:tcW w:w="117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restart"/>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lower limb</w:t>
            </w:r>
          </w:p>
        </w:tc>
        <w:tc>
          <w:tcPr>
            <w:tcW w:w="3427"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femoral head</w:t>
            </w:r>
          </w:p>
        </w:tc>
        <w:tc>
          <w:tcPr>
            <w:tcW w:w="96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10</w:t>
            </w:r>
          </w:p>
        </w:tc>
        <w:tc>
          <w:tcPr>
            <w:tcW w:w="1161"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60</w:t>
            </w:r>
          </w:p>
        </w:tc>
        <w:tc>
          <w:tcPr>
            <w:tcW w:w="117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greater trochanter</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12</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lesser trochanter</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12</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distal femur</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proximal tibia</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distal tibia</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proximal fibula</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62</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tcBorders>
              <w:bottom w:val="single" w:sz="4" w:space="0" w:color="auto"/>
            </w:tcBorders>
            <w:vAlign w:val="center"/>
            <w:hideMark/>
          </w:tcPr>
          <w:p w:rsidR="00FA730D" w:rsidRPr="00945CB1" w:rsidRDefault="00FA730D" w:rsidP="00FA730D">
            <w:pPr>
              <w:spacing w:before="0" w:line="240" w:lineRule="auto"/>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distal fibula</w:t>
            </w:r>
          </w:p>
        </w:tc>
        <w:tc>
          <w:tcPr>
            <w:tcW w:w="96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w:t>
            </w:r>
          </w:p>
        </w:tc>
        <w:tc>
          <w:tcPr>
            <w:tcW w:w="1161"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62</w:t>
            </w:r>
          </w:p>
        </w:tc>
        <w:tc>
          <w:tcPr>
            <w:tcW w:w="117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restart"/>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foot</w:t>
            </w:r>
          </w:p>
        </w:tc>
        <w:tc>
          <w:tcPr>
            <w:tcW w:w="3427"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calcaneus</w:t>
            </w:r>
          </w:p>
        </w:tc>
        <w:tc>
          <w:tcPr>
            <w:tcW w:w="96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11</w:t>
            </w:r>
          </w:p>
        </w:tc>
        <w:tc>
          <w:tcPr>
            <w:tcW w:w="1161"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talus</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21</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61</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43</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distal phalanges (foot)</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9</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middle phalanges (foot)</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8</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63.5</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62</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metatarsal heads (2-5)</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7</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62</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base of metatarsal 1</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9</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62</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tcBorders>
              <w:bottom w:val="single" w:sz="4" w:space="0" w:color="auto"/>
            </w:tcBorders>
            <w:shd w:val="clear" w:color="auto" w:fill="auto"/>
            <w:noWrap/>
            <w:vAlign w:val="center"/>
            <w:hideMark/>
          </w:tcPr>
          <w:p w:rsidR="00FA730D" w:rsidRPr="00945CB1" w:rsidRDefault="00FA730D" w:rsidP="00FA730D">
            <w:pPr>
              <w:spacing w:before="0" w:line="240" w:lineRule="auto"/>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proximal phalanges (foot)</w:t>
            </w:r>
          </w:p>
        </w:tc>
        <w:tc>
          <w:tcPr>
            <w:tcW w:w="96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8</w:t>
            </w:r>
          </w:p>
        </w:tc>
        <w:tc>
          <w:tcPr>
            <w:tcW w:w="1161"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7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restart"/>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pelvis</w:t>
            </w:r>
          </w:p>
        </w:tc>
        <w:tc>
          <w:tcPr>
            <w:tcW w:w="3427"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triradiate</w:t>
            </w:r>
          </w:p>
        </w:tc>
        <w:tc>
          <w:tcPr>
            <w:tcW w:w="96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13</w:t>
            </w:r>
          </w:p>
        </w:tc>
        <w:tc>
          <w:tcPr>
            <w:tcW w:w="1161"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58</w:t>
            </w:r>
          </w:p>
        </w:tc>
        <w:tc>
          <w:tcPr>
            <w:tcW w:w="117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anterior inferior iliac spine</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iliac crest</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tcBorders>
              <w:bottom w:val="single" w:sz="4" w:space="0" w:color="auto"/>
            </w:tcBorders>
            <w:vAlign w:val="center"/>
            <w:hideMark/>
          </w:tcPr>
          <w:p w:rsidR="00FA730D" w:rsidRPr="00945CB1" w:rsidRDefault="00FA730D" w:rsidP="00FA730D">
            <w:pPr>
              <w:spacing w:before="0" w:line="240" w:lineRule="auto"/>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ischia</w:t>
            </w:r>
            <w:r>
              <w:rPr>
                <w:rFonts w:eastAsia="Times New Roman"/>
                <w:color w:val="000000"/>
                <w:lang w:eastAsia="en-GB"/>
              </w:rPr>
              <w:t>l</w:t>
            </w:r>
            <w:r w:rsidRPr="00945CB1">
              <w:rPr>
                <w:rFonts w:eastAsia="Times New Roman"/>
                <w:color w:val="000000"/>
                <w:lang w:eastAsia="en-GB"/>
              </w:rPr>
              <w:t xml:space="preserve"> epiphysis</w:t>
            </w:r>
          </w:p>
        </w:tc>
        <w:tc>
          <w:tcPr>
            <w:tcW w:w="96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w:t>
            </w:r>
          </w:p>
        </w:tc>
        <w:tc>
          <w:tcPr>
            <w:tcW w:w="1161"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7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restart"/>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clavicle</w:t>
            </w:r>
          </w:p>
        </w:tc>
        <w:tc>
          <w:tcPr>
            <w:tcW w:w="3427"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medial clavicle</w:t>
            </w:r>
          </w:p>
        </w:tc>
        <w:tc>
          <w:tcPr>
            <w:tcW w:w="96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w:t>
            </w:r>
          </w:p>
        </w:tc>
        <w:tc>
          <w:tcPr>
            <w:tcW w:w="1161"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c>
          <w:tcPr>
            <w:tcW w:w="117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tcBorders>
              <w:bottom w:val="single" w:sz="4" w:space="0" w:color="auto"/>
            </w:tcBorders>
            <w:vAlign w:val="center"/>
            <w:hideMark/>
          </w:tcPr>
          <w:p w:rsidR="00FA730D" w:rsidRPr="00945CB1" w:rsidRDefault="00FA730D" w:rsidP="00FA730D">
            <w:pPr>
              <w:spacing w:before="0" w:line="240" w:lineRule="auto"/>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lateral clavicle</w:t>
            </w:r>
          </w:p>
        </w:tc>
        <w:tc>
          <w:tcPr>
            <w:tcW w:w="96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9</w:t>
            </w:r>
          </w:p>
        </w:tc>
        <w:tc>
          <w:tcPr>
            <w:tcW w:w="1161"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58</w:t>
            </w:r>
          </w:p>
        </w:tc>
        <w:tc>
          <w:tcPr>
            <w:tcW w:w="1170" w:type="dxa"/>
            <w:tcBorders>
              <w:bottom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restart"/>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scapula</w:t>
            </w:r>
          </w:p>
        </w:tc>
        <w:tc>
          <w:tcPr>
            <w:tcW w:w="3427"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coracoid</w:t>
            </w:r>
          </w:p>
        </w:tc>
        <w:tc>
          <w:tcPr>
            <w:tcW w:w="96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14</w:t>
            </w:r>
          </w:p>
        </w:tc>
        <w:tc>
          <w:tcPr>
            <w:tcW w:w="1161"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55</w:t>
            </w:r>
          </w:p>
        </w:tc>
        <w:tc>
          <w:tcPr>
            <w:tcW w:w="1170" w:type="dxa"/>
            <w:tcBorders>
              <w:top w:val="single" w:sz="4" w:space="0" w:color="auto"/>
            </w:tcBorders>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sub-coracoid and glenoid</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14</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59</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acromium</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63</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r w:rsidR="00FA730D" w:rsidRPr="00945CB1" w:rsidTr="00FB1519">
        <w:trPr>
          <w:trHeight w:val="284"/>
        </w:trPr>
        <w:tc>
          <w:tcPr>
            <w:tcW w:w="990" w:type="dxa"/>
            <w:vMerge/>
            <w:vAlign w:val="center"/>
            <w:hideMark/>
          </w:tcPr>
          <w:p w:rsidR="00FA730D" w:rsidRPr="00945CB1" w:rsidRDefault="00FA730D" w:rsidP="00FA730D">
            <w:pPr>
              <w:spacing w:before="0" w:line="240" w:lineRule="auto"/>
              <w:rPr>
                <w:rFonts w:eastAsia="Times New Roman"/>
                <w:color w:val="000000"/>
                <w:lang w:eastAsia="en-GB"/>
              </w:rPr>
            </w:pPr>
          </w:p>
        </w:tc>
        <w:tc>
          <w:tcPr>
            <w:tcW w:w="3427"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medial border</w:t>
            </w:r>
          </w:p>
        </w:tc>
        <w:tc>
          <w:tcPr>
            <w:tcW w:w="96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1</w:t>
            </w:r>
          </w:p>
        </w:tc>
        <w:tc>
          <w:tcPr>
            <w:tcW w:w="1161" w:type="dxa"/>
            <w:shd w:val="clear" w:color="auto" w:fill="auto"/>
            <w:noWrap/>
            <w:vAlign w:val="center"/>
            <w:hideMark/>
          </w:tcPr>
          <w:p w:rsidR="00FA730D" w:rsidRPr="00945CB1" w:rsidRDefault="00FA730D" w:rsidP="00FA730D">
            <w:pPr>
              <w:spacing w:before="0" w:line="240" w:lineRule="auto"/>
              <w:jc w:val="center"/>
              <w:rPr>
                <w:rFonts w:eastAsia="Times New Roman"/>
                <w:b/>
                <w:bCs/>
                <w:color w:val="000000"/>
                <w:lang w:eastAsia="en-GB"/>
              </w:rPr>
            </w:pPr>
            <w:r w:rsidRPr="00945CB1">
              <w:rPr>
                <w:rFonts w:eastAsia="Times New Roman"/>
                <w:b/>
                <w:bCs/>
                <w:color w:val="000000"/>
                <w:lang w:eastAsia="en-GB"/>
              </w:rPr>
              <w:t>64</w:t>
            </w:r>
          </w:p>
        </w:tc>
        <w:tc>
          <w:tcPr>
            <w:tcW w:w="1133"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c>
          <w:tcPr>
            <w:tcW w:w="1170" w:type="dxa"/>
            <w:shd w:val="clear" w:color="auto" w:fill="auto"/>
            <w:noWrap/>
            <w:vAlign w:val="center"/>
            <w:hideMark/>
          </w:tcPr>
          <w:p w:rsidR="00FA730D" w:rsidRPr="00945CB1" w:rsidRDefault="00FA730D" w:rsidP="00FA730D">
            <w:pPr>
              <w:spacing w:before="0" w:line="240" w:lineRule="auto"/>
              <w:jc w:val="center"/>
              <w:rPr>
                <w:rFonts w:eastAsia="Times New Roman"/>
                <w:color w:val="000000"/>
                <w:lang w:eastAsia="en-GB"/>
              </w:rPr>
            </w:pPr>
            <w:r w:rsidRPr="00945CB1">
              <w:rPr>
                <w:rFonts w:eastAsia="Times New Roman"/>
                <w:color w:val="000000"/>
                <w:lang w:eastAsia="en-GB"/>
              </w:rPr>
              <w:t>64</w:t>
            </w:r>
          </w:p>
        </w:tc>
      </w:tr>
    </w:tbl>
    <w:p w:rsidR="00FA730D" w:rsidRDefault="00FA730D" w:rsidP="00946775">
      <w:pPr>
        <w:spacing w:before="0"/>
        <w:rPr>
          <w:b/>
          <w:i/>
        </w:rPr>
      </w:pPr>
    </w:p>
    <w:p w:rsidR="00FA730D" w:rsidRDefault="00FA730D">
      <w:pPr>
        <w:spacing w:before="0" w:after="200" w:line="276" w:lineRule="auto"/>
        <w:jc w:val="left"/>
        <w:rPr>
          <w:b/>
          <w:i/>
        </w:rPr>
      </w:pPr>
      <w:r>
        <w:rPr>
          <w:b/>
          <w:i/>
        </w:rPr>
        <w:br w:type="page"/>
      </w:r>
    </w:p>
    <w:p w:rsidR="00FA730D" w:rsidRPr="00FA730D" w:rsidRDefault="00FA730D" w:rsidP="004828B2">
      <w:pPr>
        <w:numPr>
          <w:ilvl w:val="1"/>
          <w:numId w:val="0"/>
        </w:numPr>
        <w:tabs>
          <w:tab w:val="left" w:pos="660"/>
          <w:tab w:val="right" w:leader="dot" w:pos="8471"/>
        </w:tabs>
        <w:spacing w:before="60" w:after="60" w:line="240" w:lineRule="auto"/>
        <w:ind w:right="289"/>
        <w:jc w:val="left"/>
        <w:rPr>
          <w:rFonts w:eastAsiaTheme="minorHAnsi"/>
          <w:noProof/>
          <w:color w:val="000000"/>
          <w:lang w:val="en-GB" w:eastAsia="en-GB"/>
        </w:rPr>
      </w:pPr>
      <w:bookmarkStart w:id="3537" w:name="_Toc373177896"/>
      <w:bookmarkStart w:id="3538" w:name="_Toc373484435"/>
      <w:r w:rsidRPr="00FA730D">
        <w:rPr>
          <w:rFonts w:eastAsiaTheme="minorHAnsi"/>
          <w:b/>
          <w:noProof/>
          <w:color w:val="000000"/>
          <w:lang w:val="en-GB" w:eastAsia="en-GB"/>
        </w:rPr>
        <w:lastRenderedPageBreak/>
        <w:t>Table 8.14</w:t>
      </w:r>
      <w:r>
        <w:rPr>
          <w:rFonts w:eastAsiaTheme="minorHAnsi"/>
          <w:noProof/>
          <w:color w:val="000000"/>
          <w:lang w:val="en-GB" w:eastAsia="en-GB"/>
        </w:rPr>
        <w:t xml:space="preserve"> </w:t>
      </w:r>
      <w:r w:rsidRPr="00FA730D">
        <w:rPr>
          <w:rFonts w:eastAsiaTheme="minorHAnsi"/>
          <w:noProof/>
          <w:color w:val="000000"/>
          <w:lang w:val="en-GB" w:eastAsia="en-GB"/>
        </w:rPr>
        <w:t xml:space="preserve">Median values and ranges of dental score for all mid-fusion epiphyses in </w:t>
      </w:r>
      <w:r w:rsidRPr="00FA730D">
        <w:rPr>
          <w:rFonts w:eastAsiaTheme="minorHAnsi"/>
          <w:i/>
          <w:noProof/>
          <w:color w:val="000000"/>
          <w:lang w:val="en-GB" w:eastAsia="en-GB"/>
        </w:rPr>
        <w:t>Pan paniscus</w:t>
      </w:r>
      <w:r w:rsidRPr="00FA730D">
        <w:rPr>
          <w:rFonts w:eastAsiaTheme="minorHAnsi"/>
          <w:noProof/>
          <w:color w:val="000000"/>
          <w:lang w:val="en-GB" w:eastAsia="en-GB"/>
        </w:rPr>
        <w:t xml:space="preserve"> females.</w:t>
      </w:r>
      <w:bookmarkEnd w:id="3537"/>
      <w:bookmarkEnd w:id="3538"/>
    </w:p>
    <w:tbl>
      <w:tblPr>
        <w:tblW w:w="8841" w:type="dxa"/>
        <w:tblInd w:w="93" w:type="dxa"/>
        <w:tblBorders>
          <w:top w:val="single" w:sz="4" w:space="0" w:color="auto"/>
          <w:bottom w:val="single" w:sz="4" w:space="0" w:color="auto"/>
        </w:tblBorders>
        <w:tblLook w:val="04A0" w:firstRow="1" w:lastRow="0" w:firstColumn="1" w:lastColumn="0" w:noHBand="0" w:noVBand="1"/>
      </w:tblPr>
      <w:tblGrid>
        <w:gridCol w:w="990"/>
        <w:gridCol w:w="3427"/>
        <w:gridCol w:w="960"/>
        <w:gridCol w:w="1161"/>
        <w:gridCol w:w="1133"/>
        <w:gridCol w:w="1170"/>
      </w:tblGrid>
      <w:tr w:rsidR="00FA730D" w:rsidRPr="00FA730D" w:rsidTr="00FB1519">
        <w:trPr>
          <w:trHeight w:val="300"/>
        </w:trPr>
        <w:tc>
          <w:tcPr>
            <w:tcW w:w="990" w:type="dxa"/>
            <w:vMerge w:val="restart"/>
            <w:tcBorders>
              <w:top w:val="single" w:sz="4" w:space="0" w:color="auto"/>
              <w:bottom w:val="nil"/>
            </w:tcBorders>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skeletal region</w:t>
            </w:r>
          </w:p>
        </w:tc>
        <w:tc>
          <w:tcPr>
            <w:tcW w:w="3427" w:type="dxa"/>
            <w:vMerge w:val="restart"/>
            <w:tcBorders>
              <w:top w:val="single" w:sz="4" w:space="0" w:color="auto"/>
              <w:bottom w:val="nil"/>
            </w:tcBorders>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epiphyseal fusion site</w:t>
            </w:r>
          </w:p>
        </w:tc>
        <w:tc>
          <w:tcPr>
            <w:tcW w:w="960" w:type="dxa"/>
            <w:vMerge w:val="restart"/>
            <w:tcBorders>
              <w:top w:val="single" w:sz="4" w:space="0" w:color="auto"/>
              <w:bottom w:val="nil"/>
            </w:tcBorders>
            <w:shd w:val="clear" w:color="auto" w:fill="auto"/>
            <w:noWrap/>
            <w:vAlign w:val="center"/>
            <w:hideMark/>
          </w:tcPr>
          <w:p w:rsidR="00FA730D" w:rsidRPr="00FA730D" w:rsidRDefault="00FA730D" w:rsidP="00FA730D">
            <w:pPr>
              <w:spacing w:before="0" w:line="240" w:lineRule="auto"/>
              <w:jc w:val="center"/>
              <w:rPr>
                <w:rFonts w:eastAsia="Times New Roman"/>
                <w:b/>
                <w:bCs/>
                <w:i/>
                <w:iCs/>
                <w:color w:val="000000"/>
                <w:lang w:val="en-GB" w:eastAsia="en-GB"/>
              </w:rPr>
            </w:pPr>
            <w:r w:rsidRPr="00FA730D">
              <w:rPr>
                <w:rFonts w:eastAsia="Times New Roman"/>
                <w:b/>
                <w:bCs/>
                <w:i/>
                <w:iCs/>
                <w:color w:val="000000"/>
                <w:lang w:val="en-GB" w:eastAsia="en-GB"/>
              </w:rPr>
              <w:t>N</w:t>
            </w:r>
          </w:p>
        </w:tc>
        <w:tc>
          <w:tcPr>
            <w:tcW w:w="1161" w:type="dxa"/>
            <w:tcBorders>
              <w:top w:val="single" w:sz="4" w:space="0" w:color="auto"/>
              <w:bottom w:val="nil"/>
            </w:tcBorders>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median</w:t>
            </w:r>
          </w:p>
        </w:tc>
        <w:tc>
          <w:tcPr>
            <w:tcW w:w="1133" w:type="dxa"/>
            <w:vMerge w:val="restart"/>
            <w:tcBorders>
              <w:top w:val="single" w:sz="4" w:space="0" w:color="auto"/>
              <w:bottom w:val="nil"/>
            </w:tcBorders>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minimum dental score</w:t>
            </w:r>
          </w:p>
        </w:tc>
        <w:tc>
          <w:tcPr>
            <w:tcW w:w="1170" w:type="dxa"/>
            <w:vMerge w:val="restart"/>
            <w:tcBorders>
              <w:top w:val="single" w:sz="4" w:space="0" w:color="auto"/>
              <w:bottom w:val="nil"/>
            </w:tcBorders>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maximum dental score</w:t>
            </w:r>
          </w:p>
        </w:tc>
      </w:tr>
      <w:tr w:rsidR="00FA730D" w:rsidRPr="00FA730D" w:rsidTr="00FB1519">
        <w:trPr>
          <w:trHeight w:val="315"/>
        </w:trPr>
        <w:tc>
          <w:tcPr>
            <w:tcW w:w="990" w:type="dxa"/>
            <w:vMerge/>
            <w:tcBorders>
              <w:top w:val="nil"/>
              <w:bottom w:val="single" w:sz="4" w:space="0" w:color="auto"/>
            </w:tcBorders>
            <w:vAlign w:val="center"/>
            <w:hideMark/>
          </w:tcPr>
          <w:p w:rsidR="00FA730D" w:rsidRPr="00FA730D" w:rsidRDefault="00FA730D" w:rsidP="00FA730D">
            <w:pPr>
              <w:spacing w:before="0" w:line="240" w:lineRule="auto"/>
              <w:jc w:val="center"/>
              <w:rPr>
                <w:rFonts w:eastAsia="Times New Roman"/>
                <w:b/>
                <w:bCs/>
                <w:color w:val="000000"/>
                <w:lang w:val="en-GB" w:eastAsia="en-GB"/>
              </w:rPr>
            </w:pPr>
          </w:p>
        </w:tc>
        <w:tc>
          <w:tcPr>
            <w:tcW w:w="3427" w:type="dxa"/>
            <w:vMerge/>
            <w:tcBorders>
              <w:top w:val="nil"/>
              <w:bottom w:val="single" w:sz="4" w:space="0" w:color="auto"/>
            </w:tcBorders>
            <w:vAlign w:val="center"/>
            <w:hideMark/>
          </w:tcPr>
          <w:p w:rsidR="00FA730D" w:rsidRPr="00FA730D" w:rsidRDefault="00FA730D" w:rsidP="00FA730D">
            <w:pPr>
              <w:spacing w:before="0" w:line="240" w:lineRule="auto"/>
              <w:jc w:val="center"/>
              <w:rPr>
                <w:rFonts w:eastAsia="Times New Roman"/>
                <w:b/>
                <w:bCs/>
                <w:color w:val="000000"/>
                <w:lang w:val="en-GB" w:eastAsia="en-GB"/>
              </w:rPr>
            </w:pPr>
          </w:p>
        </w:tc>
        <w:tc>
          <w:tcPr>
            <w:tcW w:w="960" w:type="dxa"/>
            <w:vMerge/>
            <w:tcBorders>
              <w:top w:val="nil"/>
              <w:bottom w:val="single" w:sz="4" w:space="0" w:color="auto"/>
            </w:tcBorders>
            <w:vAlign w:val="center"/>
            <w:hideMark/>
          </w:tcPr>
          <w:p w:rsidR="00FA730D" w:rsidRPr="00FA730D" w:rsidRDefault="00FA730D" w:rsidP="00FA730D">
            <w:pPr>
              <w:spacing w:before="0" w:line="240" w:lineRule="auto"/>
              <w:jc w:val="center"/>
              <w:rPr>
                <w:rFonts w:eastAsia="Times New Roman"/>
                <w:b/>
                <w:bCs/>
                <w:i/>
                <w:iCs/>
                <w:color w:val="000000"/>
                <w:lang w:val="en-GB" w:eastAsia="en-GB"/>
              </w:rPr>
            </w:pPr>
          </w:p>
        </w:tc>
        <w:tc>
          <w:tcPr>
            <w:tcW w:w="1161" w:type="dxa"/>
            <w:tcBorders>
              <w:top w:val="nil"/>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dental score</w:t>
            </w:r>
          </w:p>
        </w:tc>
        <w:tc>
          <w:tcPr>
            <w:tcW w:w="1133" w:type="dxa"/>
            <w:vMerge/>
            <w:tcBorders>
              <w:top w:val="nil"/>
              <w:bottom w:val="single" w:sz="4" w:space="0" w:color="auto"/>
            </w:tcBorders>
            <w:vAlign w:val="center"/>
            <w:hideMark/>
          </w:tcPr>
          <w:p w:rsidR="00FA730D" w:rsidRPr="00FA730D" w:rsidRDefault="00FA730D" w:rsidP="00FA730D">
            <w:pPr>
              <w:spacing w:before="0" w:line="240" w:lineRule="auto"/>
              <w:jc w:val="center"/>
              <w:rPr>
                <w:rFonts w:eastAsia="Times New Roman"/>
                <w:b/>
                <w:bCs/>
                <w:color w:val="000000"/>
                <w:lang w:val="en-GB" w:eastAsia="en-GB"/>
              </w:rPr>
            </w:pPr>
          </w:p>
        </w:tc>
        <w:tc>
          <w:tcPr>
            <w:tcW w:w="1170" w:type="dxa"/>
            <w:vMerge/>
            <w:tcBorders>
              <w:top w:val="nil"/>
              <w:bottom w:val="single" w:sz="4" w:space="0" w:color="auto"/>
            </w:tcBorders>
            <w:vAlign w:val="center"/>
            <w:hideMark/>
          </w:tcPr>
          <w:p w:rsidR="00FA730D" w:rsidRPr="00FA730D" w:rsidRDefault="00FA730D" w:rsidP="00FA730D">
            <w:pPr>
              <w:spacing w:before="0" w:line="240" w:lineRule="auto"/>
              <w:jc w:val="center"/>
              <w:rPr>
                <w:rFonts w:eastAsia="Times New Roman"/>
                <w:b/>
                <w:bCs/>
                <w:color w:val="000000"/>
                <w:lang w:val="en-GB" w:eastAsia="en-GB"/>
              </w:rPr>
            </w:pPr>
          </w:p>
        </w:tc>
      </w:tr>
      <w:tr w:rsidR="00FA730D" w:rsidRPr="00FA730D" w:rsidTr="00FB1519">
        <w:trPr>
          <w:trHeight w:val="315"/>
        </w:trPr>
        <w:tc>
          <w:tcPr>
            <w:tcW w:w="990" w:type="dxa"/>
            <w:vMerge w:val="restart"/>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upper limb</w:t>
            </w:r>
          </w:p>
        </w:tc>
        <w:tc>
          <w:tcPr>
            <w:tcW w:w="3427"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proximal humerus</w:t>
            </w:r>
          </w:p>
        </w:tc>
        <w:tc>
          <w:tcPr>
            <w:tcW w:w="96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distal humerus</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humeral medial epicondyle</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3</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51</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proximal radius</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distal radius</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4</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proximal ulna</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57.5</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r>
      <w:tr w:rsidR="00FA730D" w:rsidRPr="00FA730D" w:rsidTr="00FB1519">
        <w:trPr>
          <w:trHeight w:val="315"/>
        </w:trPr>
        <w:tc>
          <w:tcPr>
            <w:tcW w:w="990" w:type="dxa"/>
            <w:vMerge/>
            <w:tcBorders>
              <w:bottom w:val="single" w:sz="4" w:space="0" w:color="auto"/>
            </w:tcBorders>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distal ulna</w:t>
            </w:r>
          </w:p>
        </w:tc>
        <w:tc>
          <w:tcPr>
            <w:tcW w:w="96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3</w:t>
            </w:r>
          </w:p>
        </w:tc>
        <w:tc>
          <w:tcPr>
            <w:tcW w:w="1161"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c>
          <w:tcPr>
            <w:tcW w:w="117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val="restart"/>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hand</w:t>
            </w:r>
          </w:p>
        </w:tc>
        <w:tc>
          <w:tcPr>
            <w:tcW w:w="3427"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distal phalanges (hand)</w:t>
            </w:r>
          </w:p>
        </w:tc>
        <w:tc>
          <w:tcPr>
            <w:tcW w:w="96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33"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7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base of metacarpal 1</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proximal and middle phalanges (hand)</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r>
      <w:tr w:rsidR="00FA730D" w:rsidRPr="00FA730D" w:rsidTr="00FB1519">
        <w:trPr>
          <w:trHeight w:val="315"/>
        </w:trPr>
        <w:tc>
          <w:tcPr>
            <w:tcW w:w="990" w:type="dxa"/>
            <w:vMerge/>
            <w:tcBorders>
              <w:bottom w:val="single" w:sz="4" w:space="0" w:color="auto"/>
            </w:tcBorders>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metacarpal heads 2-5</w:t>
            </w:r>
          </w:p>
        </w:tc>
        <w:tc>
          <w:tcPr>
            <w:tcW w:w="96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restart"/>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lower limb</w:t>
            </w:r>
          </w:p>
        </w:tc>
        <w:tc>
          <w:tcPr>
            <w:tcW w:w="3427"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femoral head</w:t>
            </w:r>
          </w:p>
        </w:tc>
        <w:tc>
          <w:tcPr>
            <w:tcW w:w="96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60</w:t>
            </w:r>
          </w:p>
        </w:tc>
        <w:tc>
          <w:tcPr>
            <w:tcW w:w="1133"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60</w:t>
            </w:r>
          </w:p>
        </w:tc>
        <w:tc>
          <w:tcPr>
            <w:tcW w:w="117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60</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greater trochanter</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60</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60</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60</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lesser trochanter</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distal femur</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proximal tibia</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distal tibia</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proximal fibula</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tcBorders>
              <w:bottom w:val="single" w:sz="4" w:space="0" w:color="auto"/>
            </w:tcBorders>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distal fibula</w:t>
            </w:r>
          </w:p>
        </w:tc>
        <w:tc>
          <w:tcPr>
            <w:tcW w:w="96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restart"/>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foot</w:t>
            </w:r>
          </w:p>
        </w:tc>
        <w:tc>
          <w:tcPr>
            <w:tcW w:w="3427"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calcaneus</w:t>
            </w:r>
          </w:p>
        </w:tc>
        <w:tc>
          <w:tcPr>
            <w:tcW w:w="96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c>
          <w:tcPr>
            <w:tcW w:w="1133"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c>
          <w:tcPr>
            <w:tcW w:w="117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talus</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distal phalanges (foot)</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52</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51</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middle phalanges (foot)</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52</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51</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metatarsal heads (2-5)</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52</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51</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r>
      <w:tr w:rsidR="00FA730D" w:rsidRPr="00FA730D" w:rsidTr="00FB1519">
        <w:trPr>
          <w:trHeight w:val="315"/>
        </w:trPr>
        <w:tc>
          <w:tcPr>
            <w:tcW w:w="990" w:type="dxa"/>
            <w:vMerge/>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base of metatarsal 1</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tcBorders>
              <w:bottom w:val="single" w:sz="4" w:space="0" w:color="auto"/>
            </w:tcBorders>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proximal phalanges (foot)</w:t>
            </w:r>
          </w:p>
        </w:tc>
        <w:tc>
          <w:tcPr>
            <w:tcW w:w="96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restart"/>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pelvis</w:t>
            </w:r>
          </w:p>
        </w:tc>
        <w:tc>
          <w:tcPr>
            <w:tcW w:w="3427"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triradiate</w:t>
            </w:r>
          </w:p>
        </w:tc>
        <w:tc>
          <w:tcPr>
            <w:tcW w:w="96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57.5</w:t>
            </w:r>
          </w:p>
        </w:tc>
        <w:tc>
          <w:tcPr>
            <w:tcW w:w="1133"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7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anterior inferior iliac spine</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iliac crest</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3</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51</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tcBorders>
              <w:bottom w:val="single" w:sz="4" w:space="0" w:color="auto"/>
            </w:tcBorders>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ischial epiphysis</w:t>
            </w:r>
          </w:p>
        </w:tc>
        <w:tc>
          <w:tcPr>
            <w:tcW w:w="96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c>
          <w:tcPr>
            <w:tcW w:w="117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val="restart"/>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clavicle</w:t>
            </w:r>
          </w:p>
        </w:tc>
        <w:tc>
          <w:tcPr>
            <w:tcW w:w="3427"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medial clavicle</w:t>
            </w:r>
          </w:p>
        </w:tc>
        <w:tc>
          <w:tcPr>
            <w:tcW w:w="96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tcBorders>
              <w:bottom w:val="single" w:sz="4" w:space="0" w:color="auto"/>
            </w:tcBorders>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lateral clavicle</w:t>
            </w:r>
          </w:p>
        </w:tc>
        <w:tc>
          <w:tcPr>
            <w:tcW w:w="96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0</w:t>
            </w:r>
          </w:p>
        </w:tc>
        <w:tc>
          <w:tcPr>
            <w:tcW w:w="1161"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33"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c>
          <w:tcPr>
            <w:tcW w:w="1170" w:type="dxa"/>
            <w:tcBorders>
              <w:bottom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w:t>
            </w:r>
          </w:p>
        </w:tc>
      </w:tr>
      <w:tr w:rsidR="00FA730D" w:rsidRPr="00FA730D" w:rsidTr="00FB1519">
        <w:trPr>
          <w:trHeight w:val="315"/>
        </w:trPr>
        <w:tc>
          <w:tcPr>
            <w:tcW w:w="990" w:type="dxa"/>
            <w:vMerge w:val="restart"/>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scapula</w:t>
            </w:r>
          </w:p>
        </w:tc>
        <w:tc>
          <w:tcPr>
            <w:tcW w:w="3427"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coracoid</w:t>
            </w:r>
          </w:p>
        </w:tc>
        <w:tc>
          <w:tcPr>
            <w:tcW w:w="96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3</w:t>
            </w:r>
          </w:p>
        </w:tc>
        <w:tc>
          <w:tcPr>
            <w:tcW w:w="1161"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33"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51</w:t>
            </w:r>
          </w:p>
        </w:tc>
        <w:tc>
          <w:tcPr>
            <w:tcW w:w="1170" w:type="dxa"/>
            <w:tcBorders>
              <w:top w:val="single" w:sz="4" w:space="0" w:color="auto"/>
            </w:tcBorders>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sub-coracoid and glenoid</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3</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53</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51</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62</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acromium</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2</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r w:rsidR="00FA730D" w:rsidRPr="00FA730D" w:rsidTr="00FB1519">
        <w:trPr>
          <w:trHeight w:val="315"/>
        </w:trPr>
        <w:tc>
          <w:tcPr>
            <w:tcW w:w="990" w:type="dxa"/>
            <w:vMerge/>
            <w:vAlign w:val="center"/>
            <w:hideMark/>
          </w:tcPr>
          <w:p w:rsidR="00FA730D" w:rsidRPr="00FA730D" w:rsidRDefault="00FA730D" w:rsidP="00FA730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medial border</w:t>
            </w:r>
          </w:p>
        </w:tc>
        <w:tc>
          <w:tcPr>
            <w:tcW w:w="96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1</w:t>
            </w:r>
          </w:p>
        </w:tc>
        <w:tc>
          <w:tcPr>
            <w:tcW w:w="1161" w:type="dxa"/>
            <w:shd w:val="clear" w:color="auto" w:fill="auto"/>
            <w:noWrap/>
            <w:vAlign w:val="center"/>
            <w:hideMark/>
          </w:tcPr>
          <w:p w:rsidR="00FA730D" w:rsidRPr="00FA730D" w:rsidRDefault="00FA730D" w:rsidP="00FA730D">
            <w:pPr>
              <w:spacing w:before="0" w:line="240" w:lineRule="auto"/>
              <w:jc w:val="center"/>
              <w:rPr>
                <w:rFonts w:eastAsia="Times New Roman"/>
                <w:b/>
                <w:bCs/>
                <w:color w:val="000000"/>
                <w:lang w:val="en-GB" w:eastAsia="en-GB"/>
              </w:rPr>
            </w:pPr>
            <w:r w:rsidRPr="00FA730D">
              <w:rPr>
                <w:rFonts w:eastAsia="Times New Roman"/>
                <w:b/>
                <w:bCs/>
                <w:color w:val="000000"/>
                <w:lang w:val="en-GB" w:eastAsia="en-GB"/>
              </w:rPr>
              <w:t>64</w:t>
            </w:r>
          </w:p>
        </w:tc>
        <w:tc>
          <w:tcPr>
            <w:tcW w:w="1133"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c>
          <w:tcPr>
            <w:tcW w:w="1170" w:type="dxa"/>
            <w:shd w:val="clear" w:color="auto" w:fill="auto"/>
            <w:noWrap/>
            <w:vAlign w:val="center"/>
            <w:hideMark/>
          </w:tcPr>
          <w:p w:rsidR="00FA730D" w:rsidRPr="00FA730D" w:rsidRDefault="00FA730D" w:rsidP="00FA730D">
            <w:pPr>
              <w:spacing w:before="0" w:line="240" w:lineRule="auto"/>
              <w:jc w:val="center"/>
              <w:rPr>
                <w:rFonts w:eastAsia="Times New Roman"/>
                <w:color w:val="000000"/>
                <w:lang w:val="en-GB" w:eastAsia="en-GB"/>
              </w:rPr>
            </w:pPr>
            <w:r w:rsidRPr="00FA730D">
              <w:rPr>
                <w:rFonts w:eastAsia="Times New Roman"/>
                <w:color w:val="000000"/>
                <w:lang w:val="en-GB" w:eastAsia="en-GB"/>
              </w:rPr>
              <w:t>64</w:t>
            </w:r>
          </w:p>
        </w:tc>
      </w:tr>
    </w:tbl>
    <w:p w:rsidR="004828B2" w:rsidRPr="00C05740" w:rsidRDefault="004828B2" w:rsidP="00733544">
      <w:pPr>
        <w:pStyle w:val="Table"/>
      </w:pPr>
      <w:bookmarkStart w:id="3539" w:name="_Toc373177897"/>
      <w:bookmarkStart w:id="3540" w:name="_Toc373484436"/>
      <w:r w:rsidRPr="004828B2">
        <w:rPr>
          <w:rFonts w:eastAsiaTheme="minorHAnsi"/>
          <w:b/>
          <w:color w:val="auto"/>
          <w:lang w:eastAsia="en-US"/>
        </w:rPr>
        <w:lastRenderedPageBreak/>
        <w:t>Table 8.15</w:t>
      </w:r>
      <w:r>
        <w:rPr>
          <w:rFonts w:eastAsiaTheme="minorHAnsi"/>
          <w:color w:val="auto"/>
          <w:lang w:eastAsia="en-US"/>
        </w:rPr>
        <w:t xml:space="preserve"> </w:t>
      </w:r>
      <w:r w:rsidRPr="00EF5A9A">
        <w:t>Median values</w:t>
      </w:r>
      <w:r>
        <w:t xml:space="preserve"> </w:t>
      </w:r>
      <w:r w:rsidRPr="00EF5A9A">
        <w:t xml:space="preserve">and ranges of </w:t>
      </w:r>
      <w:r>
        <w:t>dental score</w:t>
      </w:r>
      <w:r w:rsidRPr="00EF5A9A">
        <w:t xml:space="preserve"> </w:t>
      </w:r>
      <w:r>
        <w:t xml:space="preserve">for </w:t>
      </w:r>
      <w:r w:rsidRPr="00EF5A9A">
        <w:t xml:space="preserve">all complete fusion epiphyses in </w:t>
      </w:r>
      <w:r w:rsidRPr="00EF5A9A">
        <w:rPr>
          <w:i/>
        </w:rPr>
        <w:t xml:space="preserve">Pan paniscus </w:t>
      </w:r>
      <w:r w:rsidRPr="00EF5A9A">
        <w:t>females.</w:t>
      </w:r>
      <w:bookmarkEnd w:id="3539"/>
      <w:bookmarkEnd w:id="3540"/>
    </w:p>
    <w:tbl>
      <w:tblPr>
        <w:tblW w:w="8841" w:type="dxa"/>
        <w:tblInd w:w="93" w:type="dxa"/>
        <w:tblBorders>
          <w:top w:val="single" w:sz="4" w:space="0" w:color="auto"/>
          <w:bottom w:val="single" w:sz="4" w:space="0" w:color="auto"/>
        </w:tblBorders>
        <w:tblLook w:val="04A0" w:firstRow="1" w:lastRow="0" w:firstColumn="1" w:lastColumn="0" w:noHBand="0" w:noVBand="1"/>
      </w:tblPr>
      <w:tblGrid>
        <w:gridCol w:w="990"/>
        <w:gridCol w:w="3427"/>
        <w:gridCol w:w="960"/>
        <w:gridCol w:w="1161"/>
        <w:gridCol w:w="1133"/>
        <w:gridCol w:w="1170"/>
      </w:tblGrid>
      <w:tr w:rsidR="004828B2" w:rsidRPr="00C869AE" w:rsidTr="00FB1519">
        <w:trPr>
          <w:trHeight w:val="284"/>
        </w:trPr>
        <w:tc>
          <w:tcPr>
            <w:tcW w:w="990" w:type="dxa"/>
            <w:tcBorders>
              <w:top w:val="single" w:sz="4" w:space="0" w:color="auto"/>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skeletal region</w:t>
            </w:r>
          </w:p>
        </w:tc>
        <w:tc>
          <w:tcPr>
            <w:tcW w:w="3427" w:type="dxa"/>
            <w:tcBorders>
              <w:top w:val="single" w:sz="4" w:space="0" w:color="auto"/>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epiphyseal fusion site</w:t>
            </w:r>
          </w:p>
        </w:tc>
        <w:tc>
          <w:tcPr>
            <w:tcW w:w="960" w:type="dxa"/>
            <w:tcBorders>
              <w:top w:val="single" w:sz="4" w:space="0" w:color="auto"/>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i/>
                <w:iCs/>
                <w:color w:val="000000"/>
                <w:lang w:eastAsia="en-GB"/>
              </w:rPr>
            </w:pPr>
            <w:r w:rsidRPr="00C869AE">
              <w:rPr>
                <w:rFonts w:eastAsia="Times New Roman"/>
                <w:b/>
                <w:bCs/>
                <w:i/>
                <w:iCs/>
                <w:color w:val="000000"/>
                <w:lang w:eastAsia="en-GB"/>
              </w:rPr>
              <w:t>N</w:t>
            </w:r>
          </w:p>
        </w:tc>
        <w:tc>
          <w:tcPr>
            <w:tcW w:w="1161" w:type="dxa"/>
            <w:tcBorders>
              <w:top w:val="single" w:sz="4" w:space="0" w:color="auto"/>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median</w:t>
            </w:r>
          </w:p>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dental score</w:t>
            </w:r>
          </w:p>
        </w:tc>
        <w:tc>
          <w:tcPr>
            <w:tcW w:w="1133" w:type="dxa"/>
            <w:tcBorders>
              <w:top w:val="single" w:sz="4" w:space="0" w:color="auto"/>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minimum dental score</w:t>
            </w:r>
          </w:p>
        </w:tc>
        <w:tc>
          <w:tcPr>
            <w:tcW w:w="1170" w:type="dxa"/>
            <w:tcBorders>
              <w:top w:val="single" w:sz="4" w:space="0" w:color="auto"/>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maximum dental score</w:t>
            </w:r>
          </w:p>
        </w:tc>
      </w:tr>
      <w:tr w:rsidR="004828B2" w:rsidRPr="00C869AE" w:rsidTr="00FB1519">
        <w:trPr>
          <w:trHeight w:val="284"/>
        </w:trPr>
        <w:tc>
          <w:tcPr>
            <w:tcW w:w="990" w:type="dxa"/>
            <w:vMerge w:val="restart"/>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upper limb</w:t>
            </w:r>
          </w:p>
        </w:tc>
        <w:tc>
          <w:tcPr>
            <w:tcW w:w="3427"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proximal humerus</w:t>
            </w:r>
          </w:p>
        </w:tc>
        <w:tc>
          <w:tcPr>
            <w:tcW w:w="96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distal humerus</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7</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51</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 xml:space="preserve">humeral </w:t>
            </w:r>
            <w:r w:rsidRPr="00C869AE">
              <w:rPr>
                <w:rFonts w:eastAsia="Times New Roman"/>
                <w:color w:val="000000"/>
                <w:lang w:eastAsia="en-GB"/>
              </w:rPr>
              <w:t>medial epicondyle</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4</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proximal radius</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distal radius</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0</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proximal ulna</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5</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51</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tcBorders>
              <w:bottom w:val="single" w:sz="4" w:space="0" w:color="auto"/>
            </w:tcBorders>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distal ulna</w:t>
            </w:r>
          </w:p>
        </w:tc>
        <w:tc>
          <w:tcPr>
            <w:tcW w:w="96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1</w:t>
            </w:r>
          </w:p>
        </w:tc>
        <w:tc>
          <w:tcPr>
            <w:tcW w:w="1161"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33"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r>
      <w:tr w:rsidR="004828B2" w:rsidRPr="00C869AE" w:rsidTr="00FB1519">
        <w:trPr>
          <w:trHeight w:val="284"/>
        </w:trPr>
        <w:tc>
          <w:tcPr>
            <w:tcW w:w="990" w:type="dxa"/>
            <w:vMerge w:val="restart"/>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hand</w:t>
            </w:r>
          </w:p>
        </w:tc>
        <w:tc>
          <w:tcPr>
            <w:tcW w:w="3427"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distal phalanges (hand)</w:t>
            </w:r>
          </w:p>
        </w:tc>
        <w:tc>
          <w:tcPr>
            <w:tcW w:w="96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4</w:t>
            </w:r>
          </w:p>
        </w:tc>
        <w:tc>
          <w:tcPr>
            <w:tcW w:w="1161"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base of metacarpal 1</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proximal and middle phalanges (hand)</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4</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tcBorders>
              <w:bottom w:val="single" w:sz="4" w:space="0" w:color="auto"/>
            </w:tcBorders>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metacarpal heads 2-5</w:t>
            </w:r>
          </w:p>
        </w:tc>
        <w:tc>
          <w:tcPr>
            <w:tcW w:w="96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4</w:t>
            </w:r>
          </w:p>
        </w:tc>
        <w:tc>
          <w:tcPr>
            <w:tcW w:w="1161"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restart"/>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lower limb</w:t>
            </w:r>
          </w:p>
        </w:tc>
        <w:tc>
          <w:tcPr>
            <w:tcW w:w="3427"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femoral head</w:t>
            </w:r>
          </w:p>
        </w:tc>
        <w:tc>
          <w:tcPr>
            <w:tcW w:w="96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greater trochanter</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lesser trochanter</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4</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60</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distal femur</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2</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proximal tibia</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2</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distal tibia</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proximal fibula</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0</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r>
      <w:tr w:rsidR="004828B2" w:rsidRPr="00C869AE" w:rsidTr="00FB1519">
        <w:trPr>
          <w:trHeight w:val="284"/>
        </w:trPr>
        <w:tc>
          <w:tcPr>
            <w:tcW w:w="990" w:type="dxa"/>
            <w:vMerge/>
            <w:tcBorders>
              <w:bottom w:val="single" w:sz="4" w:space="0" w:color="auto"/>
            </w:tcBorders>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distal fibula</w:t>
            </w:r>
          </w:p>
        </w:tc>
        <w:tc>
          <w:tcPr>
            <w:tcW w:w="96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2</w:t>
            </w:r>
          </w:p>
        </w:tc>
        <w:tc>
          <w:tcPr>
            <w:tcW w:w="1161"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restart"/>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foot</w:t>
            </w:r>
          </w:p>
        </w:tc>
        <w:tc>
          <w:tcPr>
            <w:tcW w:w="3427"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calcaneus</w:t>
            </w:r>
          </w:p>
        </w:tc>
        <w:tc>
          <w:tcPr>
            <w:tcW w:w="96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talus</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5</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53</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distal phalanges (foot)</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middle phalanges (foot)</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shd w:val="clear" w:color="auto" w:fill="auto"/>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metatarsal heads (2-5)</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base of metatarsal 1</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tcBorders>
              <w:bottom w:val="single" w:sz="4" w:space="0" w:color="auto"/>
            </w:tcBorders>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proximal phalanges (foot)</w:t>
            </w:r>
          </w:p>
        </w:tc>
        <w:tc>
          <w:tcPr>
            <w:tcW w:w="96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7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restart"/>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pelvis</w:t>
            </w:r>
          </w:p>
        </w:tc>
        <w:tc>
          <w:tcPr>
            <w:tcW w:w="3427"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triradiate</w:t>
            </w:r>
          </w:p>
        </w:tc>
        <w:tc>
          <w:tcPr>
            <w:tcW w:w="96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5</w:t>
            </w:r>
          </w:p>
        </w:tc>
        <w:tc>
          <w:tcPr>
            <w:tcW w:w="1161"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61</w:t>
            </w:r>
          </w:p>
        </w:tc>
        <w:tc>
          <w:tcPr>
            <w:tcW w:w="1133"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60</w:t>
            </w:r>
          </w:p>
        </w:tc>
        <w:tc>
          <w:tcPr>
            <w:tcW w:w="117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anterior inferior iliac spine</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51</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iliac crest</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0</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r>
      <w:tr w:rsidR="004828B2" w:rsidRPr="00C869AE" w:rsidTr="00FB1519">
        <w:trPr>
          <w:trHeight w:val="284"/>
        </w:trPr>
        <w:tc>
          <w:tcPr>
            <w:tcW w:w="990" w:type="dxa"/>
            <w:vMerge/>
            <w:tcBorders>
              <w:bottom w:val="single" w:sz="4" w:space="0" w:color="auto"/>
            </w:tcBorders>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ischia</w:t>
            </w:r>
            <w:r>
              <w:rPr>
                <w:rFonts w:eastAsia="Times New Roman"/>
                <w:color w:val="000000"/>
                <w:lang w:eastAsia="en-GB"/>
              </w:rPr>
              <w:t>l</w:t>
            </w:r>
            <w:r w:rsidRPr="00C869AE">
              <w:rPr>
                <w:rFonts w:eastAsia="Times New Roman"/>
                <w:color w:val="000000"/>
                <w:lang w:eastAsia="en-GB"/>
              </w:rPr>
              <w:t xml:space="preserve"> epiphysis</w:t>
            </w:r>
          </w:p>
        </w:tc>
        <w:tc>
          <w:tcPr>
            <w:tcW w:w="96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0</w:t>
            </w:r>
          </w:p>
        </w:tc>
        <w:tc>
          <w:tcPr>
            <w:tcW w:w="1161"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c>
          <w:tcPr>
            <w:tcW w:w="1133"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c>
          <w:tcPr>
            <w:tcW w:w="117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Pr>
                <w:rFonts w:eastAsia="Times New Roman"/>
                <w:color w:val="000000"/>
                <w:lang w:eastAsia="en-GB"/>
              </w:rPr>
              <w:t>-</w:t>
            </w:r>
          </w:p>
        </w:tc>
      </w:tr>
      <w:tr w:rsidR="004828B2" w:rsidRPr="00C869AE" w:rsidTr="00FB1519">
        <w:trPr>
          <w:trHeight w:val="284"/>
        </w:trPr>
        <w:tc>
          <w:tcPr>
            <w:tcW w:w="990" w:type="dxa"/>
            <w:vMerge w:val="restart"/>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clavicle</w:t>
            </w:r>
          </w:p>
        </w:tc>
        <w:tc>
          <w:tcPr>
            <w:tcW w:w="3427"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medial clavicle</w:t>
            </w:r>
          </w:p>
        </w:tc>
        <w:tc>
          <w:tcPr>
            <w:tcW w:w="96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1</w:t>
            </w:r>
          </w:p>
        </w:tc>
        <w:tc>
          <w:tcPr>
            <w:tcW w:w="1161"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33"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r>
      <w:tr w:rsidR="004828B2" w:rsidRPr="00C869AE" w:rsidTr="00FB1519">
        <w:trPr>
          <w:trHeight w:val="284"/>
        </w:trPr>
        <w:tc>
          <w:tcPr>
            <w:tcW w:w="990" w:type="dxa"/>
            <w:vMerge/>
            <w:tcBorders>
              <w:bottom w:val="single" w:sz="4" w:space="0" w:color="auto"/>
            </w:tcBorders>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lateral clavicle</w:t>
            </w:r>
          </w:p>
        </w:tc>
        <w:tc>
          <w:tcPr>
            <w:tcW w:w="96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3</w:t>
            </w:r>
          </w:p>
        </w:tc>
        <w:tc>
          <w:tcPr>
            <w:tcW w:w="1161"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tcBorders>
              <w:bottom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restart"/>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scapula</w:t>
            </w:r>
          </w:p>
        </w:tc>
        <w:tc>
          <w:tcPr>
            <w:tcW w:w="3427"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coracoid</w:t>
            </w:r>
          </w:p>
        </w:tc>
        <w:tc>
          <w:tcPr>
            <w:tcW w:w="96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4</w:t>
            </w:r>
          </w:p>
        </w:tc>
        <w:tc>
          <w:tcPr>
            <w:tcW w:w="1161"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tcBorders>
              <w:top w:val="single" w:sz="4" w:space="0" w:color="auto"/>
            </w:tcBorders>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sub-coracoid and glenoid</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4</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b/>
                <w:bCs/>
                <w:color w:val="000000"/>
                <w:lang w:eastAsia="en-GB"/>
              </w:rPr>
            </w:pPr>
            <w:r w:rsidRPr="00C869AE">
              <w:rPr>
                <w:rFonts w:eastAsia="Times New Roman"/>
                <w:b/>
                <w:bCs/>
                <w:color w:val="000000"/>
                <w:lang w:eastAsia="en-GB"/>
              </w:rPr>
              <w:t>64</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acromium</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2</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63</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64</w:t>
            </w:r>
          </w:p>
        </w:tc>
      </w:tr>
      <w:tr w:rsidR="004828B2" w:rsidRPr="00C869AE" w:rsidTr="00FB1519">
        <w:trPr>
          <w:trHeight w:val="284"/>
        </w:trPr>
        <w:tc>
          <w:tcPr>
            <w:tcW w:w="990" w:type="dxa"/>
            <w:vMerge/>
            <w:vAlign w:val="center"/>
            <w:hideMark/>
          </w:tcPr>
          <w:p w:rsidR="004828B2" w:rsidRPr="00C869AE" w:rsidRDefault="004828B2" w:rsidP="004828B2">
            <w:pPr>
              <w:spacing w:before="0" w:line="240" w:lineRule="auto"/>
              <w:jc w:val="center"/>
              <w:rPr>
                <w:rFonts w:eastAsia="Times New Roman"/>
                <w:color w:val="000000"/>
                <w:lang w:eastAsia="en-GB"/>
              </w:rPr>
            </w:pPr>
          </w:p>
        </w:tc>
        <w:tc>
          <w:tcPr>
            <w:tcW w:w="3427"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medial border</w:t>
            </w:r>
          </w:p>
        </w:tc>
        <w:tc>
          <w:tcPr>
            <w:tcW w:w="96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1</w:t>
            </w:r>
          </w:p>
        </w:tc>
        <w:tc>
          <w:tcPr>
            <w:tcW w:w="1161"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33"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c>
          <w:tcPr>
            <w:tcW w:w="1170" w:type="dxa"/>
            <w:shd w:val="clear" w:color="auto" w:fill="auto"/>
            <w:noWrap/>
            <w:vAlign w:val="center"/>
            <w:hideMark/>
          </w:tcPr>
          <w:p w:rsidR="004828B2" w:rsidRPr="00C869AE" w:rsidRDefault="004828B2" w:rsidP="004828B2">
            <w:pPr>
              <w:spacing w:before="0" w:line="240" w:lineRule="auto"/>
              <w:jc w:val="center"/>
              <w:rPr>
                <w:rFonts w:eastAsia="Times New Roman"/>
                <w:color w:val="000000"/>
                <w:lang w:eastAsia="en-GB"/>
              </w:rPr>
            </w:pPr>
            <w:r w:rsidRPr="00C869AE">
              <w:rPr>
                <w:rFonts w:eastAsia="Times New Roman"/>
                <w:color w:val="000000"/>
                <w:lang w:eastAsia="en-GB"/>
              </w:rPr>
              <w:t>62</w:t>
            </w:r>
          </w:p>
        </w:tc>
      </w:tr>
    </w:tbl>
    <w:p w:rsidR="009E421D" w:rsidRDefault="009E421D" w:rsidP="00733544">
      <w:pPr>
        <w:pStyle w:val="Table"/>
      </w:pPr>
      <w:bookmarkStart w:id="3541" w:name="_Toc373177898"/>
      <w:bookmarkStart w:id="3542" w:name="_Toc373484437"/>
    </w:p>
    <w:p w:rsidR="009E421D" w:rsidRDefault="009E421D" w:rsidP="00733544">
      <w:pPr>
        <w:pStyle w:val="Table"/>
      </w:pPr>
    </w:p>
    <w:p w:rsidR="009E421D" w:rsidRPr="009E421D" w:rsidRDefault="009E421D" w:rsidP="00733544">
      <w:pPr>
        <w:pStyle w:val="Table"/>
      </w:pPr>
      <w:r w:rsidRPr="009E421D">
        <w:rPr>
          <w:b/>
        </w:rPr>
        <w:lastRenderedPageBreak/>
        <w:t xml:space="preserve">Table 8.16 </w:t>
      </w:r>
      <w:r w:rsidRPr="009E421D">
        <w:t xml:space="preserve">Median values and ranges of dental score for all mid-fusion epiphyses in </w:t>
      </w:r>
      <w:r w:rsidRPr="009E421D">
        <w:rPr>
          <w:i/>
        </w:rPr>
        <w:t>Pan paniscus</w:t>
      </w:r>
      <w:r w:rsidRPr="009E421D">
        <w:t xml:space="preserve"> males.</w:t>
      </w:r>
      <w:bookmarkEnd w:id="3541"/>
      <w:bookmarkEnd w:id="3542"/>
    </w:p>
    <w:tbl>
      <w:tblPr>
        <w:tblW w:w="8841" w:type="dxa"/>
        <w:tblInd w:w="93" w:type="dxa"/>
        <w:tblBorders>
          <w:top w:val="single" w:sz="4" w:space="0" w:color="auto"/>
          <w:bottom w:val="single" w:sz="4" w:space="0" w:color="auto"/>
        </w:tblBorders>
        <w:tblLook w:val="04A0" w:firstRow="1" w:lastRow="0" w:firstColumn="1" w:lastColumn="0" w:noHBand="0" w:noVBand="1"/>
      </w:tblPr>
      <w:tblGrid>
        <w:gridCol w:w="990"/>
        <w:gridCol w:w="3427"/>
        <w:gridCol w:w="960"/>
        <w:gridCol w:w="1161"/>
        <w:gridCol w:w="1133"/>
        <w:gridCol w:w="1170"/>
      </w:tblGrid>
      <w:tr w:rsidR="009E421D" w:rsidRPr="009E421D" w:rsidTr="00FB1519">
        <w:trPr>
          <w:trHeight w:val="284"/>
        </w:trPr>
        <w:tc>
          <w:tcPr>
            <w:tcW w:w="990" w:type="dxa"/>
            <w:vMerge w:val="restart"/>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skeletal region</w:t>
            </w:r>
          </w:p>
        </w:tc>
        <w:tc>
          <w:tcPr>
            <w:tcW w:w="3427" w:type="dxa"/>
            <w:vMerge w:val="restart"/>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epiphyseal fusion site</w:t>
            </w:r>
          </w:p>
        </w:tc>
        <w:tc>
          <w:tcPr>
            <w:tcW w:w="960" w:type="dxa"/>
            <w:vMerge w:val="restart"/>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b/>
                <w:bCs/>
                <w:i/>
                <w:iCs/>
                <w:color w:val="000000"/>
                <w:lang w:val="en-GB" w:eastAsia="en-GB"/>
              </w:rPr>
            </w:pPr>
            <w:r w:rsidRPr="009E421D">
              <w:rPr>
                <w:rFonts w:eastAsia="Times New Roman"/>
                <w:b/>
                <w:bCs/>
                <w:i/>
                <w:iCs/>
                <w:color w:val="000000"/>
                <w:lang w:val="en-GB" w:eastAsia="en-GB"/>
              </w:rPr>
              <w:t>N</w:t>
            </w:r>
          </w:p>
        </w:tc>
        <w:tc>
          <w:tcPr>
            <w:tcW w:w="1161" w:type="dxa"/>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median</w:t>
            </w:r>
          </w:p>
        </w:tc>
        <w:tc>
          <w:tcPr>
            <w:tcW w:w="1133" w:type="dxa"/>
            <w:vMerge w:val="restart"/>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minimum dental score</w:t>
            </w:r>
          </w:p>
        </w:tc>
        <w:tc>
          <w:tcPr>
            <w:tcW w:w="1170" w:type="dxa"/>
            <w:vMerge w:val="restart"/>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maximum dental score</w:t>
            </w:r>
          </w:p>
        </w:tc>
      </w:tr>
      <w:tr w:rsidR="009E421D" w:rsidRPr="009E421D" w:rsidTr="00FB1519">
        <w:trPr>
          <w:trHeight w:val="284"/>
        </w:trPr>
        <w:tc>
          <w:tcPr>
            <w:tcW w:w="990" w:type="dxa"/>
            <w:vMerge/>
            <w:tcBorders>
              <w:top w:val="nil"/>
              <w:bottom w:val="single" w:sz="4" w:space="0" w:color="auto"/>
            </w:tcBorders>
            <w:vAlign w:val="center"/>
            <w:hideMark/>
          </w:tcPr>
          <w:p w:rsidR="009E421D" w:rsidRPr="009E421D" w:rsidRDefault="009E421D" w:rsidP="009E421D">
            <w:pPr>
              <w:spacing w:before="0" w:line="240" w:lineRule="auto"/>
              <w:jc w:val="center"/>
              <w:rPr>
                <w:rFonts w:eastAsia="Times New Roman"/>
                <w:b/>
                <w:bCs/>
                <w:color w:val="000000"/>
                <w:lang w:val="en-GB" w:eastAsia="en-GB"/>
              </w:rPr>
            </w:pPr>
          </w:p>
        </w:tc>
        <w:tc>
          <w:tcPr>
            <w:tcW w:w="3427" w:type="dxa"/>
            <w:vMerge/>
            <w:tcBorders>
              <w:top w:val="nil"/>
              <w:bottom w:val="single" w:sz="4" w:space="0" w:color="auto"/>
            </w:tcBorders>
            <w:vAlign w:val="center"/>
            <w:hideMark/>
          </w:tcPr>
          <w:p w:rsidR="009E421D" w:rsidRPr="009E421D" w:rsidRDefault="009E421D" w:rsidP="009E421D">
            <w:pPr>
              <w:spacing w:before="0" w:line="240" w:lineRule="auto"/>
              <w:jc w:val="center"/>
              <w:rPr>
                <w:rFonts w:eastAsia="Times New Roman"/>
                <w:b/>
                <w:bCs/>
                <w:color w:val="000000"/>
                <w:lang w:val="en-GB" w:eastAsia="en-GB"/>
              </w:rPr>
            </w:pPr>
          </w:p>
        </w:tc>
        <w:tc>
          <w:tcPr>
            <w:tcW w:w="960" w:type="dxa"/>
            <w:vMerge/>
            <w:tcBorders>
              <w:top w:val="nil"/>
              <w:bottom w:val="single" w:sz="4" w:space="0" w:color="auto"/>
            </w:tcBorders>
            <w:vAlign w:val="center"/>
            <w:hideMark/>
          </w:tcPr>
          <w:p w:rsidR="009E421D" w:rsidRPr="009E421D" w:rsidRDefault="009E421D" w:rsidP="009E421D">
            <w:pPr>
              <w:spacing w:before="0" w:line="240" w:lineRule="auto"/>
              <w:jc w:val="center"/>
              <w:rPr>
                <w:rFonts w:eastAsia="Times New Roman"/>
                <w:b/>
                <w:bCs/>
                <w:i/>
                <w:iCs/>
                <w:color w:val="000000"/>
                <w:lang w:val="en-GB" w:eastAsia="en-GB"/>
              </w:rPr>
            </w:pPr>
          </w:p>
        </w:tc>
        <w:tc>
          <w:tcPr>
            <w:tcW w:w="1161" w:type="dxa"/>
            <w:tcBorders>
              <w:top w:val="nil"/>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dental score</w:t>
            </w:r>
          </w:p>
        </w:tc>
        <w:tc>
          <w:tcPr>
            <w:tcW w:w="1133" w:type="dxa"/>
            <w:vMerge/>
            <w:tcBorders>
              <w:top w:val="nil"/>
              <w:bottom w:val="single" w:sz="4" w:space="0" w:color="auto"/>
            </w:tcBorders>
            <w:vAlign w:val="center"/>
            <w:hideMark/>
          </w:tcPr>
          <w:p w:rsidR="009E421D" w:rsidRPr="009E421D" w:rsidRDefault="009E421D" w:rsidP="009E421D">
            <w:pPr>
              <w:spacing w:before="0" w:line="240" w:lineRule="auto"/>
              <w:jc w:val="center"/>
              <w:rPr>
                <w:rFonts w:eastAsia="Times New Roman"/>
                <w:b/>
                <w:bCs/>
                <w:color w:val="000000"/>
                <w:lang w:val="en-GB" w:eastAsia="en-GB"/>
              </w:rPr>
            </w:pPr>
          </w:p>
        </w:tc>
        <w:tc>
          <w:tcPr>
            <w:tcW w:w="1170" w:type="dxa"/>
            <w:vMerge/>
            <w:tcBorders>
              <w:top w:val="nil"/>
              <w:bottom w:val="single" w:sz="4" w:space="0" w:color="auto"/>
            </w:tcBorders>
            <w:vAlign w:val="center"/>
            <w:hideMark/>
          </w:tcPr>
          <w:p w:rsidR="009E421D" w:rsidRPr="009E421D" w:rsidRDefault="009E421D" w:rsidP="009E421D">
            <w:pPr>
              <w:spacing w:before="0" w:line="240" w:lineRule="auto"/>
              <w:jc w:val="center"/>
              <w:rPr>
                <w:rFonts w:eastAsia="Times New Roman"/>
                <w:b/>
                <w:bCs/>
                <w:color w:val="000000"/>
                <w:lang w:val="en-GB" w:eastAsia="en-GB"/>
              </w:rPr>
            </w:pPr>
          </w:p>
        </w:tc>
      </w:tr>
      <w:tr w:rsidR="009E421D" w:rsidRPr="009E421D" w:rsidTr="00FB1519">
        <w:trPr>
          <w:trHeight w:val="284"/>
        </w:trPr>
        <w:tc>
          <w:tcPr>
            <w:tcW w:w="990" w:type="dxa"/>
            <w:vMerge w:val="restart"/>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upper limb</w:t>
            </w:r>
          </w:p>
        </w:tc>
        <w:tc>
          <w:tcPr>
            <w:tcW w:w="3427" w:type="dxa"/>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proximal humerus</w:t>
            </w:r>
          </w:p>
        </w:tc>
        <w:tc>
          <w:tcPr>
            <w:tcW w:w="960" w:type="dxa"/>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3</w:t>
            </w:r>
          </w:p>
        </w:tc>
        <w:tc>
          <w:tcPr>
            <w:tcW w:w="1161" w:type="dxa"/>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64</w:t>
            </w:r>
          </w:p>
        </w:tc>
        <w:tc>
          <w:tcPr>
            <w:tcW w:w="1133" w:type="dxa"/>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61</w:t>
            </w:r>
          </w:p>
        </w:tc>
        <w:tc>
          <w:tcPr>
            <w:tcW w:w="1170" w:type="dxa"/>
            <w:tcBorders>
              <w:top w:val="single" w:sz="4" w:space="0" w:color="auto"/>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r>
      <w:tr w:rsidR="009E421D" w:rsidRPr="009E421D" w:rsidTr="00FB1519">
        <w:trPr>
          <w:trHeight w:val="284"/>
        </w:trPr>
        <w:tc>
          <w:tcPr>
            <w:tcW w:w="990" w:type="dxa"/>
            <w:vMerge/>
            <w:tcBorders>
              <w:top w:val="nil"/>
              <w:bottom w:val="nil"/>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distal humerus</w:t>
            </w:r>
          </w:p>
        </w:tc>
        <w:tc>
          <w:tcPr>
            <w:tcW w:w="96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w:t>
            </w:r>
          </w:p>
        </w:tc>
        <w:tc>
          <w:tcPr>
            <w:tcW w:w="1161"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59</w:t>
            </w:r>
          </w:p>
        </w:tc>
        <w:tc>
          <w:tcPr>
            <w:tcW w:w="1133"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r>
      <w:tr w:rsidR="009E421D" w:rsidRPr="009E421D" w:rsidTr="00FB1519">
        <w:trPr>
          <w:trHeight w:val="284"/>
        </w:trPr>
        <w:tc>
          <w:tcPr>
            <w:tcW w:w="990" w:type="dxa"/>
            <w:vMerge/>
            <w:tcBorders>
              <w:top w:val="nil"/>
              <w:bottom w:val="nil"/>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humeral medial epicondyle</w:t>
            </w:r>
          </w:p>
        </w:tc>
        <w:tc>
          <w:tcPr>
            <w:tcW w:w="96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w:t>
            </w:r>
          </w:p>
        </w:tc>
        <w:tc>
          <w:tcPr>
            <w:tcW w:w="1161"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c>
          <w:tcPr>
            <w:tcW w:w="1133"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61</w:t>
            </w:r>
          </w:p>
        </w:tc>
      </w:tr>
      <w:tr w:rsidR="009E421D" w:rsidRPr="009E421D" w:rsidTr="00FB1519">
        <w:trPr>
          <w:trHeight w:val="284"/>
        </w:trPr>
        <w:tc>
          <w:tcPr>
            <w:tcW w:w="990" w:type="dxa"/>
            <w:vMerge/>
            <w:tcBorders>
              <w:top w:val="nil"/>
              <w:bottom w:val="nil"/>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proximal radius</w:t>
            </w:r>
          </w:p>
        </w:tc>
        <w:tc>
          <w:tcPr>
            <w:tcW w:w="96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w:t>
            </w:r>
          </w:p>
        </w:tc>
        <w:tc>
          <w:tcPr>
            <w:tcW w:w="1161"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c>
          <w:tcPr>
            <w:tcW w:w="1133"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61</w:t>
            </w:r>
          </w:p>
        </w:tc>
      </w:tr>
      <w:tr w:rsidR="009E421D" w:rsidRPr="009E421D" w:rsidTr="00FB1519">
        <w:trPr>
          <w:trHeight w:val="284"/>
        </w:trPr>
        <w:tc>
          <w:tcPr>
            <w:tcW w:w="990" w:type="dxa"/>
            <w:vMerge/>
            <w:tcBorders>
              <w:top w:val="nil"/>
              <w:bottom w:val="nil"/>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distal radius</w:t>
            </w:r>
          </w:p>
        </w:tc>
        <w:tc>
          <w:tcPr>
            <w:tcW w:w="96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0</w:t>
            </w:r>
          </w:p>
        </w:tc>
        <w:tc>
          <w:tcPr>
            <w:tcW w:w="1161"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33"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7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r>
      <w:tr w:rsidR="009E421D" w:rsidRPr="009E421D" w:rsidTr="00FB1519">
        <w:trPr>
          <w:trHeight w:val="284"/>
        </w:trPr>
        <w:tc>
          <w:tcPr>
            <w:tcW w:w="990" w:type="dxa"/>
            <w:vMerge/>
            <w:tcBorders>
              <w:top w:val="nil"/>
              <w:bottom w:val="nil"/>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proximal ulna</w:t>
            </w:r>
          </w:p>
        </w:tc>
        <w:tc>
          <w:tcPr>
            <w:tcW w:w="96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1</w:t>
            </w:r>
          </w:p>
        </w:tc>
        <w:tc>
          <w:tcPr>
            <w:tcW w:w="1161"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33"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tcBorders>
              <w:top w:val="nil"/>
              <w:bottom w:val="nil"/>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r>
      <w:tr w:rsidR="009E421D" w:rsidRPr="009E421D" w:rsidTr="00FB1519">
        <w:trPr>
          <w:trHeight w:val="284"/>
        </w:trPr>
        <w:tc>
          <w:tcPr>
            <w:tcW w:w="990" w:type="dxa"/>
            <w:vMerge/>
            <w:tcBorders>
              <w:top w:val="nil"/>
              <w:bottom w:val="single" w:sz="4" w:space="0" w:color="auto"/>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top w:val="nil"/>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distal ulna</w:t>
            </w:r>
          </w:p>
        </w:tc>
        <w:tc>
          <w:tcPr>
            <w:tcW w:w="960" w:type="dxa"/>
            <w:tcBorders>
              <w:top w:val="nil"/>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0</w:t>
            </w:r>
          </w:p>
        </w:tc>
        <w:tc>
          <w:tcPr>
            <w:tcW w:w="1161" w:type="dxa"/>
            <w:tcBorders>
              <w:top w:val="nil"/>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33" w:type="dxa"/>
            <w:tcBorders>
              <w:top w:val="nil"/>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70" w:type="dxa"/>
            <w:tcBorders>
              <w:top w:val="nil"/>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r>
      <w:tr w:rsidR="009E421D" w:rsidRPr="009E421D" w:rsidTr="00FB1519">
        <w:trPr>
          <w:trHeight w:val="284"/>
        </w:trPr>
        <w:tc>
          <w:tcPr>
            <w:tcW w:w="990" w:type="dxa"/>
            <w:vMerge w:val="restart"/>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hand</w:t>
            </w:r>
          </w:p>
        </w:tc>
        <w:tc>
          <w:tcPr>
            <w:tcW w:w="3427"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distal phalanges (hand)</w:t>
            </w:r>
          </w:p>
        </w:tc>
        <w:tc>
          <w:tcPr>
            <w:tcW w:w="96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2</w:t>
            </w:r>
          </w:p>
        </w:tc>
        <w:tc>
          <w:tcPr>
            <w:tcW w:w="1161"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46</w:t>
            </w:r>
          </w:p>
        </w:tc>
        <w:tc>
          <w:tcPr>
            <w:tcW w:w="1133"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45</w:t>
            </w:r>
          </w:p>
        </w:tc>
        <w:tc>
          <w:tcPr>
            <w:tcW w:w="117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base of metacarpal 1</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2</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50.5</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proximal and middle phalanges (hand)</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3</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tcBorders>
              <w:bottom w:val="single" w:sz="4" w:space="0" w:color="auto"/>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metacarpal heads 2-5</w:t>
            </w:r>
          </w:p>
        </w:tc>
        <w:tc>
          <w:tcPr>
            <w:tcW w:w="96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w:t>
            </w:r>
          </w:p>
        </w:tc>
        <w:tc>
          <w:tcPr>
            <w:tcW w:w="1161"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c>
          <w:tcPr>
            <w:tcW w:w="1133"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r>
      <w:tr w:rsidR="009E421D" w:rsidRPr="009E421D" w:rsidTr="00FB1519">
        <w:trPr>
          <w:trHeight w:val="284"/>
        </w:trPr>
        <w:tc>
          <w:tcPr>
            <w:tcW w:w="990" w:type="dxa"/>
            <w:vMerge w:val="restart"/>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lower limb</w:t>
            </w:r>
          </w:p>
        </w:tc>
        <w:tc>
          <w:tcPr>
            <w:tcW w:w="3427"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femoral head</w:t>
            </w:r>
          </w:p>
        </w:tc>
        <w:tc>
          <w:tcPr>
            <w:tcW w:w="96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w:t>
            </w:r>
          </w:p>
        </w:tc>
        <w:tc>
          <w:tcPr>
            <w:tcW w:w="1161"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60.5</w:t>
            </w:r>
          </w:p>
        </w:tc>
        <w:tc>
          <w:tcPr>
            <w:tcW w:w="1133"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59</w:t>
            </w:r>
          </w:p>
        </w:tc>
        <w:tc>
          <w:tcPr>
            <w:tcW w:w="117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greater trochanter</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3</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lesser trochanter</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2</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59.5</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59</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distal femur</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1</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64</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proximal tibia</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1</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distal tibia</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0</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proximal fibula</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0</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r>
      <w:tr w:rsidR="009E421D" w:rsidRPr="009E421D" w:rsidTr="00FB1519">
        <w:trPr>
          <w:trHeight w:val="284"/>
        </w:trPr>
        <w:tc>
          <w:tcPr>
            <w:tcW w:w="990" w:type="dxa"/>
            <w:vMerge/>
            <w:tcBorders>
              <w:bottom w:val="single" w:sz="4" w:space="0" w:color="auto"/>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distal fibula</w:t>
            </w:r>
          </w:p>
        </w:tc>
        <w:tc>
          <w:tcPr>
            <w:tcW w:w="96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2</w:t>
            </w:r>
          </w:p>
        </w:tc>
        <w:tc>
          <w:tcPr>
            <w:tcW w:w="1161"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57.5</w:t>
            </w:r>
          </w:p>
        </w:tc>
        <w:tc>
          <w:tcPr>
            <w:tcW w:w="1133"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61</w:t>
            </w:r>
          </w:p>
        </w:tc>
      </w:tr>
      <w:tr w:rsidR="009E421D" w:rsidRPr="009E421D" w:rsidTr="00FB1519">
        <w:trPr>
          <w:trHeight w:val="284"/>
        </w:trPr>
        <w:tc>
          <w:tcPr>
            <w:tcW w:w="990" w:type="dxa"/>
            <w:vMerge w:val="restart"/>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foot</w:t>
            </w:r>
          </w:p>
        </w:tc>
        <w:tc>
          <w:tcPr>
            <w:tcW w:w="3427"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calcaneus</w:t>
            </w:r>
          </w:p>
        </w:tc>
        <w:tc>
          <w:tcPr>
            <w:tcW w:w="96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2</w:t>
            </w:r>
          </w:p>
        </w:tc>
        <w:tc>
          <w:tcPr>
            <w:tcW w:w="1161"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53.5</w:t>
            </w:r>
          </w:p>
        </w:tc>
        <w:tc>
          <w:tcPr>
            <w:tcW w:w="1133"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talus</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0</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distal phalanges (foot)</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2</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57</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middle phalanges (foot)</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2</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57</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metatarsal heads (2-5)</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2</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57</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base of metatarsal 1</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57</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61</w:t>
            </w:r>
          </w:p>
        </w:tc>
      </w:tr>
      <w:tr w:rsidR="009E421D" w:rsidRPr="009E421D" w:rsidTr="00FB1519">
        <w:trPr>
          <w:trHeight w:val="284"/>
        </w:trPr>
        <w:tc>
          <w:tcPr>
            <w:tcW w:w="990" w:type="dxa"/>
            <w:vMerge/>
            <w:tcBorders>
              <w:bottom w:val="single" w:sz="4" w:space="0" w:color="auto"/>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proximal phalanges (foot)</w:t>
            </w:r>
          </w:p>
        </w:tc>
        <w:tc>
          <w:tcPr>
            <w:tcW w:w="96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w:t>
            </w:r>
          </w:p>
        </w:tc>
        <w:tc>
          <w:tcPr>
            <w:tcW w:w="1161"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57</w:t>
            </w:r>
          </w:p>
        </w:tc>
        <w:tc>
          <w:tcPr>
            <w:tcW w:w="1133"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61</w:t>
            </w:r>
          </w:p>
        </w:tc>
      </w:tr>
      <w:tr w:rsidR="009E421D" w:rsidRPr="009E421D" w:rsidTr="00FB1519">
        <w:trPr>
          <w:trHeight w:val="284"/>
        </w:trPr>
        <w:tc>
          <w:tcPr>
            <w:tcW w:w="990" w:type="dxa"/>
            <w:vMerge w:val="restart"/>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pelvis</w:t>
            </w:r>
          </w:p>
        </w:tc>
        <w:tc>
          <w:tcPr>
            <w:tcW w:w="3427"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triradiate</w:t>
            </w:r>
          </w:p>
        </w:tc>
        <w:tc>
          <w:tcPr>
            <w:tcW w:w="96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w:t>
            </w:r>
          </w:p>
        </w:tc>
        <w:tc>
          <w:tcPr>
            <w:tcW w:w="1161"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56.5</w:t>
            </w:r>
          </w:p>
        </w:tc>
        <w:tc>
          <w:tcPr>
            <w:tcW w:w="1133"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47</w:t>
            </w:r>
          </w:p>
        </w:tc>
        <w:tc>
          <w:tcPr>
            <w:tcW w:w="117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anterior inferior iliac spine</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0</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iliac crest</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1</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64</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r>
      <w:tr w:rsidR="009E421D" w:rsidRPr="009E421D" w:rsidTr="00FB1519">
        <w:trPr>
          <w:trHeight w:val="284"/>
        </w:trPr>
        <w:tc>
          <w:tcPr>
            <w:tcW w:w="990" w:type="dxa"/>
            <w:vMerge/>
            <w:tcBorders>
              <w:bottom w:val="single" w:sz="4" w:space="0" w:color="auto"/>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ischial epiphysis</w:t>
            </w:r>
          </w:p>
        </w:tc>
        <w:tc>
          <w:tcPr>
            <w:tcW w:w="96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4</w:t>
            </w:r>
          </w:p>
        </w:tc>
        <w:tc>
          <w:tcPr>
            <w:tcW w:w="1161"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61</w:t>
            </w:r>
          </w:p>
        </w:tc>
        <w:tc>
          <w:tcPr>
            <w:tcW w:w="1133"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c>
          <w:tcPr>
            <w:tcW w:w="117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r>
      <w:tr w:rsidR="009E421D" w:rsidRPr="009E421D" w:rsidTr="00FB1519">
        <w:trPr>
          <w:trHeight w:val="284"/>
        </w:trPr>
        <w:tc>
          <w:tcPr>
            <w:tcW w:w="990" w:type="dxa"/>
            <w:vMerge w:val="restart"/>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clavicle</w:t>
            </w:r>
          </w:p>
        </w:tc>
        <w:tc>
          <w:tcPr>
            <w:tcW w:w="3427"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medial clavicle</w:t>
            </w:r>
          </w:p>
        </w:tc>
        <w:tc>
          <w:tcPr>
            <w:tcW w:w="96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1</w:t>
            </w:r>
          </w:p>
        </w:tc>
        <w:tc>
          <w:tcPr>
            <w:tcW w:w="1161"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33"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r>
      <w:tr w:rsidR="009E421D" w:rsidRPr="009E421D" w:rsidTr="00FB1519">
        <w:trPr>
          <w:trHeight w:val="284"/>
        </w:trPr>
        <w:tc>
          <w:tcPr>
            <w:tcW w:w="990" w:type="dxa"/>
            <w:vMerge/>
            <w:tcBorders>
              <w:bottom w:val="single" w:sz="4" w:space="0" w:color="auto"/>
            </w:tcBorders>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lateral clavicle</w:t>
            </w:r>
          </w:p>
        </w:tc>
        <w:tc>
          <w:tcPr>
            <w:tcW w:w="96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0</w:t>
            </w:r>
          </w:p>
        </w:tc>
        <w:tc>
          <w:tcPr>
            <w:tcW w:w="1161"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33"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70" w:type="dxa"/>
            <w:tcBorders>
              <w:bottom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r>
      <w:tr w:rsidR="009E421D" w:rsidRPr="009E421D" w:rsidTr="00FB1519">
        <w:trPr>
          <w:trHeight w:val="284"/>
        </w:trPr>
        <w:tc>
          <w:tcPr>
            <w:tcW w:w="990" w:type="dxa"/>
            <w:vMerge w:val="restart"/>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scapula</w:t>
            </w:r>
          </w:p>
        </w:tc>
        <w:tc>
          <w:tcPr>
            <w:tcW w:w="3427"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coracoid</w:t>
            </w:r>
          </w:p>
        </w:tc>
        <w:tc>
          <w:tcPr>
            <w:tcW w:w="96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1</w:t>
            </w:r>
          </w:p>
        </w:tc>
        <w:tc>
          <w:tcPr>
            <w:tcW w:w="1161"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33"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tcBorders>
              <w:top w:val="single" w:sz="4" w:space="0" w:color="auto"/>
            </w:tcBorders>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sub-coracoid and glenoid</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3</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59</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54</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60</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acromium</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0</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w:t>
            </w:r>
          </w:p>
        </w:tc>
      </w:tr>
      <w:tr w:rsidR="009E421D" w:rsidRPr="009E421D" w:rsidTr="00FB1519">
        <w:trPr>
          <w:trHeight w:val="284"/>
        </w:trPr>
        <w:tc>
          <w:tcPr>
            <w:tcW w:w="990" w:type="dxa"/>
            <w:vMerge/>
            <w:vAlign w:val="center"/>
            <w:hideMark/>
          </w:tcPr>
          <w:p w:rsidR="009E421D" w:rsidRPr="009E421D" w:rsidRDefault="009E421D" w:rsidP="009E421D">
            <w:pPr>
              <w:spacing w:before="0" w:line="240" w:lineRule="auto"/>
              <w:jc w:val="center"/>
              <w:rPr>
                <w:rFonts w:eastAsia="Times New Roman"/>
                <w:color w:val="000000"/>
                <w:lang w:val="en-GB" w:eastAsia="en-GB"/>
              </w:rPr>
            </w:pPr>
          </w:p>
        </w:tc>
        <w:tc>
          <w:tcPr>
            <w:tcW w:w="3427"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medial border</w:t>
            </w:r>
          </w:p>
        </w:tc>
        <w:tc>
          <w:tcPr>
            <w:tcW w:w="96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1</w:t>
            </w:r>
          </w:p>
        </w:tc>
        <w:tc>
          <w:tcPr>
            <w:tcW w:w="1161" w:type="dxa"/>
            <w:shd w:val="clear" w:color="auto" w:fill="auto"/>
            <w:noWrap/>
            <w:vAlign w:val="center"/>
            <w:hideMark/>
          </w:tcPr>
          <w:p w:rsidR="009E421D" w:rsidRPr="009E421D" w:rsidRDefault="009E421D" w:rsidP="009E421D">
            <w:pPr>
              <w:spacing w:before="0" w:line="240" w:lineRule="auto"/>
              <w:jc w:val="center"/>
              <w:rPr>
                <w:rFonts w:eastAsia="Times New Roman"/>
                <w:b/>
                <w:bCs/>
                <w:color w:val="000000"/>
                <w:lang w:val="en-GB" w:eastAsia="en-GB"/>
              </w:rPr>
            </w:pPr>
            <w:r w:rsidRPr="009E421D">
              <w:rPr>
                <w:rFonts w:eastAsia="Times New Roman"/>
                <w:b/>
                <w:bCs/>
                <w:color w:val="000000"/>
                <w:lang w:val="en-GB" w:eastAsia="en-GB"/>
              </w:rPr>
              <w:t>64</w:t>
            </w:r>
          </w:p>
        </w:tc>
        <w:tc>
          <w:tcPr>
            <w:tcW w:w="1133"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c>
          <w:tcPr>
            <w:tcW w:w="1170" w:type="dxa"/>
            <w:shd w:val="clear" w:color="auto" w:fill="auto"/>
            <w:noWrap/>
            <w:vAlign w:val="center"/>
            <w:hideMark/>
          </w:tcPr>
          <w:p w:rsidR="009E421D" w:rsidRPr="009E421D" w:rsidRDefault="009E421D" w:rsidP="009E421D">
            <w:pPr>
              <w:spacing w:before="0" w:line="240" w:lineRule="auto"/>
              <w:jc w:val="center"/>
              <w:rPr>
                <w:rFonts w:eastAsia="Times New Roman"/>
                <w:color w:val="000000"/>
                <w:lang w:val="en-GB" w:eastAsia="en-GB"/>
              </w:rPr>
            </w:pPr>
            <w:r w:rsidRPr="009E421D">
              <w:rPr>
                <w:rFonts w:eastAsia="Times New Roman"/>
                <w:color w:val="000000"/>
                <w:lang w:val="en-GB" w:eastAsia="en-GB"/>
              </w:rPr>
              <w:t>64</w:t>
            </w:r>
          </w:p>
        </w:tc>
      </w:tr>
    </w:tbl>
    <w:p w:rsidR="004671AE" w:rsidRDefault="004671AE" w:rsidP="004828B2">
      <w:pPr>
        <w:rPr>
          <w:color w:val="000000"/>
        </w:rPr>
      </w:pPr>
    </w:p>
    <w:p w:rsidR="004671AE" w:rsidRDefault="004671AE">
      <w:pPr>
        <w:spacing w:before="0" w:after="200" w:line="276" w:lineRule="auto"/>
        <w:jc w:val="left"/>
        <w:rPr>
          <w:color w:val="000000"/>
        </w:rPr>
      </w:pPr>
      <w:r>
        <w:rPr>
          <w:color w:val="000000"/>
        </w:rPr>
        <w:br w:type="page"/>
      </w:r>
    </w:p>
    <w:p w:rsidR="004671AE" w:rsidRPr="00916CCD" w:rsidRDefault="004671AE" w:rsidP="00733544">
      <w:pPr>
        <w:pStyle w:val="Table"/>
      </w:pPr>
      <w:bookmarkStart w:id="3543" w:name="_Toc373177899"/>
      <w:bookmarkStart w:id="3544" w:name="_Toc373484438"/>
      <w:r w:rsidRPr="004671AE">
        <w:rPr>
          <w:b/>
        </w:rPr>
        <w:lastRenderedPageBreak/>
        <w:t>Table 8.17</w:t>
      </w:r>
      <w:r>
        <w:t xml:space="preserve"> </w:t>
      </w:r>
      <w:r w:rsidRPr="00EF5A9A">
        <w:t>Median values</w:t>
      </w:r>
      <w:r>
        <w:t xml:space="preserve"> </w:t>
      </w:r>
      <w:r w:rsidRPr="00EF5A9A">
        <w:t xml:space="preserve">and ranges of </w:t>
      </w:r>
      <w:r>
        <w:t>dental score</w:t>
      </w:r>
      <w:r w:rsidRPr="00EF5A9A">
        <w:t xml:space="preserve"> </w:t>
      </w:r>
      <w:r>
        <w:t xml:space="preserve">for </w:t>
      </w:r>
      <w:r w:rsidRPr="00EF5A9A">
        <w:t xml:space="preserve">all complete fusion epiphyses in </w:t>
      </w:r>
      <w:r w:rsidRPr="00EF5A9A">
        <w:rPr>
          <w:i/>
        </w:rPr>
        <w:t xml:space="preserve">Pan paniscus </w:t>
      </w:r>
      <w:r>
        <w:t>males.</w:t>
      </w:r>
      <w:bookmarkEnd w:id="3543"/>
      <w:bookmarkEnd w:id="3544"/>
    </w:p>
    <w:tbl>
      <w:tblPr>
        <w:tblW w:w="8841" w:type="dxa"/>
        <w:tblInd w:w="93" w:type="dxa"/>
        <w:tblBorders>
          <w:top w:val="single" w:sz="4" w:space="0" w:color="auto"/>
          <w:bottom w:val="single" w:sz="4" w:space="0" w:color="auto"/>
        </w:tblBorders>
        <w:tblLook w:val="04A0" w:firstRow="1" w:lastRow="0" w:firstColumn="1" w:lastColumn="0" w:noHBand="0" w:noVBand="1"/>
      </w:tblPr>
      <w:tblGrid>
        <w:gridCol w:w="990"/>
        <w:gridCol w:w="3427"/>
        <w:gridCol w:w="960"/>
        <w:gridCol w:w="1161"/>
        <w:gridCol w:w="1133"/>
        <w:gridCol w:w="1170"/>
      </w:tblGrid>
      <w:tr w:rsidR="004671AE" w:rsidRPr="006B4FD2" w:rsidTr="00FB1519">
        <w:trPr>
          <w:trHeight w:val="284"/>
        </w:trPr>
        <w:tc>
          <w:tcPr>
            <w:tcW w:w="990" w:type="dxa"/>
            <w:tcBorders>
              <w:top w:val="single" w:sz="4" w:space="0" w:color="auto"/>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skeletal region</w:t>
            </w:r>
          </w:p>
        </w:tc>
        <w:tc>
          <w:tcPr>
            <w:tcW w:w="3427" w:type="dxa"/>
            <w:tcBorders>
              <w:top w:val="single" w:sz="4" w:space="0" w:color="auto"/>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epiphyseal fusion site</w:t>
            </w:r>
          </w:p>
        </w:tc>
        <w:tc>
          <w:tcPr>
            <w:tcW w:w="960" w:type="dxa"/>
            <w:tcBorders>
              <w:top w:val="single" w:sz="4" w:space="0" w:color="auto"/>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i/>
                <w:iCs/>
                <w:color w:val="000000"/>
                <w:lang w:eastAsia="en-GB"/>
              </w:rPr>
            </w:pPr>
            <w:r w:rsidRPr="006B4FD2">
              <w:rPr>
                <w:rFonts w:eastAsia="Times New Roman"/>
                <w:b/>
                <w:bCs/>
                <w:i/>
                <w:iCs/>
                <w:color w:val="000000"/>
                <w:lang w:eastAsia="en-GB"/>
              </w:rPr>
              <w:t>N</w:t>
            </w:r>
          </w:p>
        </w:tc>
        <w:tc>
          <w:tcPr>
            <w:tcW w:w="1161" w:type="dxa"/>
            <w:tcBorders>
              <w:top w:val="single" w:sz="4" w:space="0" w:color="auto"/>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median</w:t>
            </w:r>
          </w:p>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dental score</w:t>
            </w:r>
          </w:p>
        </w:tc>
        <w:tc>
          <w:tcPr>
            <w:tcW w:w="1133" w:type="dxa"/>
            <w:tcBorders>
              <w:top w:val="single" w:sz="4" w:space="0" w:color="auto"/>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minimum dental score</w:t>
            </w:r>
          </w:p>
        </w:tc>
        <w:tc>
          <w:tcPr>
            <w:tcW w:w="1170" w:type="dxa"/>
            <w:tcBorders>
              <w:top w:val="single" w:sz="4" w:space="0" w:color="auto"/>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maximum dental score</w:t>
            </w:r>
          </w:p>
        </w:tc>
      </w:tr>
      <w:tr w:rsidR="004671AE" w:rsidRPr="006B4FD2" w:rsidTr="00FB1519">
        <w:trPr>
          <w:trHeight w:val="284"/>
        </w:trPr>
        <w:tc>
          <w:tcPr>
            <w:tcW w:w="990" w:type="dxa"/>
            <w:vMerge w:val="restart"/>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upper limb</w:t>
            </w:r>
          </w:p>
        </w:tc>
        <w:tc>
          <w:tcPr>
            <w:tcW w:w="3427"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proximal humerus</w:t>
            </w:r>
          </w:p>
        </w:tc>
        <w:tc>
          <w:tcPr>
            <w:tcW w:w="96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0</w:t>
            </w:r>
          </w:p>
        </w:tc>
        <w:tc>
          <w:tcPr>
            <w:tcW w:w="1161"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c>
          <w:tcPr>
            <w:tcW w:w="1133"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c>
          <w:tcPr>
            <w:tcW w:w="117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distal humerus</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7</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60</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47</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 xml:space="preserve">humeral </w:t>
            </w:r>
            <w:r w:rsidRPr="006B4FD2">
              <w:rPr>
                <w:rFonts w:eastAsia="Times New Roman"/>
                <w:color w:val="000000"/>
                <w:lang w:eastAsia="en-GB"/>
              </w:rPr>
              <w:t>medial epicondyle</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60.5</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60</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proximal radius</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distal radius</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proximal ulna</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7</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60</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tcBorders>
              <w:bottom w:val="single" w:sz="4" w:space="0" w:color="auto"/>
            </w:tcBorders>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distal ulna</w:t>
            </w:r>
          </w:p>
        </w:tc>
        <w:tc>
          <w:tcPr>
            <w:tcW w:w="96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restart"/>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hand</w:t>
            </w:r>
          </w:p>
        </w:tc>
        <w:tc>
          <w:tcPr>
            <w:tcW w:w="3427"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distal phalanges (hand)</w:t>
            </w:r>
          </w:p>
        </w:tc>
        <w:tc>
          <w:tcPr>
            <w:tcW w:w="96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4</w:t>
            </w:r>
          </w:p>
        </w:tc>
        <w:tc>
          <w:tcPr>
            <w:tcW w:w="1161"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62.5</w:t>
            </w:r>
          </w:p>
        </w:tc>
        <w:tc>
          <w:tcPr>
            <w:tcW w:w="1133"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54</w:t>
            </w:r>
          </w:p>
        </w:tc>
        <w:tc>
          <w:tcPr>
            <w:tcW w:w="117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base of metacarpal 1</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1</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proximal and middle phalanges (hand)</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3</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tcBorders>
              <w:bottom w:val="single" w:sz="4" w:space="0" w:color="auto"/>
            </w:tcBorders>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metacarpal heads 2-5</w:t>
            </w:r>
          </w:p>
        </w:tc>
        <w:tc>
          <w:tcPr>
            <w:tcW w:w="96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restart"/>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lower limb</w:t>
            </w:r>
          </w:p>
        </w:tc>
        <w:tc>
          <w:tcPr>
            <w:tcW w:w="3427"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femoral head</w:t>
            </w:r>
          </w:p>
        </w:tc>
        <w:tc>
          <w:tcPr>
            <w:tcW w:w="96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1</w:t>
            </w:r>
          </w:p>
        </w:tc>
        <w:tc>
          <w:tcPr>
            <w:tcW w:w="1161"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33"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7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greater trochanter</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3</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lesser trochanter</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distal femur</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1</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proximal tibia</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distal tibia</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proximal fibula</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tcBorders>
              <w:bottom w:val="single" w:sz="4" w:space="0" w:color="auto"/>
            </w:tcBorders>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distal fibula</w:t>
            </w:r>
          </w:p>
        </w:tc>
        <w:tc>
          <w:tcPr>
            <w:tcW w:w="96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restart"/>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foot</w:t>
            </w:r>
          </w:p>
        </w:tc>
        <w:tc>
          <w:tcPr>
            <w:tcW w:w="3427"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calcaneus</w:t>
            </w:r>
          </w:p>
        </w:tc>
        <w:tc>
          <w:tcPr>
            <w:tcW w:w="96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w:t>
            </w:r>
          </w:p>
        </w:tc>
        <w:tc>
          <w:tcPr>
            <w:tcW w:w="1161"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33"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54</w:t>
            </w:r>
          </w:p>
        </w:tc>
        <w:tc>
          <w:tcPr>
            <w:tcW w:w="117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talus</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9</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60</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47</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distal phalanges (foot)</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3</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middle phalanges (foot)</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3</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metatarsal heads (2-5)</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3</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base of metatarsal 1</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tcBorders>
              <w:bottom w:val="single" w:sz="4" w:space="0" w:color="auto"/>
            </w:tcBorders>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proximal phalanges (foot)</w:t>
            </w:r>
          </w:p>
        </w:tc>
        <w:tc>
          <w:tcPr>
            <w:tcW w:w="96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restart"/>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pelvis</w:t>
            </w:r>
          </w:p>
        </w:tc>
        <w:tc>
          <w:tcPr>
            <w:tcW w:w="3427"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triradiate</w:t>
            </w:r>
          </w:p>
        </w:tc>
        <w:tc>
          <w:tcPr>
            <w:tcW w:w="96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w:t>
            </w:r>
          </w:p>
        </w:tc>
        <w:tc>
          <w:tcPr>
            <w:tcW w:w="1161"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33"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60</w:t>
            </w:r>
          </w:p>
        </w:tc>
        <w:tc>
          <w:tcPr>
            <w:tcW w:w="117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anterior inferior iliac spine</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61</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59</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iliac crest</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0</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r>
      <w:tr w:rsidR="004671AE" w:rsidRPr="006B4FD2" w:rsidTr="00FB1519">
        <w:trPr>
          <w:trHeight w:val="284"/>
        </w:trPr>
        <w:tc>
          <w:tcPr>
            <w:tcW w:w="990" w:type="dxa"/>
            <w:vMerge/>
            <w:tcBorders>
              <w:bottom w:val="single" w:sz="4" w:space="0" w:color="auto"/>
            </w:tcBorders>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ischia</w:t>
            </w:r>
            <w:r>
              <w:rPr>
                <w:rFonts w:eastAsia="Times New Roman"/>
                <w:color w:val="000000"/>
                <w:lang w:eastAsia="en-GB"/>
              </w:rPr>
              <w:t>l</w:t>
            </w:r>
            <w:r w:rsidRPr="006B4FD2">
              <w:rPr>
                <w:rFonts w:eastAsia="Times New Roman"/>
                <w:color w:val="000000"/>
                <w:lang w:eastAsia="en-GB"/>
              </w:rPr>
              <w:t xml:space="preserve"> epiphysis</w:t>
            </w:r>
          </w:p>
        </w:tc>
        <w:tc>
          <w:tcPr>
            <w:tcW w:w="96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0</w:t>
            </w:r>
          </w:p>
        </w:tc>
        <w:tc>
          <w:tcPr>
            <w:tcW w:w="1161"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c>
          <w:tcPr>
            <w:tcW w:w="1133"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c>
          <w:tcPr>
            <w:tcW w:w="117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Pr>
                <w:rFonts w:eastAsia="Times New Roman"/>
                <w:color w:val="000000"/>
                <w:lang w:eastAsia="en-GB"/>
              </w:rPr>
              <w:t>-</w:t>
            </w:r>
          </w:p>
        </w:tc>
      </w:tr>
      <w:tr w:rsidR="004671AE" w:rsidRPr="006B4FD2" w:rsidTr="00FB1519">
        <w:trPr>
          <w:trHeight w:val="284"/>
        </w:trPr>
        <w:tc>
          <w:tcPr>
            <w:tcW w:w="990" w:type="dxa"/>
            <w:vMerge w:val="restart"/>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clavicle</w:t>
            </w:r>
          </w:p>
        </w:tc>
        <w:tc>
          <w:tcPr>
            <w:tcW w:w="3427"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medial clavicle</w:t>
            </w:r>
          </w:p>
        </w:tc>
        <w:tc>
          <w:tcPr>
            <w:tcW w:w="96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tcBorders>
              <w:bottom w:val="single" w:sz="4" w:space="0" w:color="auto"/>
            </w:tcBorders>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lateral clavicle</w:t>
            </w:r>
          </w:p>
        </w:tc>
        <w:tc>
          <w:tcPr>
            <w:tcW w:w="96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59</w:t>
            </w:r>
          </w:p>
        </w:tc>
        <w:tc>
          <w:tcPr>
            <w:tcW w:w="1133"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54</w:t>
            </w:r>
          </w:p>
        </w:tc>
        <w:tc>
          <w:tcPr>
            <w:tcW w:w="1170" w:type="dxa"/>
            <w:tcBorders>
              <w:bottom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restart"/>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scapula</w:t>
            </w:r>
          </w:p>
        </w:tc>
        <w:tc>
          <w:tcPr>
            <w:tcW w:w="3427"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coracoid</w:t>
            </w:r>
          </w:p>
        </w:tc>
        <w:tc>
          <w:tcPr>
            <w:tcW w:w="96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w:t>
            </w:r>
          </w:p>
        </w:tc>
        <w:tc>
          <w:tcPr>
            <w:tcW w:w="1161"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60.5</w:t>
            </w:r>
          </w:p>
        </w:tc>
        <w:tc>
          <w:tcPr>
            <w:tcW w:w="1133"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59</w:t>
            </w:r>
          </w:p>
        </w:tc>
        <w:tc>
          <w:tcPr>
            <w:tcW w:w="1170" w:type="dxa"/>
            <w:tcBorders>
              <w:top w:val="single" w:sz="4" w:space="0" w:color="auto"/>
            </w:tcBorders>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sub-coracoid and glenoid</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4</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62.5</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60</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acromium</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2</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r w:rsidR="004671AE" w:rsidRPr="006B4FD2" w:rsidTr="00FB1519">
        <w:trPr>
          <w:trHeight w:val="284"/>
        </w:trPr>
        <w:tc>
          <w:tcPr>
            <w:tcW w:w="990" w:type="dxa"/>
            <w:vMerge/>
            <w:vAlign w:val="center"/>
            <w:hideMark/>
          </w:tcPr>
          <w:p w:rsidR="004671AE" w:rsidRPr="006B4FD2" w:rsidRDefault="004671AE" w:rsidP="004671AE">
            <w:pPr>
              <w:spacing w:before="0" w:line="240" w:lineRule="auto"/>
              <w:jc w:val="center"/>
              <w:rPr>
                <w:rFonts w:eastAsia="Times New Roman"/>
                <w:color w:val="000000"/>
                <w:lang w:eastAsia="en-GB"/>
              </w:rPr>
            </w:pPr>
          </w:p>
        </w:tc>
        <w:tc>
          <w:tcPr>
            <w:tcW w:w="3427"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medial border</w:t>
            </w:r>
          </w:p>
        </w:tc>
        <w:tc>
          <w:tcPr>
            <w:tcW w:w="96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1</w:t>
            </w:r>
          </w:p>
        </w:tc>
        <w:tc>
          <w:tcPr>
            <w:tcW w:w="1161" w:type="dxa"/>
            <w:shd w:val="clear" w:color="auto" w:fill="auto"/>
            <w:noWrap/>
            <w:vAlign w:val="center"/>
            <w:hideMark/>
          </w:tcPr>
          <w:p w:rsidR="004671AE" w:rsidRPr="006B4FD2" w:rsidRDefault="004671AE" w:rsidP="004671AE">
            <w:pPr>
              <w:spacing w:before="0" w:line="240" w:lineRule="auto"/>
              <w:jc w:val="center"/>
              <w:rPr>
                <w:rFonts w:eastAsia="Times New Roman"/>
                <w:b/>
                <w:bCs/>
                <w:color w:val="000000"/>
                <w:lang w:eastAsia="en-GB"/>
              </w:rPr>
            </w:pPr>
            <w:r w:rsidRPr="006B4FD2">
              <w:rPr>
                <w:rFonts w:eastAsia="Times New Roman"/>
                <w:b/>
                <w:bCs/>
                <w:color w:val="000000"/>
                <w:lang w:eastAsia="en-GB"/>
              </w:rPr>
              <w:t>64</w:t>
            </w:r>
          </w:p>
        </w:tc>
        <w:tc>
          <w:tcPr>
            <w:tcW w:w="1133"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c>
          <w:tcPr>
            <w:tcW w:w="1170" w:type="dxa"/>
            <w:shd w:val="clear" w:color="auto" w:fill="auto"/>
            <w:noWrap/>
            <w:vAlign w:val="center"/>
            <w:hideMark/>
          </w:tcPr>
          <w:p w:rsidR="004671AE" w:rsidRPr="006B4FD2" w:rsidRDefault="004671AE" w:rsidP="004671AE">
            <w:pPr>
              <w:spacing w:before="0" w:line="240" w:lineRule="auto"/>
              <w:jc w:val="center"/>
              <w:rPr>
                <w:rFonts w:eastAsia="Times New Roman"/>
                <w:color w:val="000000"/>
                <w:lang w:eastAsia="en-GB"/>
              </w:rPr>
            </w:pPr>
            <w:r w:rsidRPr="006B4FD2">
              <w:rPr>
                <w:rFonts w:eastAsia="Times New Roman"/>
                <w:color w:val="000000"/>
                <w:lang w:eastAsia="en-GB"/>
              </w:rPr>
              <w:t>64</w:t>
            </w:r>
          </w:p>
        </w:tc>
      </w:tr>
    </w:tbl>
    <w:p w:rsidR="004828B2" w:rsidRDefault="004828B2" w:rsidP="004828B2">
      <w:pPr>
        <w:rPr>
          <w:color w:val="000000"/>
        </w:rPr>
      </w:pPr>
    </w:p>
    <w:p w:rsidR="004671AE" w:rsidRDefault="004671AE">
      <w:pPr>
        <w:spacing w:before="0" w:after="200" w:line="276" w:lineRule="auto"/>
        <w:jc w:val="left"/>
        <w:rPr>
          <w:color w:val="000000"/>
        </w:rPr>
      </w:pPr>
      <w:r>
        <w:rPr>
          <w:color w:val="000000"/>
        </w:rPr>
        <w:br w:type="page"/>
      </w:r>
    </w:p>
    <w:p w:rsidR="008348D7" w:rsidRPr="008348D7" w:rsidRDefault="008348D7" w:rsidP="00DB0B33">
      <w:pPr>
        <w:numPr>
          <w:ilvl w:val="1"/>
          <w:numId w:val="0"/>
        </w:numPr>
        <w:tabs>
          <w:tab w:val="left" w:pos="660"/>
          <w:tab w:val="right" w:leader="dot" w:pos="8471"/>
        </w:tabs>
        <w:spacing w:before="0" w:after="40" w:line="276" w:lineRule="auto"/>
        <w:ind w:left="-284" w:right="289"/>
        <w:jc w:val="left"/>
        <w:rPr>
          <w:rFonts w:eastAsiaTheme="minorHAnsi"/>
          <w:noProof/>
          <w:color w:val="000000"/>
          <w:lang w:val="en-GB" w:eastAsia="en-GB"/>
        </w:rPr>
      </w:pPr>
      <w:bookmarkStart w:id="3545" w:name="_Toc373177900"/>
      <w:bookmarkStart w:id="3546" w:name="_Toc373484439"/>
      <w:r w:rsidRPr="008348D7">
        <w:rPr>
          <w:rFonts w:eastAsiaTheme="minorHAnsi"/>
          <w:b/>
          <w:noProof/>
          <w:color w:val="000000"/>
          <w:lang w:val="en-GB" w:eastAsia="en-GB"/>
        </w:rPr>
        <w:lastRenderedPageBreak/>
        <w:t>Table 8.18</w:t>
      </w:r>
      <w:r>
        <w:rPr>
          <w:rFonts w:eastAsiaTheme="minorHAnsi"/>
          <w:noProof/>
          <w:color w:val="000000"/>
          <w:lang w:val="en-GB" w:eastAsia="en-GB"/>
        </w:rPr>
        <w:t xml:space="preserve"> </w:t>
      </w:r>
      <w:r w:rsidRPr="008348D7">
        <w:rPr>
          <w:rFonts w:eastAsiaTheme="minorHAnsi"/>
          <w:noProof/>
          <w:color w:val="000000"/>
          <w:lang w:val="en-GB" w:eastAsia="en-GB"/>
        </w:rPr>
        <w:t>Mid-fusion and complete fusion median, 25</w:t>
      </w:r>
      <w:r w:rsidRPr="008348D7">
        <w:rPr>
          <w:rFonts w:eastAsiaTheme="minorHAnsi"/>
          <w:noProof/>
          <w:color w:val="000000"/>
          <w:vertAlign w:val="superscript"/>
          <w:lang w:val="en-GB" w:eastAsia="en-GB"/>
        </w:rPr>
        <w:t>th</w:t>
      </w:r>
      <w:r w:rsidRPr="008348D7">
        <w:rPr>
          <w:rFonts w:eastAsiaTheme="minorHAnsi"/>
          <w:noProof/>
          <w:color w:val="000000"/>
          <w:lang w:val="en-GB" w:eastAsia="en-GB"/>
        </w:rPr>
        <w:t xml:space="preserve"> and 75</w:t>
      </w:r>
      <w:r w:rsidRPr="008348D7">
        <w:rPr>
          <w:rFonts w:eastAsiaTheme="minorHAnsi"/>
          <w:noProof/>
          <w:color w:val="000000"/>
          <w:vertAlign w:val="superscript"/>
          <w:lang w:val="en-GB" w:eastAsia="en-GB"/>
        </w:rPr>
        <w:t>th</w:t>
      </w:r>
      <w:r w:rsidRPr="008348D7">
        <w:rPr>
          <w:rFonts w:eastAsiaTheme="minorHAnsi"/>
          <w:noProof/>
          <w:color w:val="000000"/>
          <w:lang w:val="en-GB" w:eastAsia="en-GB"/>
        </w:rPr>
        <w:t xml:space="preserve"> percentile dental score values for </w:t>
      </w:r>
      <w:r w:rsidRPr="008348D7">
        <w:rPr>
          <w:rFonts w:eastAsiaTheme="minorHAnsi"/>
          <w:i/>
          <w:noProof/>
          <w:color w:val="000000"/>
          <w:lang w:val="en-GB" w:eastAsia="en-GB"/>
        </w:rPr>
        <w:t>Pan troglodytes</w:t>
      </w:r>
      <w:r w:rsidRPr="008348D7">
        <w:rPr>
          <w:rFonts w:eastAsiaTheme="minorHAnsi"/>
          <w:noProof/>
          <w:color w:val="000000"/>
          <w:lang w:val="en-GB" w:eastAsia="en-GB"/>
        </w:rPr>
        <w:t xml:space="preserve"> males.</w:t>
      </w:r>
      <w:bookmarkEnd w:id="3545"/>
      <w:bookmarkEnd w:id="3546"/>
    </w:p>
    <w:tbl>
      <w:tblPr>
        <w:tblW w:w="9489" w:type="dxa"/>
        <w:jc w:val="center"/>
        <w:tblInd w:w="675" w:type="dxa"/>
        <w:tblBorders>
          <w:top w:val="single" w:sz="4" w:space="0" w:color="auto"/>
          <w:bottom w:val="single" w:sz="4" w:space="0" w:color="auto"/>
        </w:tblBorders>
        <w:tblLook w:val="04A0" w:firstRow="1" w:lastRow="0" w:firstColumn="1" w:lastColumn="0" w:noHBand="0" w:noVBand="1"/>
      </w:tblPr>
      <w:tblGrid>
        <w:gridCol w:w="2845"/>
        <w:gridCol w:w="913"/>
        <w:gridCol w:w="1145"/>
        <w:gridCol w:w="1145"/>
        <w:gridCol w:w="927"/>
        <w:gridCol w:w="1145"/>
        <w:gridCol w:w="1369"/>
      </w:tblGrid>
      <w:tr w:rsidR="008348D7" w:rsidRPr="008348D7" w:rsidTr="00FB1519">
        <w:trPr>
          <w:trHeight w:val="315"/>
          <w:jc w:val="center"/>
        </w:trPr>
        <w:tc>
          <w:tcPr>
            <w:tcW w:w="2845" w:type="dxa"/>
            <w:vMerge w:val="restart"/>
            <w:tcBorders>
              <w:top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epiphysis</w:t>
            </w:r>
          </w:p>
        </w:tc>
        <w:tc>
          <w:tcPr>
            <w:tcW w:w="3203" w:type="dxa"/>
            <w:gridSpan w:val="3"/>
            <w:tcBorders>
              <w:top w:val="single" w:sz="4" w:space="0" w:color="auto"/>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mid-fusion</w:t>
            </w:r>
          </w:p>
        </w:tc>
        <w:tc>
          <w:tcPr>
            <w:tcW w:w="3441" w:type="dxa"/>
            <w:gridSpan w:val="3"/>
            <w:tcBorders>
              <w:top w:val="single" w:sz="4" w:space="0" w:color="auto"/>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complete fusion</w:t>
            </w:r>
          </w:p>
        </w:tc>
      </w:tr>
      <w:tr w:rsidR="008348D7" w:rsidRPr="008348D7" w:rsidTr="00FB1519">
        <w:trPr>
          <w:trHeight w:val="315"/>
          <w:jc w:val="center"/>
        </w:trPr>
        <w:tc>
          <w:tcPr>
            <w:tcW w:w="2845" w:type="dxa"/>
            <w:vMerge/>
            <w:tcBorders>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p>
        </w:tc>
        <w:tc>
          <w:tcPr>
            <w:tcW w:w="913" w:type="dxa"/>
            <w:tcBorders>
              <w:top w:val="single" w:sz="4" w:space="0" w:color="auto"/>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median</w:t>
            </w:r>
          </w:p>
        </w:tc>
        <w:tc>
          <w:tcPr>
            <w:tcW w:w="1145" w:type="dxa"/>
            <w:tcBorders>
              <w:top w:val="single" w:sz="4" w:space="0" w:color="auto"/>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25th percentile</w:t>
            </w:r>
          </w:p>
        </w:tc>
        <w:tc>
          <w:tcPr>
            <w:tcW w:w="1145" w:type="dxa"/>
            <w:tcBorders>
              <w:top w:val="single" w:sz="4" w:space="0" w:color="auto"/>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75th percentile</w:t>
            </w:r>
          </w:p>
        </w:tc>
        <w:tc>
          <w:tcPr>
            <w:tcW w:w="927" w:type="dxa"/>
            <w:tcBorders>
              <w:top w:val="single" w:sz="4" w:space="0" w:color="auto"/>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median</w:t>
            </w:r>
          </w:p>
        </w:tc>
        <w:tc>
          <w:tcPr>
            <w:tcW w:w="1145" w:type="dxa"/>
            <w:tcBorders>
              <w:top w:val="single" w:sz="4" w:space="0" w:color="auto"/>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25th percentile</w:t>
            </w:r>
          </w:p>
        </w:tc>
        <w:tc>
          <w:tcPr>
            <w:tcW w:w="1369" w:type="dxa"/>
            <w:tcBorders>
              <w:top w:val="single" w:sz="4" w:space="0" w:color="auto"/>
              <w:bottom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b/>
                <w:color w:val="000000"/>
                <w:sz w:val="21"/>
                <w:szCs w:val="21"/>
                <w:lang w:val="en-GB" w:eastAsia="en-GB"/>
              </w:rPr>
            </w:pPr>
            <w:r w:rsidRPr="008348D7">
              <w:rPr>
                <w:rFonts w:eastAsia="Times New Roman"/>
                <w:b/>
                <w:color w:val="000000"/>
                <w:sz w:val="21"/>
                <w:szCs w:val="21"/>
                <w:lang w:val="en-GB" w:eastAsia="en-GB"/>
              </w:rPr>
              <w:t>75th percentile</w:t>
            </w:r>
          </w:p>
        </w:tc>
      </w:tr>
      <w:tr w:rsidR="008348D7" w:rsidRPr="008348D7" w:rsidTr="00FB1519">
        <w:trPr>
          <w:trHeight w:val="315"/>
          <w:jc w:val="center"/>
        </w:trPr>
        <w:tc>
          <w:tcPr>
            <w:tcW w:w="2845" w:type="dxa"/>
            <w:tcBorders>
              <w:top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proximal humerus</w:t>
            </w:r>
          </w:p>
        </w:tc>
        <w:tc>
          <w:tcPr>
            <w:tcW w:w="913" w:type="dxa"/>
            <w:tcBorders>
              <w:top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tcBorders>
              <w:top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tcBorders>
              <w:top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927" w:type="dxa"/>
            <w:tcBorders>
              <w:top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64.9</w:t>
            </w:r>
          </w:p>
        </w:tc>
        <w:tc>
          <w:tcPr>
            <w:tcW w:w="1145" w:type="dxa"/>
            <w:tcBorders>
              <w:top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64.3</w:t>
            </w:r>
          </w:p>
        </w:tc>
        <w:tc>
          <w:tcPr>
            <w:tcW w:w="1369" w:type="dxa"/>
            <w:tcBorders>
              <w:top w:val="single" w:sz="4" w:space="0" w:color="auto"/>
            </w:tcBorders>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distal humerus</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58</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44.5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64.075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humeral medial epicondyle</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58</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64.45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proximal radius</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distal radius</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63.75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64.9</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proximal ulna</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57.25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61.825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60.25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64.45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distal ulna</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64.075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64.75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63.4</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65.125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distal phalanges (hand)</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56.5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65.05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base of metacarpal 1</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58</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62.75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proximal and middle phalanges (hand)</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57.5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64.15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64.825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metacarpals heads 2-5</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64.15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64.825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femoral head</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63.25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greater trochanter</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59</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lesser trochanter</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58</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64.525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distal femur</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63.65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65.05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proximal tibia</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63.65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65.05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distal tibia</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63.65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65.05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proximal fibula</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63.25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63.65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65.05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distal fibula</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59.25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63.65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65.05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calcaneus</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talus</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58.5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distal phalanges (foot)</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58</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middle phalanges (foot)</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59</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64.825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metatarsal heads 2-5</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64.9</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base of metatarsal 1</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59</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proximal phalanges (foot)</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59</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64.15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64.825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triradiate</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46.75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64.45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anterior inferior iliac spine</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64.45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63.75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64.975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iliac crest</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65.05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64.3</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ischial epiphysis</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62.5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63.75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65.05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medial clavicle</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63.25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64.825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65.2</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65.2</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65.2</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lateral clavicle</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50</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59</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coracoid</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59</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64.45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sub-coracoid and glenoid</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59</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37.5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61.25</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64.525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acromium</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60</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64.45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64.975</w:t>
            </w:r>
          </w:p>
        </w:tc>
      </w:tr>
      <w:tr w:rsidR="008348D7" w:rsidRPr="008348D7" w:rsidTr="00FB1519">
        <w:trPr>
          <w:trHeight w:val="315"/>
          <w:jc w:val="center"/>
        </w:trPr>
        <w:tc>
          <w:tcPr>
            <w:tcW w:w="28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medial border of scapula</w:t>
            </w:r>
          </w:p>
        </w:tc>
        <w:tc>
          <w:tcPr>
            <w:tcW w:w="913"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63.325</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65.125</w:t>
            </w:r>
          </w:p>
        </w:tc>
        <w:tc>
          <w:tcPr>
            <w:tcW w:w="927"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145"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c>
          <w:tcPr>
            <w:tcW w:w="1369" w:type="dxa"/>
            <w:shd w:val="clear" w:color="auto" w:fill="auto"/>
            <w:noWrap/>
            <w:vAlign w:val="center"/>
            <w:hideMark/>
          </w:tcPr>
          <w:p w:rsidR="008348D7" w:rsidRPr="008348D7" w:rsidRDefault="008348D7" w:rsidP="008348D7">
            <w:pPr>
              <w:spacing w:before="0" w:line="240" w:lineRule="auto"/>
              <w:jc w:val="center"/>
              <w:rPr>
                <w:rFonts w:eastAsia="Times New Roman"/>
                <w:color w:val="000000"/>
                <w:sz w:val="21"/>
                <w:szCs w:val="21"/>
                <w:lang w:val="en-GB" w:eastAsia="en-GB"/>
              </w:rPr>
            </w:pPr>
            <w:r w:rsidRPr="008348D7">
              <w:rPr>
                <w:rFonts w:eastAsia="Times New Roman"/>
                <w:color w:val="000000"/>
                <w:sz w:val="21"/>
                <w:szCs w:val="21"/>
                <w:lang w:val="en-GB" w:eastAsia="en-GB"/>
              </w:rPr>
              <w:t>64.6</w:t>
            </w:r>
          </w:p>
        </w:tc>
      </w:tr>
    </w:tbl>
    <w:p w:rsidR="00A451FE" w:rsidRPr="00EF5A9A" w:rsidRDefault="00A451FE" w:rsidP="00733544">
      <w:pPr>
        <w:pStyle w:val="Table"/>
      </w:pPr>
      <w:bookmarkStart w:id="3547" w:name="_Toc373177901"/>
      <w:bookmarkStart w:id="3548" w:name="_Toc373484440"/>
      <w:r w:rsidRPr="00A451FE">
        <w:rPr>
          <w:rFonts w:eastAsiaTheme="minorHAnsi"/>
          <w:b/>
          <w:noProof w:val="0"/>
          <w:lang w:eastAsia="en-US"/>
        </w:rPr>
        <w:lastRenderedPageBreak/>
        <w:t>Table 8.19</w:t>
      </w:r>
      <w:r>
        <w:rPr>
          <w:rFonts w:eastAsiaTheme="minorHAnsi"/>
          <w:noProof w:val="0"/>
          <w:lang w:eastAsia="en-US"/>
        </w:rPr>
        <w:t xml:space="preserve"> </w:t>
      </w:r>
      <w:r w:rsidRPr="00EF5A9A">
        <w:t>Mid-fusion and complete fusion median, 25</w:t>
      </w:r>
      <w:r w:rsidRPr="00EF5A9A">
        <w:rPr>
          <w:vertAlign w:val="superscript"/>
        </w:rPr>
        <w:t>th</w:t>
      </w:r>
      <w:r w:rsidRPr="00EF5A9A">
        <w:t xml:space="preserve"> and 75</w:t>
      </w:r>
      <w:r w:rsidRPr="00EF5A9A">
        <w:rPr>
          <w:vertAlign w:val="superscript"/>
        </w:rPr>
        <w:t>th</w:t>
      </w:r>
      <w:r>
        <w:t xml:space="preserve"> percentile dental score </w:t>
      </w:r>
      <w:r w:rsidRPr="00EF5A9A">
        <w:t xml:space="preserve">values for </w:t>
      </w:r>
      <w:r w:rsidRPr="00EF5A9A">
        <w:rPr>
          <w:i/>
        </w:rPr>
        <w:t xml:space="preserve">Pan paniscus </w:t>
      </w:r>
      <w:r w:rsidRPr="00EF5A9A">
        <w:t>females.</w:t>
      </w:r>
      <w:bookmarkEnd w:id="3547"/>
      <w:bookmarkEnd w:id="3548"/>
    </w:p>
    <w:tbl>
      <w:tblPr>
        <w:tblW w:w="9528" w:type="dxa"/>
        <w:jc w:val="center"/>
        <w:tblInd w:w="644" w:type="dxa"/>
        <w:tblBorders>
          <w:top w:val="single" w:sz="4" w:space="0" w:color="auto"/>
        </w:tblBorders>
        <w:tblLook w:val="04A0" w:firstRow="1" w:lastRow="0" w:firstColumn="1" w:lastColumn="0" w:noHBand="0" w:noVBand="1"/>
      </w:tblPr>
      <w:tblGrid>
        <w:gridCol w:w="2969"/>
        <w:gridCol w:w="933"/>
        <w:gridCol w:w="1145"/>
        <w:gridCol w:w="1145"/>
        <w:gridCol w:w="913"/>
        <w:gridCol w:w="1148"/>
        <w:gridCol w:w="1275"/>
      </w:tblGrid>
      <w:tr w:rsidR="00A451FE" w:rsidRPr="00A451FE" w:rsidTr="00FB1519">
        <w:trPr>
          <w:trHeight w:val="315"/>
          <w:jc w:val="center"/>
        </w:trPr>
        <w:tc>
          <w:tcPr>
            <w:tcW w:w="2969" w:type="dxa"/>
            <w:vMerge w:val="restart"/>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epiphysis</w:t>
            </w:r>
          </w:p>
        </w:tc>
        <w:tc>
          <w:tcPr>
            <w:tcW w:w="3223" w:type="dxa"/>
            <w:gridSpan w:val="3"/>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mid-fusion</w:t>
            </w:r>
          </w:p>
        </w:tc>
        <w:tc>
          <w:tcPr>
            <w:tcW w:w="3336" w:type="dxa"/>
            <w:gridSpan w:val="3"/>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complete fusion</w:t>
            </w:r>
          </w:p>
        </w:tc>
      </w:tr>
      <w:tr w:rsidR="00A451FE" w:rsidRPr="00A451FE" w:rsidTr="00FB1519">
        <w:trPr>
          <w:trHeight w:val="315"/>
          <w:jc w:val="center"/>
        </w:trPr>
        <w:tc>
          <w:tcPr>
            <w:tcW w:w="2969" w:type="dxa"/>
            <w:vMerge/>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p>
        </w:tc>
        <w:tc>
          <w:tcPr>
            <w:tcW w:w="933"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median</w:t>
            </w:r>
          </w:p>
        </w:tc>
        <w:tc>
          <w:tcPr>
            <w:tcW w:w="1145"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25th percentile</w:t>
            </w:r>
          </w:p>
        </w:tc>
        <w:tc>
          <w:tcPr>
            <w:tcW w:w="1145"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75th percentile</w:t>
            </w:r>
          </w:p>
        </w:tc>
        <w:tc>
          <w:tcPr>
            <w:tcW w:w="913"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median</w:t>
            </w:r>
          </w:p>
        </w:tc>
        <w:tc>
          <w:tcPr>
            <w:tcW w:w="1148"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25th percentile</w:t>
            </w:r>
          </w:p>
        </w:tc>
        <w:tc>
          <w:tcPr>
            <w:tcW w:w="1275"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75th percentile</w:t>
            </w:r>
          </w:p>
        </w:tc>
      </w:tr>
      <w:tr w:rsidR="00A451FE" w:rsidRPr="00A451FE" w:rsidTr="00FB1519">
        <w:trPr>
          <w:trHeight w:val="315"/>
          <w:jc w:val="center"/>
        </w:trPr>
        <w:tc>
          <w:tcPr>
            <w:tcW w:w="2969"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humerus</w:t>
            </w:r>
          </w:p>
        </w:tc>
        <w:tc>
          <w:tcPr>
            <w:tcW w:w="933"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8"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humerus</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humeral medial epicondyle</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radius</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radius</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ulna</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56.5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ulna</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phalanges (hand)</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base of metacarpal 1</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and middle phalanges (hand)</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metacarpals heads 2-5</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femoral head</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greater trochanter</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lesser trochanter</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femur</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tibia</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tibia</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fibula</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fibula</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calcaneus</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talus</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phalanges (foot)</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middle phalanges (foot)</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metatarsal heads 2-5</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base of metatarsal 1</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phalanges (foot)</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triradiate</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56.5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anterior inferior iliac spine</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56.5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iliac crest</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56.5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51</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ischial epiphysis</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53.75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medial clavicle</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lateral clavicle</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coracoid</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51</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sub-coracoid and glenoid</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51</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969"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acromium</w:t>
            </w:r>
          </w:p>
        </w:tc>
        <w:tc>
          <w:tcPr>
            <w:tcW w:w="93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913"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63.3</w:t>
            </w:r>
          </w:p>
        </w:tc>
        <w:tc>
          <w:tcPr>
            <w:tcW w:w="114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969" w:type="dxa"/>
            <w:tcBorders>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medial border of scapula</w:t>
            </w:r>
          </w:p>
        </w:tc>
        <w:tc>
          <w:tcPr>
            <w:tcW w:w="933" w:type="dxa"/>
            <w:tcBorders>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tcBorders>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tcBorders>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913" w:type="dxa"/>
            <w:tcBorders>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8" w:type="dxa"/>
            <w:tcBorders>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275" w:type="dxa"/>
            <w:tcBorders>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r>
    </w:tbl>
    <w:p w:rsidR="00A451FE" w:rsidRPr="00EF5A9A" w:rsidRDefault="00A451FE" w:rsidP="00733544">
      <w:pPr>
        <w:pStyle w:val="Table"/>
      </w:pPr>
      <w:bookmarkStart w:id="3549" w:name="_Toc373177902"/>
      <w:bookmarkStart w:id="3550" w:name="_Toc373484441"/>
      <w:r w:rsidRPr="00A451FE">
        <w:rPr>
          <w:b/>
        </w:rPr>
        <w:lastRenderedPageBreak/>
        <w:t>Table 8.20</w:t>
      </w:r>
      <w:r>
        <w:t xml:space="preserve"> </w:t>
      </w:r>
      <w:r w:rsidRPr="00EF5A9A">
        <w:t>Mid-fusion and complete fusion median, 25</w:t>
      </w:r>
      <w:r w:rsidRPr="00EF5A9A">
        <w:rPr>
          <w:vertAlign w:val="superscript"/>
        </w:rPr>
        <w:t>th</w:t>
      </w:r>
      <w:r w:rsidRPr="00EF5A9A">
        <w:t xml:space="preserve"> and 75</w:t>
      </w:r>
      <w:r w:rsidRPr="00EF5A9A">
        <w:rPr>
          <w:vertAlign w:val="superscript"/>
        </w:rPr>
        <w:t>th</w:t>
      </w:r>
      <w:r>
        <w:t xml:space="preserve"> percentile dental score</w:t>
      </w:r>
      <w:r w:rsidRPr="00EF5A9A">
        <w:t xml:space="preserve"> values for </w:t>
      </w:r>
      <w:r w:rsidRPr="00EF5A9A">
        <w:rPr>
          <w:i/>
        </w:rPr>
        <w:t xml:space="preserve">Pan paniscus </w:t>
      </w:r>
      <w:r w:rsidRPr="00EF5A9A">
        <w:t>males.</w:t>
      </w:r>
      <w:bookmarkEnd w:id="3549"/>
      <w:bookmarkEnd w:id="3550"/>
    </w:p>
    <w:tbl>
      <w:tblPr>
        <w:tblW w:w="9659" w:type="dxa"/>
        <w:jc w:val="center"/>
        <w:tblInd w:w="392" w:type="dxa"/>
        <w:tblBorders>
          <w:top w:val="single" w:sz="4" w:space="0" w:color="auto"/>
          <w:bottom w:val="single" w:sz="4" w:space="0" w:color="auto"/>
        </w:tblBorders>
        <w:tblLook w:val="04A0" w:firstRow="1" w:lastRow="0" w:firstColumn="1" w:lastColumn="0" w:noHBand="0" w:noVBand="1"/>
      </w:tblPr>
      <w:tblGrid>
        <w:gridCol w:w="2857"/>
        <w:gridCol w:w="1134"/>
        <w:gridCol w:w="1145"/>
        <w:gridCol w:w="1145"/>
        <w:gridCol w:w="1088"/>
        <w:gridCol w:w="1145"/>
        <w:gridCol w:w="1145"/>
      </w:tblGrid>
      <w:tr w:rsidR="00A451FE" w:rsidRPr="00A451FE" w:rsidTr="00FB1519">
        <w:trPr>
          <w:trHeight w:val="315"/>
          <w:jc w:val="center"/>
        </w:trPr>
        <w:tc>
          <w:tcPr>
            <w:tcW w:w="2857" w:type="dxa"/>
            <w:vMerge w:val="restart"/>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epiphysis</w:t>
            </w:r>
          </w:p>
        </w:tc>
        <w:tc>
          <w:tcPr>
            <w:tcW w:w="3424" w:type="dxa"/>
            <w:gridSpan w:val="3"/>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mid-fusion</w:t>
            </w:r>
          </w:p>
        </w:tc>
        <w:tc>
          <w:tcPr>
            <w:tcW w:w="3378" w:type="dxa"/>
            <w:gridSpan w:val="3"/>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complete fusion</w:t>
            </w:r>
          </w:p>
        </w:tc>
      </w:tr>
      <w:tr w:rsidR="00A451FE" w:rsidRPr="00A451FE" w:rsidTr="00FB1519">
        <w:trPr>
          <w:trHeight w:val="315"/>
          <w:jc w:val="center"/>
        </w:trPr>
        <w:tc>
          <w:tcPr>
            <w:tcW w:w="2857" w:type="dxa"/>
            <w:vMerge/>
            <w:tcBorders>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p>
        </w:tc>
        <w:tc>
          <w:tcPr>
            <w:tcW w:w="1134"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median</w:t>
            </w:r>
          </w:p>
        </w:tc>
        <w:tc>
          <w:tcPr>
            <w:tcW w:w="1145"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25th percentile</w:t>
            </w:r>
          </w:p>
        </w:tc>
        <w:tc>
          <w:tcPr>
            <w:tcW w:w="1145"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75th percentile</w:t>
            </w:r>
          </w:p>
        </w:tc>
        <w:tc>
          <w:tcPr>
            <w:tcW w:w="1088"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median</w:t>
            </w:r>
          </w:p>
        </w:tc>
        <w:tc>
          <w:tcPr>
            <w:tcW w:w="1145"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25th percentile</w:t>
            </w:r>
          </w:p>
        </w:tc>
        <w:tc>
          <w:tcPr>
            <w:tcW w:w="1145" w:type="dxa"/>
            <w:tcBorders>
              <w:top w:val="single" w:sz="4" w:space="0" w:color="auto"/>
              <w:bottom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b/>
                <w:color w:val="000000"/>
                <w:sz w:val="21"/>
                <w:szCs w:val="21"/>
                <w:lang w:eastAsia="en-GB"/>
              </w:rPr>
            </w:pPr>
            <w:r w:rsidRPr="00A451FE">
              <w:rPr>
                <w:rFonts w:eastAsia="Times New Roman"/>
                <w:b/>
                <w:color w:val="000000"/>
                <w:sz w:val="21"/>
                <w:szCs w:val="21"/>
                <w:lang w:eastAsia="en-GB"/>
              </w:rPr>
              <w:t>75th percentile</w:t>
            </w:r>
          </w:p>
        </w:tc>
      </w:tr>
      <w:tr w:rsidR="00A451FE" w:rsidRPr="00A451FE" w:rsidTr="00FB1519">
        <w:trPr>
          <w:trHeight w:val="315"/>
          <w:jc w:val="center"/>
        </w:trPr>
        <w:tc>
          <w:tcPr>
            <w:tcW w:w="2857"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humerus</w:t>
            </w:r>
          </w:p>
        </w:tc>
        <w:tc>
          <w:tcPr>
            <w:tcW w:w="1134"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w:t>
            </w:r>
          </w:p>
        </w:tc>
        <w:tc>
          <w:tcPr>
            <w:tcW w:w="1145"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w:t>
            </w:r>
          </w:p>
        </w:tc>
        <w:tc>
          <w:tcPr>
            <w:tcW w:w="1145"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5" w:type="dxa"/>
            <w:tcBorders>
              <w:top w:val="single" w:sz="4" w:space="0" w:color="auto"/>
            </w:tcBorders>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humerus</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64.075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humeral medial epicondyle</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59</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50.5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62.3</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64.45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radius</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56.5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60.5</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radius</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ulna</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47</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60.25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64.45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ulna</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65.125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phalanges (hand)</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base of metacarpal 1</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50.5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and middle phalanges (hand)</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64.15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64.825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metacarpals heads 2-5</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48.75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60.75</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64.15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64.825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femoral head</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59.75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64.15</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greater trochanter</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lesser trochanter</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59.5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59</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64.525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femur</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63.65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tibia</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63.65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tibia</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63.65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fibula</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63.65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fibula</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63.65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calcaneus</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53.5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talus</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58.5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distal phalanges (foot)</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62.5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middle phalanges (foot)</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64.825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metatarsal heads 2-5</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base of metatarsal 1</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48.75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60.75</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proximal phalanges (foot)</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57</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48.75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60.75</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64.15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64.825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triradiate</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56.5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48.75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59.75</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64.45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anterior inferior iliac spine</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64.45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63.75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iliac crest</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64.3</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ischial epiphysis</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60.25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63.7</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65.05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medial clavicle</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65.2</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65.2</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65.2</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lateral clavicle</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59</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coracoid</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60.5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64.45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sub-coracoid and glenoid</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59</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54</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61.25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64.525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acromium</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64.45</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63</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64.975</w:t>
            </w:r>
          </w:p>
        </w:tc>
      </w:tr>
      <w:tr w:rsidR="00A451FE" w:rsidRPr="00A451FE" w:rsidTr="00FB1519">
        <w:trPr>
          <w:trHeight w:val="315"/>
          <w:jc w:val="center"/>
        </w:trPr>
        <w:tc>
          <w:tcPr>
            <w:tcW w:w="2857"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medial border of scapula</w:t>
            </w:r>
          </w:p>
        </w:tc>
        <w:tc>
          <w:tcPr>
            <w:tcW w:w="1134"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088"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c>
          <w:tcPr>
            <w:tcW w:w="1145" w:type="dxa"/>
            <w:shd w:val="clear" w:color="auto" w:fill="auto"/>
            <w:noWrap/>
            <w:vAlign w:val="center"/>
            <w:hideMark/>
          </w:tcPr>
          <w:p w:rsidR="00A451FE" w:rsidRPr="00A451FE" w:rsidRDefault="00A451FE" w:rsidP="00A451FE">
            <w:pPr>
              <w:spacing w:before="0" w:line="240" w:lineRule="auto"/>
              <w:jc w:val="center"/>
              <w:rPr>
                <w:rFonts w:eastAsia="Times New Roman"/>
                <w:color w:val="000000"/>
                <w:sz w:val="21"/>
                <w:szCs w:val="21"/>
                <w:lang w:eastAsia="en-GB"/>
              </w:rPr>
            </w:pPr>
            <w:r w:rsidRPr="00A451FE">
              <w:rPr>
                <w:rFonts w:eastAsia="Times New Roman"/>
                <w:color w:val="000000"/>
                <w:sz w:val="21"/>
                <w:szCs w:val="21"/>
                <w:lang w:eastAsia="en-GB"/>
              </w:rPr>
              <w:t>64.6</w:t>
            </w:r>
          </w:p>
        </w:tc>
      </w:tr>
    </w:tbl>
    <w:p w:rsidR="00CA7668" w:rsidRDefault="00FB1519" w:rsidP="00CA7668">
      <w:pPr>
        <w:spacing w:before="0"/>
        <w:rPr>
          <w:b/>
          <w:i/>
        </w:rPr>
      </w:pPr>
      <w:r w:rsidRPr="00FB1519">
        <w:rPr>
          <w:b/>
          <w:i/>
        </w:rPr>
        <w:lastRenderedPageBreak/>
        <w:t>8.5</w:t>
      </w:r>
      <w:r w:rsidRPr="00FB1519">
        <w:rPr>
          <w:b/>
          <w:i/>
        </w:rPr>
        <w:tab/>
      </w:r>
      <w:bookmarkStart w:id="3551" w:name="_Toc373178859"/>
      <w:bookmarkStart w:id="3552" w:name="_Toc373484012"/>
      <w:r w:rsidRPr="00FB1519">
        <w:rPr>
          <w:b/>
          <w:i/>
        </w:rPr>
        <w:t>Seriating epiphyseal fusion by mean epiphyseal fusion</w:t>
      </w:r>
      <w:bookmarkEnd w:id="3551"/>
      <w:bookmarkEnd w:id="3552"/>
    </w:p>
    <w:p w:rsidR="00FB1519" w:rsidRPr="00CA7668" w:rsidRDefault="00FB1519" w:rsidP="00CA7668">
      <w:pPr>
        <w:spacing w:before="0" w:line="240" w:lineRule="auto"/>
        <w:rPr>
          <w:b/>
          <w:i/>
        </w:rPr>
      </w:pPr>
      <w:r w:rsidRPr="00AE0044">
        <w:t>These t</w:t>
      </w:r>
      <w:r>
        <w:t>ables represent normality tests for ranges of mean epiphyseal fusion values discussed in Chapter 4 (section 4.2.2b).  This is in support of the one-way ANOVA and subsequent post-hoc Bonferroni where normality of the distribution of dental scores was assumed.  The use of dental score as a continuous variable is justified in section 4.2.2b.  Post-hoc Bonferroni test results are available in the digital appendix section 8.2.2.1.</w:t>
      </w:r>
    </w:p>
    <w:p w:rsidR="001F5DA5" w:rsidRPr="00836E66" w:rsidRDefault="001F5DA5" w:rsidP="00CA7668">
      <w:pPr>
        <w:pStyle w:val="Table"/>
        <w:spacing w:line="240" w:lineRule="auto"/>
      </w:pPr>
      <w:bookmarkStart w:id="3553" w:name="_Toc373484442"/>
      <w:r w:rsidRPr="001F5DA5">
        <w:rPr>
          <w:b/>
        </w:rPr>
        <w:t>Table 8.21</w:t>
      </w:r>
      <w:r>
        <w:t xml:space="preserve"> Mean epiphyseal fusion n</w:t>
      </w:r>
      <w:r w:rsidRPr="00AE44FC">
        <w:t>ormality test</w:t>
      </w:r>
      <w:r>
        <w:t>s</w:t>
      </w:r>
      <w:r w:rsidRPr="00AE44FC">
        <w:t xml:space="preserve"> for mid-fusion </w:t>
      </w:r>
      <w:r w:rsidRPr="00C97BD1">
        <w:rPr>
          <w:i/>
        </w:rPr>
        <w:t>Pan troglodytes</w:t>
      </w:r>
      <w:r>
        <w:t xml:space="preserve"> females.</w:t>
      </w:r>
      <w:bookmarkEnd w:id="3553"/>
    </w:p>
    <w:tbl>
      <w:tblPr>
        <w:tblW w:w="9280" w:type="dxa"/>
        <w:jc w:val="center"/>
        <w:tblLook w:val="04A0" w:firstRow="1" w:lastRow="0" w:firstColumn="1" w:lastColumn="0" w:noHBand="0" w:noVBand="1"/>
      </w:tblPr>
      <w:tblGrid>
        <w:gridCol w:w="3492"/>
        <w:gridCol w:w="974"/>
        <w:gridCol w:w="960"/>
        <w:gridCol w:w="960"/>
        <w:gridCol w:w="974"/>
        <w:gridCol w:w="960"/>
        <w:gridCol w:w="960"/>
      </w:tblGrid>
      <w:tr w:rsidR="001F5DA5" w:rsidRPr="001F5DA5" w:rsidTr="00CA7668">
        <w:trPr>
          <w:trHeight w:val="278"/>
          <w:jc w:val="center"/>
        </w:trPr>
        <w:tc>
          <w:tcPr>
            <w:tcW w:w="3492" w:type="dxa"/>
            <w:vMerge w:val="restart"/>
            <w:tcBorders>
              <w:top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epiphysis</w:t>
            </w:r>
          </w:p>
        </w:tc>
        <w:tc>
          <w:tcPr>
            <w:tcW w:w="2894" w:type="dxa"/>
            <w:gridSpan w:val="3"/>
            <w:tcBorders>
              <w:top w:val="single" w:sz="4" w:space="0" w:color="auto"/>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Kolmogorov-Smirnov</w:t>
            </w:r>
            <w:r w:rsidRPr="001F5DA5">
              <w:rPr>
                <w:rFonts w:eastAsia="Times New Roman"/>
                <w:b/>
                <w:color w:val="000000"/>
                <w:sz w:val="21"/>
                <w:szCs w:val="21"/>
                <w:vertAlign w:val="superscript"/>
                <w:lang w:eastAsia="en-GB"/>
              </w:rPr>
              <w:t>1.</w:t>
            </w:r>
          </w:p>
        </w:tc>
        <w:tc>
          <w:tcPr>
            <w:tcW w:w="2894" w:type="dxa"/>
            <w:gridSpan w:val="3"/>
            <w:tcBorders>
              <w:top w:val="single" w:sz="4" w:space="0" w:color="auto"/>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Shapiro-Wilk</w:t>
            </w:r>
          </w:p>
        </w:tc>
      </w:tr>
      <w:tr w:rsidR="001F5DA5" w:rsidRPr="001F5DA5" w:rsidTr="00CA7668">
        <w:trPr>
          <w:trHeight w:val="278"/>
          <w:jc w:val="center"/>
        </w:trPr>
        <w:tc>
          <w:tcPr>
            <w:tcW w:w="3492" w:type="dxa"/>
            <w:vMerge/>
            <w:tcBorders>
              <w:bottom w:val="single" w:sz="4" w:space="0" w:color="auto"/>
            </w:tcBorders>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p>
        </w:tc>
        <w:tc>
          <w:tcPr>
            <w:tcW w:w="974" w:type="dxa"/>
            <w:tcBorders>
              <w:top w:val="single" w:sz="4" w:space="0" w:color="auto"/>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statistic</w:t>
            </w:r>
          </w:p>
        </w:tc>
        <w:tc>
          <w:tcPr>
            <w:tcW w:w="960" w:type="dxa"/>
            <w:tcBorders>
              <w:top w:val="single" w:sz="4" w:space="0" w:color="auto"/>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df</w:t>
            </w:r>
          </w:p>
        </w:tc>
        <w:tc>
          <w:tcPr>
            <w:tcW w:w="960" w:type="dxa"/>
            <w:tcBorders>
              <w:top w:val="single" w:sz="4" w:space="0" w:color="auto"/>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sig.</w:t>
            </w:r>
          </w:p>
        </w:tc>
        <w:tc>
          <w:tcPr>
            <w:tcW w:w="974" w:type="dxa"/>
            <w:tcBorders>
              <w:top w:val="single" w:sz="4" w:space="0" w:color="auto"/>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statistic</w:t>
            </w:r>
          </w:p>
        </w:tc>
        <w:tc>
          <w:tcPr>
            <w:tcW w:w="960" w:type="dxa"/>
            <w:tcBorders>
              <w:top w:val="single" w:sz="4" w:space="0" w:color="auto"/>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df</w:t>
            </w:r>
          </w:p>
        </w:tc>
        <w:tc>
          <w:tcPr>
            <w:tcW w:w="960" w:type="dxa"/>
            <w:tcBorders>
              <w:top w:val="single" w:sz="4" w:space="0" w:color="auto"/>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b/>
                <w:color w:val="000000"/>
                <w:sz w:val="21"/>
                <w:szCs w:val="21"/>
                <w:lang w:eastAsia="en-GB"/>
              </w:rPr>
            </w:pPr>
            <w:r w:rsidRPr="001F5DA5">
              <w:rPr>
                <w:rFonts w:eastAsia="Times New Roman"/>
                <w:b/>
                <w:color w:val="000000"/>
                <w:sz w:val="21"/>
                <w:szCs w:val="21"/>
                <w:lang w:eastAsia="en-GB"/>
              </w:rPr>
              <w:t>sig.</w:t>
            </w:r>
          </w:p>
        </w:tc>
      </w:tr>
      <w:tr w:rsidR="001F5DA5" w:rsidRPr="001F5DA5" w:rsidTr="00CA7668">
        <w:trPr>
          <w:trHeight w:val="278"/>
          <w:jc w:val="center"/>
        </w:trPr>
        <w:tc>
          <w:tcPr>
            <w:tcW w:w="3492" w:type="dxa"/>
            <w:tcBorders>
              <w:top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proximal humerus</w:t>
            </w:r>
          </w:p>
        </w:tc>
        <w:tc>
          <w:tcPr>
            <w:tcW w:w="974" w:type="dxa"/>
            <w:tcBorders>
              <w:top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.324</w:t>
            </w:r>
          </w:p>
        </w:tc>
        <w:tc>
          <w:tcPr>
            <w:tcW w:w="960" w:type="dxa"/>
            <w:tcBorders>
              <w:top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tcBorders>
              <w:top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.013</w:t>
            </w:r>
          </w:p>
        </w:tc>
        <w:tc>
          <w:tcPr>
            <w:tcW w:w="974" w:type="dxa"/>
            <w:tcBorders>
              <w:top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.755</w:t>
            </w:r>
          </w:p>
        </w:tc>
        <w:tc>
          <w:tcPr>
            <w:tcW w:w="960" w:type="dxa"/>
            <w:tcBorders>
              <w:top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tcBorders>
              <w:top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.009</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distal humerus</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.384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.001</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.708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.003</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humeral medial epicondyle</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.217</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.897</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.269</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proximal radius</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.226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.936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.575</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distal radius</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.175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1.000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1.000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proximal ulna</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.179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.999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.950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distal ulna</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.175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1.000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1.000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distal phalanges (hand)</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.179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.999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.950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base of metacarpal 1 (hand)</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.266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.824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.126</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proximal and middle phalanges (hand)</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.309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.135</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.872</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.276</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heads of metacarpals 2-5 (hand)</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.247</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.961</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.812</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femoral head</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.400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.009</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.777</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.052</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greater trochanter</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.943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.684</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lesser trochanter</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.131</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.808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.094</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distal femur</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.282</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.922</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.541</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proximal tibia</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.153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.960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.790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distal tibial</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.162</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.931</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.453</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proximal fibula</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.190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.946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.620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distal fibula</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.188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.932</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.471</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triradiate</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.188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.898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.239</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anterior inferior iliac spine</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iliac crest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.175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1.000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1.000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ischial epiphysis</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.272</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.947</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.554</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calcaneus</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.994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.850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talus</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.372</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.781</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.071</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distal phalanges (foot)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.179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.999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.950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middle phalanges (foot)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.219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.980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.903</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metatarsal heads 2-5 (foot)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.219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.980</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.903</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proximal phalanges (foot)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.316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.779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.070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base of metatarsal 1 fusion (foot)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.207</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.966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.816</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medial clavicle</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.376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.776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.065</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lateral clavicle</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.276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.887</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.370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coracoid</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.249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.153</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.842</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.080</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sub-coracoid and glenoid</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.145</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.928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.498</w:t>
            </w:r>
          </w:p>
        </w:tc>
      </w:tr>
      <w:tr w:rsidR="001F5DA5" w:rsidRPr="001F5DA5" w:rsidTr="00CA7668">
        <w:trPr>
          <w:trHeight w:val="278"/>
          <w:jc w:val="center"/>
        </w:trPr>
        <w:tc>
          <w:tcPr>
            <w:tcW w:w="3492" w:type="dxa"/>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acromium</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.249</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.153</w:t>
            </w:r>
          </w:p>
        </w:tc>
        <w:tc>
          <w:tcPr>
            <w:tcW w:w="974"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.876</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.171</w:t>
            </w:r>
          </w:p>
        </w:tc>
      </w:tr>
      <w:tr w:rsidR="001F5DA5" w:rsidRPr="001F5DA5" w:rsidTr="00CA7668">
        <w:trPr>
          <w:trHeight w:val="278"/>
          <w:jc w:val="center"/>
        </w:trPr>
        <w:tc>
          <w:tcPr>
            <w:tcW w:w="3492" w:type="dxa"/>
            <w:tcBorders>
              <w:bottom w:val="single" w:sz="4" w:space="0" w:color="auto"/>
            </w:tcBorders>
            <w:shd w:val="clear" w:color="auto" w:fill="auto"/>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medial border</w:t>
            </w:r>
          </w:p>
        </w:tc>
        <w:tc>
          <w:tcPr>
            <w:tcW w:w="974" w:type="dxa"/>
            <w:tcBorders>
              <w:bottom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p>
        </w:tc>
        <w:tc>
          <w:tcPr>
            <w:tcW w:w="960" w:type="dxa"/>
            <w:tcBorders>
              <w:bottom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tcBorders>
              <w:bottom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.200</w:t>
            </w:r>
            <w:r w:rsidRPr="001F5DA5">
              <w:rPr>
                <w:rFonts w:eastAsia="Times New Roman"/>
                <w:color w:val="000000"/>
                <w:sz w:val="21"/>
                <w:szCs w:val="21"/>
                <w:vertAlign w:val="superscript"/>
                <w:lang w:eastAsia="en-GB"/>
              </w:rPr>
              <w:t>*</w:t>
            </w:r>
          </w:p>
        </w:tc>
        <w:tc>
          <w:tcPr>
            <w:tcW w:w="974" w:type="dxa"/>
            <w:tcBorders>
              <w:bottom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.909</w:t>
            </w:r>
          </w:p>
        </w:tc>
        <w:tc>
          <w:tcPr>
            <w:tcW w:w="960" w:type="dxa"/>
            <w:tcBorders>
              <w:bottom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8</w:t>
            </w:r>
          </w:p>
        </w:tc>
        <w:tc>
          <w:tcPr>
            <w:tcW w:w="960" w:type="dxa"/>
            <w:tcBorders>
              <w:bottom w:val="single" w:sz="4" w:space="0" w:color="auto"/>
            </w:tcBorders>
            <w:shd w:val="clear" w:color="auto" w:fill="auto"/>
            <w:noWrap/>
            <w:vAlign w:val="center"/>
            <w:hideMark/>
          </w:tcPr>
          <w:p w:rsidR="001F5DA5" w:rsidRPr="001F5DA5" w:rsidRDefault="001F5DA5" w:rsidP="001F5DA5">
            <w:pPr>
              <w:spacing w:before="0" w:line="240" w:lineRule="auto"/>
              <w:jc w:val="center"/>
              <w:rPr>
                <w:rFonts w:eastAsia="Times New Roman"/>
                <w:color w:val="000000"/>
                <w:sz w:val="21"/>
                <w:szCs w:val="21"/>
                <w:lang w:eastAsia="en-GB"/>
              </w:rPr>
            </w:pPr>
            <w:r w:rsidRPr="001F5DA5">
              <w:rPr>
                <w:rFonts w:eastAsia="Times New Roman"/>
                <w:color w:val="000000"/>
                <w:sz w:val="21"/>
                <w:szCs w:val="21"/>
                <w:lang w:eastAsia="en-GB"/>
              </w:rPr>
              <w:t>.346</w:t>
            </w:r>
          </w:p>
        </w:tc>
      </w:tr>
    </w:tbl>
    <w:p w:rsidR="001F5DA5" w:rsidRPr="001F5DA5" w:rsidRDefault="001F5DA5" w:rsidP="001F5DA5">
      <w:pPr>
        <w:autoSpaceDE w:val="0"/>
        <w:autoSpaceDN w:val="0"/>
        <w:adjustRightInd w:val="0"/>
        <w:spacing w:before="0" w:line="240" w:lineRule="auto"/>
        <w:ind w:hanging="426"/>
        <w:rPr>
          <w:rFonts w:eastAsia="Times New Roman"/>
          <w:color w:val="000000"/>
          <w:sz w:val="21"/>
          <w:szCs w:val="21"/>
          <w:lang w:eastAsia="en-GB"/>
        </w:rPr>
      </w:pPr>
      <w:proofErr w:type="gramStart"/>
      <w:r w:rsidRPr="001F5DA5">
        <w:rPr>
          <w:rFonts w:eastAsia="Times New Roman"/>
          <w:color w:val="000000"/>
          <w:sz w:val="21"/>
          <w:szCs w:val="21"/>
          <w:lang w:eastAsia="en-GB"/>
        </w:rPr>
        <w:t>1. Lilliefors Significance Correction, *.</w:t>
      </w:r>
      <w:proofErr w:type="gramEnd"/>
      <w:r w:rsidRPr="001F5DA5">
        <w:rPr>
          <w:rFonts w:eastAsia="Times New Roman"/>
          <w:color w:val="000000"/>
          <w:sz w:val="21"/>
          <w:szCs w:val="21"/>
          <w:lang w:eastAsia="en-GB"/>
        </w:rPr>
        <w:t xml:space="preserve"> This is a lower bound of the true significance.</w:t>
      </w:r>
    </w:p>
    <w:p w:rsidR="009A04A6" w:rsidRPr="009A04A6" w:rsidRDefault="009A04A6" w:rsidP="009A04A6">
      <w:pPr>
        <w:numPr>
          <w:ilvl w:val="1"/>
          <w:numId w:val="0"/>
        </w:numPr>
        <w:tabs>
          <w:tab w:val="left" w:pos="660"/>
          <w:tab w:val="right" w:leader="dot" w:pos="8471"/>
        </w:tabs>
        <w:spacing w:before="120" w:after="100" w:line="276" w:lineRule="auto"/>
        <w:ind w:right="289" w:hanging="426"/>
        <w:jc w:val="left"/>
        <w:rPr>
          <w:rFonts w:eastAsiaTheme="minorHAnsi"/>
          <w:noProof/>
          <w:color w:val="000000"/>
          <w:lang w:val="en-GB" w:eastAsia="en-GB"/>
        </w:rPr>
      </w:pPr>
      <w:bookmarkStart w:id="3554" w:name="_Toc373177904"/>
      <w:bookmarkStart w:id="3555" w:name="_Toc373484443"/>
      <w:r w:rsidRPr="009A04A6">
        <w:rPr>
          <w:rFonts w:eastAsiaTheme="minorHAnsi"/>
          <w:b/>
          <w:noProof/>
          <w:color w:val="000000"/>
          <w:lang w:val="en-GB" w:eastAsia="en-GB"/>
        </w:rPr>
        <w:lastRenderedPageBreak/>
        <w:t>Table 8.22</w:t>
      </w:r>
      <w:r>
        <w:rPr>
          <w:rFonts w:eastAsiaTheme="minorHAnsi"/>
          <w:noProof/>
          <w:color w:val="000000"/>
          <w:lang w:val="en-GB" w:eastAsia="en-GB"/>
        </w:rPr>
        <w:t xml:space="preserve"> </w:t>
      </w:r>
      <w:r w:rsidRPr="009A04A6">
        <w:rPr>
          <w:rFonts w:eastAsiaTheme="minorHAnsi"/>
          <w:noProof/>
          <w:color w:val="000000"/>
          <w:lang w:val="en-GB" w:eastAsia="en-GB"/>
        </w:rPr>
        <w:t xml:space="preserve">Mean epiphyseal fusion normality tests for mid-fusion </w:t>
      </w:r>
      <w:r w:rsidRPr="009A04A6">
        <w:rPr>
          <w:rFonts w:eastAsiaTheme="minorHAnsi"/>
          <w:i/>
          <w:noProof/>
          <w:color w:val="000000"/>
          <w:lang w:val="en-GB" w:eastAsia="en-GB"/>
        </w:rPr>
        <w:t>Pan troglodytes</w:t>
      </w:r>
      <w:r w:rsidRPr="009A04A6">
        <w:rPr>
          <w:rFonts w:eastAsiaTheme="minorHAnsi"/>
          <w:noProof/>
          <w:color w:val="000000"/>
          <w:lang w:val="en-GB" w:eastAsia="en-GB"/>
        </w:rPr>
        <w:t xml:space="preserve"> males</w:t>
      </w:r>
      <w:bookmarkEnd w:id="3554"/>
      <w:bookmarkEnd w:id="3555"/>
    </w:p>
    <w:tbl>
      <w:tblPr>
        <w:tblW w:w="9631" w:type="dxa"/>
        <w:tblInd w:w="-318" w:type="dxa"/>
        <w:tblBorders>
          <w:top w:val="single" w:sz="4" w:space="0" w:color="auto"/>
          <w:bottom w:val="single" w:sz="4" w:space="0" w:color="auto"/>
        </w:tblBorders>
        <w:tblLook w:val="04A0" w:firstRow="1" w:lastRow="0" w:firstColumn="1" w:lastColumn="0" w:noHBand="0" w:noVBand="1"/>
      </w:tblPr>
      <w:tblGrid>
        <w:gridCol w:w="3843"/>
        <w:gridCol w:w="974"/>
        <w:gridCol w:w="960"/>
        <w:gridCol w:w="960"/>
        <w:gridCol w:w="974"/>
        <w:gridCol w:w="960"/>
        <w:gridCol w:w="960"/>
      </w:tblGrid>
      <w:tr w:rsidR="009A04A6" w:rsidRPr="009A04A6" w:rsidTr="00D4688C">
        <w:trPr>
          <w:trHeight w:val="300"/>
        </w:trPr>
        <w:tc>
          <w:tcPr>
            <w:tcW w:w="3843" w:type="dxa"/>
            <w:vMerge w:val="restart"/>
            <w:tcBorders>
              <w:top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epiphysis</w:t>
            </w:r>
          </w:p>
        </w:tc>
        <w:tc>
          <w:tcPr>
            <w:tcW w:w="2894" w:type="dxa"/>
            <w:gridSpan w:val="3"/>
            <w:tcBorders>
              <w:top w:val="single" w:sz="4" w:space="0" w:color="auto"/>
              <w:bottom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Kolmogorov-Smirnov</w:t>
            </w:r>
            <w:r w:rsidRPr="009A04A6">
              <w:rPr>
                <w:rFonts w:eastAsia="Times New Roman"/>
                <w:b/>
                <w:color w:val="000000"/>
                <w:vertAlign w:val="superscript"/>
                <w:lang w:val="en-GB" w:eastAsia="en-GB"/>
              </w:rPr>
              <w:t>1.</w:t>
            </w:r>
          </w:p>
        </w:tc>
        <w:tc>
          <w:tcPr>
            <w:tcW w:w="2894" w:type="dxa"/>
            <w:gridSpan w:val="3"/>
            <w:tcBorders>
              <w:top w:val="single" w:sz="4" w:space="0" w:color="auto"/>
              <w:bottom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Shapiro-Wilk</w:t>
            </w:r>
          </w:p>
        </w:tc>
      </w:tr>
      <w:tr w:rsidR="009A04A6" w:rsidRPr="009A04A6" w:rsidTr="00D4688C">
        <w:trPr>
          <w:trHeight w:val="300"/>
        </w:trPr>
        <w:tc>
          <w:tcPr>
            <w:tcW w:w="3843" w:type="dxa"/>
            <w:vMerge/>
            <w:tcBorders>
              <w:bottom w:val="single" w:sz="4" w:space="0" w:color="auto"/>
            </w:tcBorders>
            <w:vAlign w:val="center"/>
            <w:hideMark/>
          </w:tcPr>
          <w:p w:rsidR="009A04A6" w:rsidRPr="009A04A6" w:rsidRDefault="009A04A6" w:rsidP="009A04A6">
            <w:pPr>
              <w:spacing w:before="0" w:line="240" w:lineRule="auto"/>
              <w:jc w:val="center"/>
              <w:rPr>
                <w:rFonts w:eastAsia="Times New Roman"/>
                <w:b/>
                <w:color w:val="000000"/>
                <w:lang w:val="en-GB" w:eastAsia="en-GB"/>
              </w:rPr>
            </w:pPr>
          </w:p>
        </w:tc>
        <w:tc>
          <w:tcPr>
            <w:tcW w:w="974" w:type="dxa"/>
            <w:tcBorders>
              <w:top w:val="single" w:sz="4" w:space="0" w:color="auto"/>
              <w:bottom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statistic</w:t>
            </w:r>
          </w:p>
        </w:tc>
        <w:tc>
          <w:tcPr>
            <w:tcW w:w="960" w:type="dxa"/>
            <w:tcBorders>
              <w:top w:val="single" w:sz="4" w:space="0" w:color="auto"/>
              <w:bottom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df</w:t>
            </w:r>
          </w:p>
        </w:tc>
        <w:tc>
          <w:tcPr>
            <w:tcW w:w="960" w:type="dxa"/>
            <w:tcBorders>
              <w:top w:val="single" w:sz="4" w:space="0" w:color="auto"/>
              <w:bottom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sig.</w:t>
            </w:r>
          </w:p>
        </w:tc>
        <w:tc>
          <w:tcPr>
            <w:tcW w:w="974" w:type="dxa"/>
            <w:tcBorders>
              <w:top w:val="single" w:sz="4" w:space="0" w:color="auto"/>
              <w:bottom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statistic</w:t>
            </w:r>
          </w:p>
        </w:tc>
        <w:tc>
          <w:tcPr>
            <w:tcW w:w="960" w:type="dxa"/>
            <w:tcBorders>
              <w:top w:val="single" w:sz="4" w:space="0" w:color="auto"/>
              <w:bottom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df</w:t>
            </w:r>
          </w:p>
        </w:tc>
        <w:tc>
          <w:tcPr>
            <w:tcW w:w="960" w:type="dxa"/>
            <w:tcBorders>
              <w:top w:val="single" w:sz="4" w:space="0" w:color="auto"/>
              <w:bottom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b/>
                <w:color w:val="000000"/>
                <w:lang w:val="en-GB" w:eastAsia="en-GB"/>
              </w:rPr>
            </w:pPr>
            <w:r w:rsidRPr="009A04A6">
              <w:rPr>
                <w:rFonts w:eastAsia="Times New Roman"/>
                <w:b/>
                <w:color w:val="000000"/>
                <w:lang w:val="en-GB" w:eastAsia="en-GB"/>
              </w:rPr>
              <w:t>sig.</w:t>
            </w:r>
          </w:p>
        </w:tc>
      </w:tr>
      <w:tr w:rsidR="009A04A6" w:rsidRPr="009A04A6" w:rsidTr="00D4688C">
        <w:trPr>
          <w:trHeight w:val="270"/>
        </w:trPr>
        <w:tc>
          <w:tcPr>
            <w:tcW w:w="3843" w:type="dxa"/>
            <w:tcBorders>
              <w:top w:val="single" w:sz="4" w:space="0" w:color="auto"/>
            </w:tcBorders>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proximal humerus</w:t>
            </w:r>
          </w:p>
        </w:tc>
        <w:tc>
          <w:tcPr>
            <w:tcW w:w="974" w:type="dxa"/>
            <w:tcBorders>
              <w:top w:val="single" w:sz="4" w:space="0" w:color="auto"/>
            </w:tcBorders>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.344</w:t>
            </w:r>
          </w:p>
        </w:tc>
        <w:tc>
          <w:tcPr>
            <w:tcW w:w="960" w:type="dxa"/>
            <w:tcBorders>
              <w:top w:val="single" w:sz="4" w:space="0" w:color="auto"/>
            </w:tcBorders>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tcBorders>
              <w:top w:val="single" w:sz="4" w:space="0" w:color="auto"/>
            </w:tcBorders>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tcBorders>
              <w:top w:val="single" w:sz="4" w:space="0" w:color="auto"/>
            </w:tcBorders>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.841</w:t>
            </w:r>
          </w:p>
        </w:tc>
        <w:tc>
          <w:tcPr>
            <w:tcW w:w="960" w:type="dxa"/>
            <w:tcBorders>
              <w:top w:val="single" w:sz="4" w:space="0" w:color="auto"/>
            </w:tcBorders>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tcBorders>
              <w:top w:val="single" w:sz="4" w:space="0" w:color="auto"/>
            </w:tcBorders>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.215</w:t>
            </w:r>
          </w:p>
        </w:tc>
      </w:tr>
      <w:tr w:rsidR="009A04A6" w:rsidRPr="009A04A6" w:rsidTr="00D4688C">
        <w:trPr>
          <w:trHeight w:val="27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distal humerus</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.385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.750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.000</w:t>
            </w:r>
          </w:p>
        </w:tc>
      </w:tr>
      <w:tr w:rsidR="009A04A6" w:rsidRPr="009A04A6" w:rsidTr="00D4688C">
        <w:trPr>
          <w:trHeight w:val="27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humeral medial epicondyle</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.307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.903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.396</w:t>
            </w:r>
          </w:p>
        </w:tc>
      </w:tr>
      <w:tr w:rsidR="009A04A6" w:rsidRPr="009A04A6" w:rsidTr="00D4688C">
        <w:trPr>
          <w:trHeight w:val="28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proximal radius</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.339</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.850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.242</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distal radius</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.177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1.000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.961</w:t>
            </w:r>
          </w:p>
        </w:tc>
      </w:tr>
      <w:tr w:rsidR="009A04A6" w:rsidRPr="009A04A6" w:rsidTr="00D4688C">
        <w:trPr>
          <w:trHeight w:val="28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proximal ulna</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.288</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.928</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.482</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distal ulna</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.192</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.997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.893</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distal p</w:t>
            </w:r>
            <w:bookmarkStart w:id="3556" w:name="_GoBack"/>
            <w:bookmarkEnd w:id="3556"/>
            <w:r w:rsidRPr="009A04A6">
              <w:rPr>
                <w:rFonts w:eastAsia="Times New Roman"/>
                <w:color w:val="000000"/>
                <w:lang w:val="en-GB" w:eastAsia="en-GB"/>
              </w:rPr>
              <w:t>halanges (hand)</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.317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.887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.346</w:t>
            </w:r>
          </w:p>
        </w:tc>
      </w:tr>
      <w:tr w:rsidR="009A04A6" w:rsidRPr="009A04A6" w:rsidTr="00D4688C">
        <w:trPr>
          <w:trHeight w:val="28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base of metacarpal 1 (hand)</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.205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.993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.839</w:t>
            </w:r>
          </w:p>
        </w:tc>
      </w:tr>
      <w:tr w:rsidR="009A04A6" w:rsidRPr="009A04A6" w:rsidTr="00D4688C">
        <w:trPr>
          <w:trHeight w:val="28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proximal and middle phalanges (hand)</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.325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.876</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.312</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heads of metacarpals 2-5 (hand)</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.355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.819</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.159</w:t>
            </w:r>
          </w:p>
        </w:tc>
      </w:tr>
      <w:tr w:rsidR="009A04A6" w:rsidRPr="009A04A6" w:rsidTr="00D4688C">
        <w:trPr>
          <w:trHeight w:val="28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femoral head</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.310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.900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.384</w:t>
            </w:r>
          </w:p>
        </w:tc>
      </w:tr>
      <w:tr w:rsidR="009A04A6" w:rsidRPr="009A04A6" w:rsidTr="00D4688C">
        <w:trPr>
          <w:trHeight w:val="27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greater trochanter</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.245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.971</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.672</w:t>
            </w:r>
          </w:p>
        </w:tc>
      </w:tr>
      <w:tr w:rsidR="009A04A6" w:rsidRPr="009A04A6" w:rsidTr="00D4688C">
        <w:trPr>
          <w:trHeight w:val="28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lesser trochanter</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.254</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.963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.632</w:t>
            </w:r>
          </w:p>
        </w:tc>
      </w:tr>
      <w:tr w:rsidR="009A04A6" w:rsidRPr="009A04A6" w:rsidTr="00D4688C">
        <w:trPr>
          <w:trHeight w:val="27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distal femur</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.329</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.869</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.293</w:t>
            </w:r>
          </w:p>
        </w:tc>
      </w:tr>
      <w:tr w:rsidR="009A04A6" w:rsidRPr="009A04A6" w:rsidTr="00D4688C">
        <w:trPr>
          <w:trHeight w:val="28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proximal tibia</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.177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1.000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.961</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distal tibial</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.177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1.000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.961</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proximal fibula</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.313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.895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.369</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distal fibula</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.310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.900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.384</w:t>
            </w:r>
          </w:p>
        </w:tc>
      </w:tr>
      <w:tr w:rsidR="009A04A6" w:rsidRPr="009A04A6" w:rsidTr="00D4688C">
        <w:trPr>
          <w:trHeight w:val="25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triradiate</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.238</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.976</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.702</w:t>
            </w:r>
          </w:p>
        </w:tc>
      </w:tr>
      <w:tr w:rsidR="009A04A6" w:rsidRPr="009A04A6" w:rsidTr="00D4688C">
        <w:trPr>
          <w:trHeight w:val="28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anterior inferior iliac spine</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iliac crest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.365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.797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.107</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ischial epiphysis</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.195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.996</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.882</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calcaneus</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.354</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.821</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.165</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talus</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r>
      <w:tr w:rsidR="009A04A6" w:rsidRPr="009A04A6" w:rsidTr="00D4688C">
        <w:trPr>
          <w:trHeight w:val="27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distal phalanges (foot)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.284</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.934</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.503</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middle phalanges (foot)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.339</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.850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.242</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metatarsal heads 2-5 (foot)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.349</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.831</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.190</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proximal phalanges (foot)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.245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.971</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.672</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base of metatarsal 1 fusion (foot)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.245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.971</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.672</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medial clavicle</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lateral clavicle</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.319</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.885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.340</w:t>
            </w:r>
          </w:p>
        </w:tc>
      </w:tr>
      <w:tr w:rsidR="009A04A6" w:rsidRPr="009A04A6" w:rsidTr="00D4688C">
        <w:trPr>
          <w:trHeight w:val="315"/>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coracoid</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.296</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.918</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.446</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sub-coracoid and glenoid</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.385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.750</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.000</w:t>
            </w:r>
          </w:p>
        </w:tc>
      </w:tr>
      <w:tr w:rsidR="009A04A6" w:rsidRPr="009A04A6" w:rsidTr="00D4688C">
        <w:trPr>
          <w:trHeight w:val="30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acromium</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.178</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.999</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.954</w:t>
            </w:r>
          </w:p>
        </w:tc>
      </w:tr>
      <w:tr w:rsidR="009A04A6" w:rsidRPr="009A04A6" w:rsidTr="00D4688C">
        <w:trPr>
          <w:trHeight w:val="360"/>
        </w:trPr>
        <w:tc>
          <w:tcPr>
            <w:tcW w:w="3843" w:type="dxa"/>
            <w:shd w:val="clear" w:color="auto" w:fill="auto"/>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medial border</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.365</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w:t>
            </w:r>
          </w:p>
        </w:tc>
        <w:tc>
          <w:tcPr>
            <w:tcW w:w="974"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.797</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3</w:t>
            </w:r>
          </w:p>
        </w:tc>
        <w:tc>
          <w:tcPr>
            <w:tcW w:w="960" w:type="dxa"/>
            <w:shd w:val="clear" w:color="auto" w:fill="auto"/>
            <w:noWrap/>
            <w:vAlign w:val="center"/>
            <w:hideMark/>
          </w:tcPr>
          <w:p w:rsidR="009A04A6" w:rsidRPr="009A04A6" w:rsidRDefault="009A04A6" w:rsidP="009A04A6">
            <w:pPr>
              <w:spacing w:before="0" w:line="240" w:lineRule="auto"/>
              <w:jc w:val="center"/>
              <w:rPr>
                <w:rFonts w:eastAsia="Times New Roman"/>
                <w:color w:val="000000"/>
                <w:lang w:val="en-GB" w:eastAsia="en-GB"/>
              </w:rPr>
            </w:pPr>
            <w:r w:rsidRPr="009A04A6">
              <w:rPr>
                <w:rFonts w:eastAsia="Times New Roman"/>
                <w:color w:val="000000"/>
                <w:lang w:val="en-GB" w:eastAsia="en-GB"/>
              </w:rPr>
              <w:t>.107</w:t>
            </w:r>
          </w:p>
        </w:tc>
      </w:tr>
    </w:tbl>
    <w:p w:rsidR="009A04A6" w:rsidRPr="009A04A6" w:rsidRDefault="009A04A6" w:rsidP="009A04A6">
      <w:pPr>
        <w:spacing w:before="0" w:line="240" w:lineRule="auto"/>
        <w:ind w:hanging="426"/>
        <w:jc w:val="left"/>
        <w:rPr>
          <w:rFonts w:eastAsia="Times New Roman"/>
          <w:color w:val="000000"/>
          <w:sz w:val="20"/>
          <w:szCs w:val="20"/>
          <w:lang w:val="en-GB" w:eastAsia="en-GB"/>
        </w:rPr>
      </w:pPr>
      <w:r w:rsidRPr="009A04A6">
        <w:rPr>
          <w:rFonts w:eastAsia="Times New Roman"/>
          <w:color w:val="000000"/>
          <w:sz w:val="20"/>
          <w:szCs w:val="20"/>
          <w:lang w:val="en-GB" w:eastAsia="en-GB"/>
        </w:rPr>
        <w:t>1. Lilliefors Significance Correction</w:t>
      </w:r>
    </w:p>
    <w:p w:rsidR="004671AE" w:rsidRDefault="004671AE" w:rsidP="004828B2">
      <w:pPr>
        <w:rPr>
          <w:color w:val="000000"/>
        </w:rPr>
      </w:pPr>
    </w:p>
    <w:p w:rsidR="008812F0" w:rsidRDefault="008812F0" w:rsidP="008812F0">
      <w:pPr>
        <w:numPr>
          <w:ilvl w:val="1"/>
          <w:numId w:val="0"/>
        </w:numPr>
        <w:tabs>
          <w:tab w:val="left" w:pos="660"/>
          <w:tab w:val="right" w:leader="dot" w:pos="8471"/>
        </w:tabs>
        <w:spacing w:before="120" w:after="100" w:line="276" w:lineRule="auto"/>
        <w:ind w:right="289"/>
        <w:jc w:val="left"/>
        <w:rPr>
          <w:rFonts w:eastAsiaTheme="minorHAnsi"/>
          <w:noProof/>
          <w:color w:val="000000"/>
          <w:lang w:val="en-GB" w:eastAsia="en-GB"/>
        </w:rPr>
      </w:pPr>
      <w:bookmarkStart w:id="3557" w:name="_Toc373484444"/>
    </w:p>
    <w:p w:rsidR="008812F0" w:rsidRPr="008812F0" w:rsidRDefault="008812F0" w:rsidP="008812F0">
      <w:pPr>
        <w:numPr>
          <w:ilvl w:val="1"/>
          <w:numId w:val="0"/>
        </w:numPr>
        <w:tabs>
          <w:tab w:val="left" w:pos="660"/>
          <w:tab w:val="right" w:leader="dot" w:pos="8471"/>
        </w:tabs>
        <w:spacing w:before="120" w:after="100" w:line="276" w:lineRule="auto"/>
        <w:ind w:right="289" w:hanging="426"/>
        <w:jc w:val="left"/>
        <w:rPr>
          <w:rFonts w:eastAsiaTheme="minorHAnsi"/>
          <w:noProof/>
          <w:color w:val="000000"/>
          <w:lang w:val="en-GB" w:eastAsia="en-GB"/>
        </w:rPr>
      </w:pPr>
      <w:r w:rsidRPr="008812F0">
        <w:rPr>
          <w:rFonts w:eastAsiaTheme="minorHAnsi"/>
          <w:b/>
          <w:noProof/>
          <w:color w:val="000000"/>
          <w:lang w:val="en-GB" w:eastAsia="en-GB"/>
        </w:rPr>
        <w:lastRenderedPageBreak/>
        <w:t>Table 8.23</w:t>
      </w:r>
      <w:r>
        <w:rPr>
          <w:rFonts w:eastAsiaTheme="minorHAnsi"/>
          <w:noProof/>
          <w:color w:val="000000"/>
          <w:lang w:val="en-GB" w:eastAsia="en-GB"/>
        </w:rPr>
        <w:t xml:space="preserve"> </w:t>
      </w:r>
      <w:r w:rsidRPr="008812F0">
        <w:rPr>
          <w:rFonts w:eastAsiaTheme="minorHAnsi"/>
          <w:noProof/>
          <w:color w:val="000000"/>
          <w:lang w:val="en-GB" w:eastAsia="en-GB"/>
        </w:rPr>
        <w:t xml:space="preserve">Mean epiphyseal fusion normality tests for complete fusion </w:t>
      </w:r>
      <w:r w:rsidRPr="008812F0">
        <w:rPr>
          <w:rFonts w:eastAsiaTheme="minorHAnsi"/>
          <w:i/>
          <w:noProof/>
          <w:color w:val="000000"/>
          <w:lang w:val="en-GB" w:eastAsia="en-GB"/>
        </w:rPr>
        <w:t>Pan troglodytes</w:t>
      </w:r>
      <w:r w:rsidRPr="008812F0">
        <w:rPr>
          <w:rFonts w:eastAsiaTheme="minorHAnsi"/>
          <w:noProof/>
          <w:color w:val="000000"/>
          <w:lang w:val="en-GB" w:eastAsia="en-GB"/>
        </w:rPr>
        <w:t xml:space="preserve"> females.</w:t>
      </w:r>
      <w:bookmarkEnd w:id="3557"/>
    </w:p>
    <w:tbl>
      <w:tblPr>
        <w:tblW w:w="9631" w:type="dxa"/>
        <w:tblInd w:w="-318" w:type="dxa"/>
        <w:tblBorders>
          <w:top w:val="single" w:sz="4" w:space="0" w:color="auto"/>
          <w:bottom w:val="single" w:sz="4" w:space="0" w:color="auto"/>
        </w:tblBorders>
        <w:tblLook w:val="04A0" w:firstRow="1" w:lastRow="0" w:firstColumn="1" w:lastColumn="0" w:noHBand="0" w:noVBand="1"/>
      </w:tblPr>
      <w:tblGrid>
        <w:gridCol w:w="3843"/>
        <w:gridCol w:w="974"/>
        <w:gridCol w:w="960"/>
        <w:gridCol w:w="960"/>
        <w:gridCol w:w="974"/>
        <w:gridCol w:w="960"/>
        <w:gridCol w:w="960"/>
      </w:tblGrid>
      <w:tr w:rsidR="008812F0" w:rsidRPr="008812F0" w:rsidTr="00D4688C">
        <w:trPr>
          <w:trHeight w:val="284"/>
        </w:trPr>
        <w:tc>
          <w:tcPr>
            <w:tcW w:w="3843" w:type="dxa"/>
            <w:vMerge w:val="restart"/>
            <w:tcBorders>
              <w:top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epiphysis</w:t>
            </w:r>
          </w:p>
        </w:tc>
        <w:tc>
          <w:tcPr>
            <w:tcW w:w="2894" w:type="dxa"/>
            <w:gridSpan w:val="3"/>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Kolmogorov-Smirnov</w:t>
            </w:r>
            <w:r w:rsidRPr="008812F0">
              <w:rPr>
                <w:rFonts w:eastAsia="Times New Roman"/>
                <w:b/>
                <w:color w:val="000000"/>
                <w:vertAlign w:val="superscript"/>
                <w:lang w:val="en-GB" w:eastAsia="en-GB"/>
              </w:rPr>
              <w:t>1.</w:t>
            </w:r>
          </w:p>
        </w:tc>
        <w:tc>
          <w:tcPr>
            <w:tcW w:w="2894" w:type="dxa"/>
            <w:gridSpan w:val="3"/>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Shapiro-Wilk</w:t>
            </w:r>
          </w:p>
        </w:tc>
      </w:tr>
      <w:tr w:rsidR="008812F0" w:rsidRPr="008812F0" w:rsidTr="00D4688C">
        <w:trPr>
          <w:trHeight w:val="284"/>
        </w:trPr>
        <w:tc>
          <w:tcPr>
            <w:tcW w:w="3843" w:type="dxa"/>
            <w:vMerge/>
            <w:tcBorders>
              <w:bottom w:val="single" w:sz="4" w:space="0" w:color="auto"/>
            </w:tcBorders>
            <w:vAlign w:val="center"/>
            <w:hideMark/>
          </w:tcPr>
          <w:p w:rsidR="008812F0" w:rsidRPr="008812F0" w:rsidRDefault="008812F0" w:rsidP="008812F0">
            <w:pPr>
              <w:spacing w:before="0" w:line="240" w:lineRule="auto"/>
              <w:jc w:val="left"/>
              <w:rPr>
                <w:rFonts w:eastAsia="Times New Roman"/>
                <w:b/>
                <w:color w:val="000000"/>
                <w:lang w:val="en-GB" w:eastAsia="en-GB"/>
              </w:rPr>
            </w:pPr>
          </w:p>
        </w:tc>
        <w:tc>
          <w:tcPr>
            <w:tcW w:w="974"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statistic</w:t>
            </w:r>
          </w:p>
        </w:tc>
        <w:tc>
          <w:tcPr>
            <w:tcW w:w="960"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df</w:t>
            </w:r>
          </w:p>
        </w:tc>
        <w:tc>
          <w:tcPr>
            <w:tcW w:w="960"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sig.</w:t>
            </w:r>
          </w:p>
        </w:tc>
        <w:tc>
          <w:tcPr>
            <w:tcW w:w="974"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statistic</w:t>
            </w:r>
          </w:p>
        </w:tc>
        <w:tc>
          <w:tcPr>
            <w:tcW w:w="960"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df</w:t>
            </w:r>
          </w:p>
        </w:tc>
        <w:tc>
          <w:tcPr>
            <w:tcW w:w="960"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sig.</w:t>
            </w:r>
          </w:p>
        </w:tc>
      </w:tr>
      <w:tr w:rsidR="008812F0" w:rsidRPr="008812F0" w:rsidTr="00D4688C">
        <w:trPr>
          <w:trHeight w:val="284"/>
        </w:trPr>
        <w:tc>
          <w:tcPr>
            <w:tcW w:w="3843" w:type="dxa"/>
            <w:tcBorders>
              <w:top w:val="single" w:sz="4" w:space="0" w:color="auto"/>
            </w:tcBorders>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proximal humerus</w:t>
            </w:r>
          </w:p>
        </w:tc>
        <w:tc>
          <w:tcPr>
            <w:tcW w:w="974"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.423</w:t>
            </w:r>
          </w:p>
        </w:tc>
        <w:tc>
          <w:tcPr>
            <w:tcW w:w="960"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.004</w:t>
            </w:r>
          </w:p>
        </w:tc>
        <w:tc>
          <w:tcPr>
            <w:tcW w:w="974"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.640</w:t>
            </w:r>
          </w:p>
        </w:tc>
        <w:tc>
          <w:tcPr>
            <w:tcW w:w="960"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.002</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distal humerus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.269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.807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.092</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humeral medial epicondyle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.315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.118</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.870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.268</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proximal radius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.289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.928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.582</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distal radius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.263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.839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.161</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proximal ulna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.159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.975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.905</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distal ulna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.229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.938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.655</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distal phalanges (hand)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.264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.870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.268</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base of metacarpal 1 (hand)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.222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.958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.794</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proximal and middle phalanges (hand)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.253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.883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.325</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heads of metacarpals 2-5 (hand)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.171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.984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.954</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femoral head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.177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.980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.933</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greater trochanter</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.261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.936</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.638</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lesser trochanter</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.159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.975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.905</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distal femur</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.274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.935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.633</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proximal tibia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.222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.891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.364</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distal tibial</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.264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.894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.376</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proximal fibula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.341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.058</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.756</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.034</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distal fibula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.196</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.968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.865</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triradiate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.212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.899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.406</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anterior inferior iliac spine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.258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.904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.433</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iliac crest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ischial epiphysis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.218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.900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.412</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calcaneus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.256</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.826</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.131</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talus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.212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.950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.735</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distal phalanges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.921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.535</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middle phalanges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.144</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.842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.170</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metatarsal heads 2-5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.245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.864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.241</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proximal phalanges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.435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.002</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.668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.004</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base of metatarsal 1 fusion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.155</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.803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.086</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medial clavicle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.231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.886</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.337</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lateral clavicle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.358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.035</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.801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.082</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coracoid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.268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.852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sub-coracoid and glenoid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.337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.065</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.746</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.028</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acromium</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.253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.200</w:t>
            </w:r>
            <w:r w:rsidRPr="008812F0">
              <w:rPr>
                <w:rFonts w:eastAsia="Times New Roman"/>
                <w:color w:val="000000"/>
                <w:vertAlign w:val="superscript"/>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.879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.306</w:t>
            </w:r>
          </w:p>
        </w:tc>
      </w:tr>
      <w:tr w:rsidR="008812F0" w:rsidRPr="008812F0" w:rsidTr="00D4688C">
        <w:trPr>
          <w:trHeight w:val="284"/>
        </w:trPr>
        <w:tc>
          <w:tcPr>
            <w:tcW w:w="3843" w:type="dxa"/>
            <w:shd w:val="clear" w:color="auto" w:fill="auto"/>
            <w:hideMark/>
          </w:tcPr>
          <w:p w:rsidR="008812F0" w:rsidRPr="008812F0" w:rsidRDefault="008812F0" w:rsidP="008812F0">
            <w:pPr>
              <w:spacing w:before="0" w:line="240" w:lineRule="auto"/>
              <w:jc w:val="left"/>
              <w:rPr>
                <w:rFonts w:eastAsia="Times New Roman"/>
                <w:color w:val="000000"/>
                <w:lang w:val="en-GB" w:eastAsia="en-GB"/>
              </w:rPr>
            </w:pPr>
            <w:r w:rsidRPr="008812F0">
              <w:rPr>
                <w:rFonts w:eastAsia="Times New Roman"/>
                <w:color w:val="000000"/>
                <w:lang w:val="en-GB" w:eastAsia="en-GB"/>
              </w:rPr>
              <w:t>medial border</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r>
    </w:tbl>
    <w:p w:rsidR="008812F0" w:rsidRPr="008812F0" w:rsidRDefault="008812F0" w:rsidP="008812F0">
      <w:pPr>
        <w:autoSpaceDE w:val="0"/>
        <w:autoSpaceDN w:val="0"/>
        <w:adjustRightInd w:val="0"/>
        <w:spacing w:before="0" w:line="240" w:lineRule="auto"/>
        <w:ind w:left="-426"/>
        <w:jc w:val="left"/>
        <w:rPr>
          <w:rFonts w:eastAsiaTheme="minorHAnsi"/>
          <w:b/>
          <w:i/>
          <w:color w:val="000000"/>
          <w:sz w:val="20"/>
          <w:szCs w:val="20"/>
          <w:lang w:val="en-GB"/>
        </w:rPr>
      </w:pPr>
      <w:proofErr w:type="gramStart"/>
      <w:r w:rsidRPr="008812F0">
        <w:rPr>
          <w:rFonts w:eastAsia="Times New Roman"/>
          <w:color w:val="000000"/>
          <w:sz w:val="20"/>
          <w:szCs w:val="20"/>
          <w:lang w:val="en-GB" w:eastAsia="en-GB"/>
        </w:rPr>
        <w:t>1. Lilliefors Significance Correction, *.</w:t>
      </w:r>
      <w:proofErr w:type="gramEnd"/>
      <w:r w:rsidRPr="008812F0">
        <w:rPr>
          <w:rFonts w:eastAsia="Times New Roman"/>
          <w:color w:val="000000"/>
          <w:sz w:val="20"/>
          <w:szCs w:val="20"/>
          <w:lang w:val="en-GB" w:eastAsia="en-GB"/>
        </w:rPr>
        <w:t xml:space="preserve"> This is a lower bound of the true significance.</w:t>
      </w:r>
    </w:p>
    <w:p w:rsidR="008812F0" w:rsidRPr="008812F0" w:rsidRDefault="008812F0" w:rsidP="008812F0">
      <w:pPr>
        <w:spacing w:before="0" w:after="200" w:line="276" w:lineRule="auto"/>
        <w:jc w:val="left"/>
        <w:rPr>
          <w:rFonts w:eastAsiaTheme="minorHAnsi"/>
          <w:color w:val="000000"/>
          <w:lang w:val="en-GB"/>
        </w:rPr>
      </w:pPr>
      <w:r w:rsidRPr="008812F0">
        <w:rPr>
          <w:rFonts w:eastAsiaTheme="minorHAnsi"/>
          <w:color w:val="000000"/>
          <w:lang w:val="en-GB"/>
        </w:rPr>
        <w:br w:type="page"/>
      </w:r>
    </w:p>
    <w:p w:rsidR="008812F0" w:rsidRPr="008812F0" w:rsidRDefault="008812F0" w:rsidP="008812F0">
      <w:pPr>
        <w:numPr>
          <w:ilvl w:val="1"/>
          <w:numId w:val="0"/>
        </w:numPr>
        <w:tabs>
          <w:tab w:val="left" w:pos="660"/>
          <w:tab w:val="right" w:leader="dot" w:pos="8471"/>
        </w:tabs>
        <w:spacing w:before="120" w:after="100" w:line="276" w:lineRule="auto"/>
        <w:ind w:right="289" w:hanging="426"/>
        <w:jc w:val="left"/>
        <w:rPr>
          <w:rFonts w:eastAsiaTheme="minorHAnsi"/>
          <w:noProof/>
          <w:color w:val="000000"/>
          <w:lang w:val="en-GB" w:eastAsia="en-GB"/>
        </w:rPr>
      </w:pPr>
      <w:bookmarkStart w:id="3558" w:name="_Toc373484445"/>
      <w:r w:rsidRPr="008812F0">
        <w:rPr>
          <w:rFonts w:eastAsiaTheme="minorHAnsi"/>
          <w:b/>
          <w:noProof/>
          <w:color w:val="000000"/>
          <w:lang w:val="en-GB" w:eastAsia="en-GB"/>
        </w:rPr>
        <w:lastRenderedPageBreak/>
        <w:t>Table 8.24</w:t>
      </w:r>
      <w:r>
        <w:rPr>
          <w:rFonts w:eastAsiaTheme="minorHAnsi"/>
          <w:noProof/>
          <w:color w:val="000000"/>
          <w:lang w:val="en-GB" w:eastAsia="en-GB"/>
        </w:rPr>
        <w:t xml:space="preserve"> </w:t>
      </w:r>
      <w:r w:rsidRPr="008812F0">
        <w:rPr>
          <w:rFonts w:eastAsiaTheme="minorHAnsi"/>
          <w:noProof/>
          <w:color w:val="000000"/>
          <w:lang w:val="en-GB" w:eastAsia="en-GB"/>
        </w:rPr>
        <w:t xml:space="preserve">Mean epiphyseal fusion normality tests for complete fusion </w:t>
      </w:r>
      <w:r w:rsidRPr="008812F0">
        <w:rPr>
          <w:rFonts w:eastAsiaTheme="minorHAnsi"/>
          <w:i/>
          <w:noProof/>
          <w:color w:val="000000"/>
          <w:lang w:val="en-GB" w:eastAsia="en-GB"/>
        </w:rPr>
        <w:t>Pan troglodytes</w:t>
      </w:r>
      <w:r w:rsidRPr="008812F0">
        <w:rPr>
          <w:rFonts w:eastAsiaTheme="minorHAnsi"/>
          <w:noProof/>
          <w:color w:val="000000"/>
          <w:lang w:val="en-GB" w:eastAsia="en-GB"/>
        </w:rPr>
        <w:t xml:space="preserve"> males.</w:t>
      </w:r>
      <w:bookmarkEnd w:id="3558"/>
    </w:p>
    <w:tbl>
      <w:tblPr>
        <w:tblW w:w="9631" w:type="dxa"/>
        <w:tblInd w:w="-318" w:type="dxa"/>
        <w:tblBorders>
          <w:top w:val="single" w:sz="4" w:space="0" w:color="auto"/>
          <w:bottom w:val="single" w:sz="4" w:space="0" w:color="auto"/>
        </w:tblBorders>
        <w:tblLook w:val="04A0" w:firstRow="1" w:lastRow="0" w:firstColumn="1" w:lastColumn="0" w:noHBand="0" w:noVBand="1"/>
      </w:tblPr>
      <w:tblGrid>
        <w:gridCol w:w="3843"/>
        <w:gridCol w:w="974"/>
        <w:gridCol w:w="960"/>
        <w:gridCol w:w="960"/>
        <w:gridCol w:w="974"/>
        <w:gridCol w:w="960"/>
        <w:gridCol w:w="960"/>
      </w:tblGrid>
      <w:tr w:rsidR="008812F0" w:rsidRPr="008812F0" w:rsidTr="00D4688C">
        <w:trPr>
          <w:trHeight w:val="300"/>
        </w:trPr>
        <w:tc>
          <w:tcPr>
            <w:tcW w:w="3843" w:type="dxa"/>
            <w:vMerge w:val="restart"/>
            <w:tcBorders>
              <w:top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epiphysis</w:t>
            </w:r>
          </w:p>
        </w:tc>
        <w:tc>
          <w:tcPr>
            <w:tcW w:w="2894" w:type="dxa"/>
            <w:gridSpan w:val="3"/>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Kolmogorov-Smirnov</w:t>
            </w:r>
            <w:r w:rsidRPr="008812F0">
              <w:rPr>
                <w:rFonts w:eastAsia="Times New Roman"/>
                <w:b/>
                <w:color w:val="000000"/>
                <w:vertAlign w:val="superscript"/>
                <w:lang w:val="en-GB" w:eastAsia="en-GB"/>
              </w:rPr>
              <w:t>1.</w:t>
            </w:r>
          </w:p>
        </w:tc>
        <w:tc>
          <w:tcPr>
            <w:tcW w:w="2894" w:type="dxa"/>
            <w:gridSpan w:val="3"/>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Shapiro-Wilk</w:t>
            </w:r>
          </w:p>
        </w:tc>
      </w:tr>
      <w:tr w:rsidR="008812F0" w:rsidRPr="008812F0" w:rsidTr="00D4688C">
        <w:trPr>
          <w:trHeight w:val="300"/>
        </w:trPr>
        <w:tc>
          <w:tcPr>
            <w:tcW w:w="3843" w:type="dxa"/>
            <w:vMerge/>
            <w:tcBorders>
              <w:bottom w:val="single" w:sz="4" w:space="0" w:color="auto"/>
            </w:tcBorders>
            <w:vAlign w:val="center"/>
            <w:hideMark/>
          </w:tcPr>
          <w:p w:rsidR="008812F0" w:rsidRPr="008812F0" w:rsidRDefault="008812F0" w:rsidP="008812F0">
            <w:pPr>
              <w:spacing w:before="0" w:line="240" w:lineRule="auto"/>
              <w:jc w:val="center"/>
              <w:rPr>
                <w:rFonts w:eastAsia="Times New Roman"/>
                <w:b/>
                <w:color w:val="000000"/>
                <w:lang w:val="en-GB" w:eastAsia="en-GB"/>
              </w:rPr>
            </w:pPr>
          </w:p>
        </w:tc>
        <w:tc>
          <w:tcPr>
            <w:tcW w:w="974"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Statistic</w:t>
            </w:r>
          </w:p>
        </w:tc>
        <w:tc>
          <w:tcPr>
            <w:tcW w:w="960"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df</w:t>
            </w:r>
          </w:p>
        </w:tc>
        <w:tc>
          <w:tcPr>
            <w:tcW w:w="960"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sig.</w:t>
            </w:r>
          </w:p>
        </w:tc>
        <w:tc>
          <w:tcPr>
            <w:tcW w:w="974"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statistic</w:t>
            </w:r>
          </w:p>
        </w:tc>
        <w:tc>
          <w:tcPr>
            <w:tcW w:w="960"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df</w:t>
            </w:r>
          </w:p>
        </w:tc>
        <w:tc>
          <w:tcPr>
            <w:tcW w:w="960" w:type="dxa"/>
            <w:tcBorders>
              <w:top w:val="single" w:sz="4" w:space="0" w:color="auto"/>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b/>
                <w:color w:val="000000"/>
                <w:lang w:val="en-GB" w:eastAsia="en-GB"/>
              </w:rPr>
            </w:pPr>
            <w:r w:rsidRPr="008812F0">
              <w:rPr>
                <w:rFonts w:eastAsia="Times New Roman"/>
                <w:b/>
                <w:color w:val="000000"/>
                <w:lang w:val="en-GB" w:eastAsia="en-GB"/>
              </w:rPr>
              <w:t>sig.</w:t>
            </w:r>
          </w:p>
        </w:tc>
      </w:tr>
      <w:tr w:rsidR="008812F0" w:rsidRPr="008812F0" w:rsidTr="00D4688C">
        <w:trPr>
          <w:trHeight w:val="300"/>
        </w:trPr>
        <w:tc>
          <w:tcPr>
            <w:tcW w:w="3843" w:type="dxa"/>
            <w:tcBorders>
              <w:top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proximal humerus</w:t>
            </w:r>
          </w:p>
        </w:tc>
        <w:tc>
          <w:tcPr>
            <w:tcW w:w="974"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.910</w:t>
            </w:r>
          </w:p>
        </w:tc>
        <w:tc>
          <w:tcPr>
            <w:tcW w:w="960"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tcBorders>
              <w:top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distal humerus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.328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.870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.296</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humeral medial epicondyle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.245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.971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.672</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proximal radius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.344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.841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.215</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distal radius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.328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.871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.298</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proximal ulna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.245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.971</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.672</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distal ulna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.369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.789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.089</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distal phalanges (hand)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.370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.785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.080</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base of metacarpal 1 (hand)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.252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.966</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.643</w:t>
            </w:r>
          </w:p>
        </w:tc>
      </w:tr>
      <w:tr w:rsidR="008812F0" w:rsidRPr="008812F0" w:rsidTr="00D4688C">
        <w:trPr>
          <w:trHeight w:val="285"/>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proximal and middle phalanges (hand)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.910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heads of metacarpals 2-5 (hand)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.910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femoral head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.365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.797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.107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greater trochanter</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.289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.927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.478</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lesser trochanter</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.324</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.877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.316</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distal femur</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.910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proximal tibia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.910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distal tibial</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.910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proximal fibula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.910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distal fibula</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.910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.417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triradiate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.185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.998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.923</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anterior inferior iliac spine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.175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1.000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.995</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iliac crest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ischial epiphysis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.365</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.797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.107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calcaneus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.368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.790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.090</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talus</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.178</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1.000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.959</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distal phalanges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.219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.987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.780</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middle phalanges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.219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.987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.780</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metatarsal heads 2-5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.227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.983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.747</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proximal phalanges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.219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.987</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.780</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base of metatarsal 1 fusion (foot)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.333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.862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.274</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medial clavicle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lateral clavicle</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.363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.802</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.119</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coracoid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.339</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.850</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.242</w:t>
            </w:r>
          </w:p>
        </w:tc>
      </w:tr>
      <w:tr w:rsidR="008812F0" w:rsidRPr="008812F0" w:rsidTr="00D4688C">
        <w:trPr>
          <w:trHeight w:val="300"/>
        </w:trPr>
        <w:tc>
          <w:tcPr>
            <w:tcW w:w="3843" w:type="dxa"/>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sub-coracoid and glenoid</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.353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.823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.170</w:t>
            </w:r>
          </w:p>
        </w:tc>
      </w:tr>
      <w:tr w:rsidR="008812F0" w:rsidRPr="008812F0" w:rsidTr="00D4688C">
        <w:trPr>
          <w:trHeight w:val="300"/>
        </w:trPr>
        <w:tc>
          <w:tcPr>
            <w:tcW w:w="3843" w:type="dxa"/>
            <w:tcBorders>
              <w:bottom w:val="nil"/>
            </w:tcBorders>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acromium</w:t>
            </w:r>
          </w:p>
        </w:tc>
        <w:tc>
          <w:tcPr>
            <w:tcW w:w="974" w:type="dxa"/>
            <w:tcBorders>
              <w:bottom w:val="nil"/>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.291</w:t>
            </w:r>
          </w:p>
        </w:tc>
        <w:tc>
          <w:tcPr>
            <w:tcW w:w="960" w:type="dxa"/>
            <w:tcBorders>
              <w:bottom w:val="nil"/>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tcBorders>
              <w:bottom w:val="nil"/>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tcBorders>
              <w:bottom w:val="nil"/>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.925</w:t>
            </w:r>
          </w:p>
        </w:tc>
        <w:tc>
          <w:tcPr>
            <w:tcW w:w="960" w:type="dxa"/>
            <w:tcBorders>
              <w:bottom w:val="nil"/>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3</w:t>
            </w:r>
          </w:p>
        </w:tc>
        <w:tc>
          <w:tcPr>
            <w:tcW w:w="960" w:type="dxa"/>
            <w:tcBorders>
              <w:bottom w:val="nil"/>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.470</w:t>
            </w:r>
          </w:p>
        </w:tc>
      </w:tr>
      <w:tr w:rsidR="008812F0" w:rsidRPr="008812F0" w:rsidTr="00D4688C">
        <w:trPr>
          <w:trHeight w:val="300"/>
        </w:trPr>
        <w:tc>
          <w:tcPr>
            <w:tcW w:w="3843" w:type="dxa"/>
            <w:tcBorders>
              <w:top w:val="nil"/>
              <w:bottom w:val="single" w:sz="4" w:space="0" w:color="auto"/>
            </w:tcBorders>
            <w:shd w:val="clear" w:color="auto" w:fill="auto"/>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medial border</w:t>
            </w:r>
          </w:p>
        </w:tc>
        <w:tc>
          <w:tcPr>
            <w:tcW w:w="974" w:type="dxa"/>
            <w:tcBorders>
              <w:top w:val="nil"/>
              <w:bottom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tcBorders>
              <w:top w:val="nil"/>
              <w:bottom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tcBorders>
              <w:top w:val="nil"/>
              <w:bottom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74" w:type="dxa"/>
            <w:tcBorders>
              <w:top w:val="nil"/>
              <w:bottom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tcBorders>
              <w:top w:val="nil"/>
              <w:bottom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c>
          <w:tcPr>
            <w:tcW w:w="960" w:type="dxa"/>
            <w:tcBorders>
              <w:top w:val="nil"/>
              <w:bottom w:val="single" w:sz="4" w:space="0" w:color="auto"/>
            </w:tcBorders>
            <w:shd w:val="clear" w:color="auto" w:fill="auto"/>
            <w:noWrap/>
            <w:vAlign w:val="center"/>
            <w:hideMark/>
          </w:tcPr>
          <w:p w:rsidR="008812F0" w:rsidRPr="008812F0" w:rsidRDefault="008812F0" w:rsidP="008812F0">
            <w:pPr>
              <w:spacing w:before="0" w:line="240" w:lineRule="auto"/>
              <w:jc w:val="center"/>
              <w:rPr>
                <w:rFonts w:eastAsia="Times New Roman"/>
                <w:color w:val="000000"/>
                <w:lang w:val="en-GB" w:eastAsia="en-GB"/>
              </w:rPr>
            </w:pPr>
            <w:r w:rsidRPr="008812F0">
              <w:rPr>
                <w:rFonts w:eastAsia="Times New Roman"/>
                <w:color w:val="000000"/>
                <w:lang w:val="en-GB" w:eastAsia="en-GB"/>
              </w:rPr>
              <w:t>-</w:t>
            </w:r>
          </w:p>
        </w:tc>
      </w:tr>
      <w:tr w:rsidR="008812F0" w:rsidRPr="008812F0" w:rsidTr="00D4688C">
        <w:trPr>
          <w:trHeight w:val="300"/>
        </w:trPr>
        <w:tc>
          <w:tcPr>
            <w:tcW w:w="9631" w:type="dxa"/>
            <w:gridSpan w:val="7"/>
            <w:tcBorders>
              <w:top w:val="single" w:sz="4" w:space="0" w:color="auto"/>
              <w:bottom w:val="nil"/>
            </w:tcBorders>
            <w:shd w:val="clear" w:color="auto" w:fill="auto"/>
            <w:vAlign w:val="center"/>
            <w:hideMark/>
          </w:tcPr>
          <w:p w:rsidR="008812F0" w:rsidRPr="008812F0" w:rsidRDefault="008812F0" w:rsidP="008812F0">
            <w:pPr>
              <w:spacing w:before="0" w:line="240" w:lineRule="auto"/>
              <w:jc w:val="left"/>
              <w:rPr>
                <w:rFonts w:eastAsia="Times New Roman"/>
                <w:color w:val="000000"/>
                <w:sz w:val="20"/>
                <w:szCs w:val="20"/>
                <w:lang w:val="en-GB" w:eastAsia="en-GB"/>
              </w:rPr>
            </w:pPr>
            <w:r w:rsidRPr="008812F0">
              <w:rPr>
                <w:rFonts w:eastAsia="Times New Roman"/>
                <w:color w:val="000000"/>
                <w:sz w:val="20"/>
                <w:szCs w:val="20"/>
                <w:lang w:val="en-GB" w:eastAsia="en-GB"/>
              </w:rPr>
              <w:t>1. Lilliefors Significance Correction</w:t>
            </w:r>
          </w:p>
        </w:tc>
      </w:tr>
    </w:tbl>
    <w:p w:rsidR="008812F0" w:rsidRDefault="008812F0" w:rsidP="004828B2">
      <w:pPr>
        <w:rPr>
          <w:color w:val="000000"/>
        </w:rPr>
      </w:pPr>
    </w:p>
    <w:p w:rsidR="008812F0" w:rsidRDefault="00002F11" w:rsidP="004828B2">
      <w:pPr>
        <w:rPr>
          <w:b/>
          <w:i/>
        </w:rPr>
      </w:pPr>
      <w:r w:rsidRPr="00002F11">
        <w:rPr>
          <w:b/>
          <w:i/>
        </w:rPr>
        <w:lastRenderedPageBreak/>
        <w:t>8.6</w:t>
      </w:r>
      <w:r w:rsidRPr="00002F11">
        <w:rPr>
          <w:b/>
          <w:i/>
        </w:rPr>
        <w:tab/>
        <w:t>Linear regression comparisons with Shea (1981)</w:t>
      </w:r>
    </w:p>
    <w:p w:rsidR="00AE5045" w:rsidRPr="00AE5045" w:rsidRDefault="00AE5045" w:rsidP="00AE5045">
      <w:pPr>
        <w:spacing w:before="0" w:after="60" w:line="276" w:lineRule="auto"/>
        <w:jc w:val="left"/>
        <w:rPr>
          <w:rFonts w:eastAsiaTheme="minorHAnsi"/>
          <w:noProof/>
          <w:lang w:val="en-GB"/>
        </w:rPr>
      </w:pPr>
      <w:r w:rsidRPr="00AE5045">
        <w:rPr>
          <w:rFonts w:eastAsiaTheme="minorHAnsi"/>
          <w:noProof/>
          <w:lang w:val="en-GB"/>
        </w:rPr>
        <w:t>The following data relate to linear regression of log</w:t>
      </w:r>
      <w:r w:rsidRPr="00AE5045">
        <w:rPr>
          <w:rFonts w:eastAsiaTheme="minorHAnsi"/>
          <w:noProof/>
          <w:vertAlign w:val="subscript"/>
          <w:lang w:val="en-GB"/>
        </w:rPr>
        <w:t>10</w:t>
      </w:r>
      <w:r w:rsidRPr="00AE5045">
        <w:rPr>
          <w:rFonts w:eastAsiaTheme="minorHAnsi"/>
          <w:noProof/>
          <w:lang w:val="en-GB"/>
        </w:rPr>
        <w:t xml:space="preserve"> transformed upper limb (humerus + radius) and lower limb (femur + tibia) intermembral indicies for comparison to Shea (1981).  This is analysed in Chapter 4, section 4.3.1.  Regression equations are found in text.  Shea (1981) found a highly linear relationship between these indicies and this is reproduced in this study for an expanded number of </w:t>
      </w:r>
      <w:r w:rsidRPr="00AE5045">
        <w:rPr>
          <w:rFonts w:eastAsiaTheme="minorHAnsi"/>
          <w:i/>
          <w:noProof/>
          <w:lang w:val="en-GB"/>
        </w:rPr>
        <w:t xml:space="preserve">Pan troglodytes </w:t>
      </w:r>
      <w:r w:rsidRPr="00AE5045">
        <w:rPr>
          <w:rFonts w:eastAsiaTheme="minorHAnsi"/>
          <w:noProof/>
          <w:lang w:val="en-GB"/>
        </w:rPr>
        <w:t>sub-species.</w:t>
      </w:r>
    </w:p>
    <w:p w:rsidR="00AE5045" w:rsidRPr="00AE5045" w:rsidRDefault="00AE5045" w:rsidP="00AE5045">
      <w:pPr>
        <w:numPr>
          <w:ilvl w:val="1"/>
          <w:numId w:val="0"/>
        </w:numPr>
        <w:tabs>
          <w:tab w:val="left" w:pos="660"/>
          <w:tab w:val="right" w:leader="dot" w:pos="8471"/>
        </w:tabs>
        <w:spacing w:before="0" w:after="60" w:line="276" w:lineRule="auto"/>
        <w:ind w:right="289"/>
        <w:jc w:val="left"/>
        <w:rPr>
          <w:rFonts w:eastAsiaTheme="minorHAnsi"/>
          <w:noProof/>
          <w:color w:val="000000"/>
          <w:lang w:val="en-GB" w:eastAsia="en-GB"/>
        </w:rPr>
      </w:pPr>
      <w:bookmarkStart w:id="3559" w:name="_Toc373177907"/>
      <w:bookmarkStart w:id="3560" w:name="_Toc373484446"/>
      <w:r w:rsidRPr="00AE5045">
        <w:rPr>
          <w:rFonts w:eastAsiaTheme="minorHAnsi"/>
          <w:b/>
          <w:noProof/>
          <w:color w:val="000000"/>
          <w:lang w:val="en-GB" w:eastAsia="en-GB"/>
        </w:rPr>
        <w:t>Table 8.25</w:t>
      </w:r>
      <w:r>
        <w:rPr>
          <w:rFonts w:eastAsiaTheme="minorHAnsi"/>
          <w:noProof/>
          <w:color w:val="000000"/>
          <w:lang w:val="en-GB" w:eastAsia="en-GB"/>
        </w:rPr>
        <w:t xml:space="preserve"> </w:t>
      </w:r>
      <w:r w:rsidRPr="00AE5045">
        <w:rPr>
          <w:rFonts w:eastAsiaTheme="minorHAnsi"/>
          <w:noProof/>
          <w:color w:val="000000"/>
          <w:lang w:val="en-GB" w:eastAsia="en-GB"/>
        </w:rPr>
        <w:t xml:space="preserve">Regression summary for comparison of upper vs. lower limb with Shea (1981) in </w:t>
      </w:r>
      <w:r w:rsidRPr="00AE5045">
        <w:rPr>
          <w:rFonts w:eastAsiaTheme="minorHAnsi"/>
          <w:i/>
          <w:noProof/>
          <w:color w:val="000000"/>
          <w:lang w:val="en-GB" w:eastAsia="en-GB"/>
        </w:rPr>
        <w:t>Pan paniscus</w:t>
      </w:r>
      <w:r w:rsidRPr="00AE5045">
        <w:rPr>
          <w:rFonts w:eastAsiaTheme="minorHAnsi"/>
          <w:noProof/>
          <w:color w:val="000000"/>
          <w:lang w:val="en-GB" w:eastAsia="en-GB"/>
        </w:rPr>
        <w:t xml:space="preserve"> and </w:t>
      </w:r>
      <w:r w:rsidRPr="00AE5045">
        <w:rPr>
          <w:rFonts w:eastAsiaTheme="minorHAnsi"/>
          <w:i/>
          <w:noProof/>
          <w:color w:val="000000"/>
          <w:lang w:val="en-GB" w:eastAsia="en-GB"/>
        </w:rPr>
        <w:t>Pan troglodytes</w:t>
      </w:r>
      <w:r w:rsidRPr="00AE5045">
        <w:rPr>
          <w:rFonts w:eastAsiaTheme="minorHAnsi"/>
          <w:noProof/>
          <w:color w:val="000000"/>
          <w:lang w:val="en-GB" w:eastAsia="en-GB"/>
        </w:rPr>
        <w:t>.</w:t>
      </w:r>
      <w:bookmarkEnd w:id="3559"/>
      <w:bookmarkEnd w:id="3560"/>
    </w:p>
    <w:tbl>
      <w:tblPr>
        <w:tblW w:w="8045" w:type="dxa"/>
        <w:jc w:val="center"/>
        <w:tblInd w:w="-373" w:type="dxa"/>
        <w:tblBorders>
          <w:top w:val="single" w:sz="4" w:space="0" w:color="auto"/>
          <w:bottom w:val="single" w:sz="4" w:space="0" w:color="auto"/>
        </w:tblBorders>
        <w:tblLook w:val="04A0" w:firstRow="1" w:lastRow="0" w:firstColumn="1" w:lastColumn="0" w:noHBand="0" w:noVBand="1"/>
      </w:tblPr>
      <w:tblGrid>
        <w:gridCol w:w="1987"/>
        <w:gridCol w:w="982"/>
        <w:gridCol w:w="833"/>
        <w:gridCol w:w="1175"/>
        <w:gridCol w:w="1417"/>
        <w:gridCol w:w="1651"/>
      </w:tblGrid>
      <w:tr w:rsidR="00AE5045" w:rsidRPr="00AE5045" w:rsidTr="00AE5045">
        <w:trPr>
          <w:trHeight w:val="278"/>
          <w:jc w:val="center"/>
        </w:trPr>
        <w:tc>
          <w:tcPr>
            <w:tcW w:w="1987"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species</w:t>
            </w:r>
          </w:p>
        </w:tc>
        <w:tc>
          <w:tcPr>
            <w:tcW w:w="982"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sex</w:t>
            </w:r>
          </w:p>
        </w:tc>
        <w:tc>
          <w:tcPr>
            <w:tcW w:w="833"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i/>
                <w:color w:val="000000"/>
                <w:lang w:val="en-GB" w:eastAsia="en-GB"/>
              </w:rPr>
            </w:pPr>
            <w:r w:rsidRPr="00AE5045">
              <w:rPr>
                <w:rFonts w:eastAsia="Times New Roman"/>
                <w:b/>
                <w:bCs/>
                <w:i/>
                <w:color w:val="000000"/>
                <w:lang w:val="en-GB" w:eastAsia="en-GB"/>
              </w:rPr>
              <w:t>R</w:t>
            </w:r>
          </w:p>
        </w:tc>
        <w:tc>
          <w:tcPr>
            <w:tcW w:w="1175"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i/>
                <w:color w:val="000000"/>
                <w:lang w:val="en-GB" w:eastAsia="en-GB"/>
              </w:rPr>
              <w:t>R</w:t>
            </w:r>
            <w:r w:rsidRPr="00AE5045">
              <w:rPr>
                <w:rFonts w:eastAsia="Times New Roman"/>
                <w:b/>
                <w:bCs/>
                <w:color w:val="000000"/>
                <w:vertAlign w:val="superscript"/>
                <w:lang w:val="en-GB" w:eastAsia="en-GB"/>
              </w:rPr>
              <w:t>2</w:t>
            </w:r>
          </w:p>
        </w:tc>
        <w:tc>
          <w:tcPr>
            <w:tcW w:w="1417"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 xml:space="preserve">adjusted </w:t>
            </w:r>
            <w:r w:rsidRPr="00AE5045">
              <w:rPr>
                <w:rFonts w:eastAsia="Times New Roman"/>
                <w:b/>
                <w:bCs/>
                <w:i/>
                <w:color w:val="000000"/>
                <w:lang w:val="en-GB" w:eastAsia="en-GB"/>
              </w:rPr>
              <w:t>R</w:t>
            </w:r>
            <w:r w:rsidRPr="00AE5045">
              <w:rPr>
                <w:rFonts w:eastAsia="Times New Roman"/>
                <w:b/>
                <w:bCs/>
                <w:color w:val="000000"/>
                <w:vertAlign w:val="superscript"/>
                <w:lang w:val="en-GB" w:eastAsia="en-GB"/>
              </w:rPr>
              <w:t>2</w:t>
            </w:r>
          </w:p>
        </w:tc>
        <w:tc>
          <w:tcPr>
            <w:tcW w:w="1651"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std. error of the estimate</w:t>
            </w:r>
          </w:p>
        </w:tc>
      </w:tr>
      <w:tr w:rsidR="00AE5045" w:rsidRPr="00AE5045" w:rsidTr="00AE5045">
        <w:trPr>
          <w:trHeight w:val="278"/>
          <w:jc w:val="center"/>
        </w:trPr>
        <w:tc>
          <w:tcPr>
            <w:tcW w:w="1987" w:type="dxa"/>
            <w:vMerge w:val="restart"/>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r w:rsidRPr="00AE5045">
              <w:rPr>
                <w:rFonts w:eastAsia="Times New Roman"/>
                <w:i/>
                <w:iCs/>
                <w:color w:val="000000"/>
                <w:lang w:val="en-GB" w:eastAsia="en-GB"/>
              </w:rPr>
              <w:t>Pan troglodytes</w:t>
            </w:r>
          </w:p>
        </w:tc>
        <w:tc>
          <w:tcPr>
            <w:tcW w:w="982"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males</w:t>
            </w:r>
          </w:p>
        </w:tc>
        <w:tc>
          <w:tcPr>
            <w:tcW w:w="833"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0.985</w:t>
            </w:r>
          </w:p>
        </w:tc>
        <w:tc>
          <w:tcPr>
            <w:tcW w:w="1175"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0.97</w:t>
            </w:r>
          </w:p>
        </w:tc>
        <w:tc>
          <w:tcPr>
            <w:tcW w:w="1417"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0.969</w:t>
            </w:r>
          </w:p>
        </w:tc>
        <w:tc>
          <w:tcPr>
            <w:tcW w:w="1651"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0.01557</w:t>
            </w:r>
          </w:p>
        </w:tc>
      </w:tr>
      <w:tr w:rsidR="00AE5045" w:rsidRPr="00AE5045" w:rsidTr="00AE5045">
        <w:trPr>
          <w:trHeight w:val="278"/>
          <w:jc w:val="center"/>
        </w:trPr>
        <w:tc>
          <w:tcPr>
            <w:tcW w:w="1987" w:type="dxa"/>
            <w:vMerge/>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p>
        </w:tc>
        <w:tc>
          <w:tcPr>
            <w:tcW w:w="982"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females</w:t>
            </w:r>
          </w:p>
        </w:tc>
        <w:tc>
          <w:tcPr>
            <w:tcW w:w="833"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0.991</w:t>
            </w:r>
          </w:p>
        </w:tc>
        <w:tc>
          <w:tcPr>
            <w:tcW w:w="1175"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0.983</w:t>
            </w:r>
          </w:p>
        </w:tc>
        <w:tc>
          <w:tcPr>
            <w:tcW w:w="1417"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0.983</w:t>
            </w:r>
          </w:p>
        </w:tc>
        <w:tc>
          <w:tcPr>
            <w:tcW w:w="1651"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0.0113</w:t>
            </w:r>
          </w:p>
        </w:tc>
      </w:tr>
      <w:tr w:rsidR="00AE5045" w:rsidRPr="00AE5045" w:rsidTr="00AE5045">
        <w:trPr>
          <w:trHeight w:val="278"/>
          <w:jc w:val="center"/>
        </w:trPr>
        <w:tc>
          <w:tcPr>
            <w:tcW w:w="1987"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r w:rsidRPr="00AE5045">
              <w:rPr>
                <w:rFonts w:eastAsia="Times New Roman"/>
                <w:i/>
                <w:iCs/>
                <w:color w:val="000000"/>
                <w:lang w:val="en-GB" w:eastAsia="en-GB"/>
              </w:rPr>
              <w:t>Pan paniscus</w:t>
            </w:r>
          </w:p>
        </w:tc>
        <w:tc>
          <w:tcPr>
            <w:tcW w:w="982"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males</w:t>
            </w:r>
          </w:p>
        </w:tc>
        <w:tc>
          <w:tcPr>
            <w:tcW w:w="833"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0.995</w:t>
            </w:r>
          </w:p>
        </w:tc>
        <w:tc>
          <w:tcPr>
            <w:tcW w:w="1175"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0.991</w:t>
            </w:r>
          </w:p>
        </w:tc>
        <w:tc>
          <w:tcPr>
            <w:tcW w:w="1417"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0.99</w:t>
            </w:r>
          </w:p>
        </w:tc>
        <w:tc>
          <w:tcPr>
            <w:tcW w:w="1651"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0.01071</w:t>
            </w:r>
          </w:p>
        </w:tc>
      </w:tr>
      <w:tr w:rsidR="00AE5045" w:rsidRPr="00AE5045" w:rsidTr="00AE5045">
        <w:trPr>
          <w:trHeight w:val="278"/>
          <w:jc w:val="center"/>
        </w:trPr>
        <w:tc>
          <w:tcPr>
            <w:tcW w:w="1987" w:type="dxa"/>
            <w:vMerge/>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p>
        </w:tc>
        <w:tc>
          <w:tcPr>
            <w:tcW w:w="982"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females</w:t>
            </w:r>
          </w:p>
        </w:tc>
        <w:tc>
          <w:tcPr>
            <w:tcW w:w="833"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0.995</w:t>
            </w:r>
          </w:p>
        </w:tc>
        <w:tc>
          <w:tcPr>
            <w:tcW w:w="1175"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0.99</w:t>
            </w:r>
          </w:p>
        </w:tc>
        <w:tc>
          <w:tcPr>
            <w:tcW w:w="1417"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0.988</w:t>
            </w:r>
          </w:p>
        </w:tc>
        <w:tc>
          <w:tcPr>
            <w:tcW w:w="1651"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0.00977</w:t>
            </w:r>
          </w:p>
        </w:tc>
      </w:tr>
    </w:tbl>
    <w:p w:rsidR="00AE5045" w:rsidRPr="00AE5045" w:rsidRDefault="00AE5045" w:rsidP="00AE5045">
      <w:pPr>
        <w:numPr>
          <w:ilvl w:val="1"/>
          <w:numId w:val="0"/>
        </w:numPr>
        <w:tabs>
          <w:tab w:val="left" w:pos="660"/>
          <w:tab w:val="right" w:leader="dot" w:pos="8471"/>
        </w:tabs>
        <w:spacing w:before="0" w:after="60" w:line="276" w:lineRule="auto"/>
        <w:ind w:right="289"/>
        <w:jc w:val="left"/>
        <w:rPr>
          <w:rFonts w:eastAsiaTheme="minorHAnsi"/>
          <w:noProof/>
          <w:color w:val="000000"/>
          <w:lang w:val="en-GB" w:eastAsia="en-GB"/>
        </w:rPr>
      </w:pPr>
      <w:r w:rsidRPr="00AE5045">
        <w:rPr>
          <w:rFonts w:eastAsiaTheme="minorHAnsi"/>
          <w:b/>
          <w:noProof/>
          <w:color w:val="000000"/>
          <w:lang w:val="en-GB" w:eastAsia="en-GB"/>
        </w:rPr>
        <w:t>Table 8.26</w:t>
      </w:r>
      <w:r w:rsidRPr="00AE5045">
        <w:rPr>
          <w:rFonts w:eastAsiaTheme="minorHAnsi"/>
          <w:noProof/>
          <w:color w:val="000000"/>
          <w:lang w:val="en-GB" w:eastAsia="en-GB"/>
        </w:rPr>
        <w:t xml:space="preserve"> </w:t>
      </w:r>
      <w:bookmarkStart w:id="3561" w:name="_Toc373177908"/>
      <w:bookmarkStart w:id="3562" w:name="_Toc373484447"/>
      <w:r w:rsidRPr="00AE5045">
        <w:rPr>
          <w:rFonts w:eastAsiaTheme="minorHAnsi"/>
          <w:noProof/>
          <w:color w:val="000000"/>
          <w:lang w:val="en-GB" w:eastAsia="en-GB"/>
        </w:rPr>
        <w:t xml:space="preserve">Linear regression ANOVA outputs for </w:t>
      </w:r>
      <w:r w:rsidRPr="00AE5045">
        <w:rPr>
          <w:rFonts w:eastAsiaTheme="minorHAnsi"/>
          <w:i/>
          <w:noProof/>
          <w:color w:val="000000"/>
          <w:lang w:val="en-GB" w:eastAsia="en-GB"/>
        </w:rPr>
        <w:t xml:space="preserve">Pan troglodytes </w:t>
      </w:r>
      <w:r w:rsidRPr="00AE5045">
        <w:rPr>
          <w:rFonts w:eastAsiaTheme="minorHAnsi"/>
          <w:noProof/>
          <w:color w:val="000000"/>
          <w:lang w:val="en-GB" w:eastAsia="en-GB"/>
        </w:rPr>
        <w:t xml:space="preserve">and </w:t>
      </w:r>
      <w:r w:rsidRPr="00AE5045">
        <w:rPr>
          <w:rFonts w:eastAsiaTheme="minorHAnsi"/>
          <w:i/>
          <w:noProof/>
          <w:color w:val="000000"/>
          <w:lang w:val="en-GB" w:eastAsia="en-GB"/>
        </w:rPr>
        <w:t xml:space="preserve">Pan paniscus </w:t>
      </w:r>
      <w:r w:rsidRPr="00AE5045">
        <w:rPr>
          <w:rFonts w:eastAsiaTheme="minorHAnsi"/>
          <w:noProof/>
          <w:color w:val="000000"/>
          <w:lang w:val="en-GB" w:eastAsia="en-GB"/>
        </w:rPr>
        <w:t>males and females.</w:t>
      </w:r>
      <w:bookmarkEnd w:id="3561"/>
      <w:bookmarkEnd w:id="3562"/>
    </w:p>
    <w:tbl>
      <w:tblPr>
        <w:tblW w:w="8677" w:type="dxa"/>
        <w:jc w:val="center"/>
        <w:tblInd w:w="5" w:type="dxa"/>
        <w:tblBorders>
          <w:top w:val="single" w:sz="4" w:space="0" w:color="auto"/>
          <w:bottom w:val="single" w:sz="4" w:space="0" w:color="auto"/>
        </w:tblBorders>
        <w:tblLook w:val="04A0" w:firstRow="1" w:lastRow="0" w:firstColumn="1" w:lastColumn="0" w:noHBand="0" w:noVBand="1"/>
      </w:tblPr>
      <w:tblGrid>
        <w:gridCol w:w="1628"/>
        <w:gridCol w:w="960"/>
        <w:gridCol w:w="1194"/>
        <w:gridCol w:w="974"/>
        <w:gridCol w:w="960"/>
        <w:gridCol w:w="960"/>
        <w:gridCol w:w="1041"/>
        <w:gridCol w:w="960"/>
      </w:tblGrid>
      <w:tr w:rsidR="00AE5045" w:rsidRPr="00AE5045" w:rsidTr="00AE5045">
        <w:trPr>
          <w:trHeight w:val="278"/>
          <w:jc w:val="center"/>
        </w:trPr>
        <w:tc>
          <w:tcPr>
            <w:tcW w:w="1628"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species</w:t>
            </w:r>
          </w:p>
        </w:tc>
        <w:tc>
          <w:tcPr>
            <w:tcW w:w="960"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sex</w:t>
            </w:r>
          </w:p>
        </w:tc>
        <w:tc>
          <w:tcPr>
            <w:tcW w:w="1194"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model</w:t>
            </w:r>
          </w:p>
        </w:tc>
        <w:tc>
          <w:tcPr>
            <w:tcW w:w="974"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sum of squares</w:t>
            </w:r>
          </w:p>
        </w:tc>
        <w:tc>
          <w:tcPr>
            <w:tcW w:w="960"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df</w:t>
            </w:r>
          </w:p>
        </w:tc>
        <w:tc>
          <w:tcPr>
            <w:tcW w:w="960"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mean square</w:t>
            </w:r>
          </w:p>
        </w:tc>
        <w:tc>
          <w:tcPr>
            <w:tcW w:w="1041"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i/>
                <w:color w:val="000000"/>
                <w:lang w:val="en-GB" w:eastAsia="en-GB"/>
              </w:rPr>
            </w:pPr>
            <w:r w:rsidRPr="00AE5045">
              <w:rPr>
                <w:rFonts w:eastAsia="Times New Roman"/>
                <w:b/>
                <w:bCs/>
                <w:i/>
                <w:color w:val="000000"/>
                <w:lang w:val="en-GB" w:eastAsia="en-GB"/>
              </w:rPr>
              <w:t>F</w:t>
            </w:r>
          </w:p>
        </w:tc>
        <w:tc>
          <w:tcPr>
            <w:tcW w:w="960"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sig.</w:t>
            </w:r>
          </w:p>
        </w:tc>
      </w:tr>
      <w:tr w:rsidR="00AE5045" w:rsidRPr="00AE5045" w:rsidTr="00AE5045">
        <w:trPr>
          <w:trHeight w:val="278"/>
          <w:jc w:val="center"/>
        </w:trPr>
        <w:tc>
          <w:tcPr>
            <w:tcW w:w="1628" w:type="dxa"/>
            <w:vMerge w:val="restart"/>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r w:rsidRPr="00AE5045">
              <w:rPr>
                <w:rFonts w:eastAsia="Times New Roman"/>
                <w:i/>
                <w:iCs/>
                <w:color w:val="000000"/>
                <w:lang w:val="en-GB" w:eastAsia="en-GB"/>
              </w:rPr>
              <w:t>Pan troglodytes</w:t>
            </w:r>
          </w:p>
        </w:tc>
        <w:tc>
          <w:tcPr>
            <w:tcW w:w="960" w:type="dxa"/>
            <w:vMerge w:val="restart"/>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males</w:t>
            </w:r>
          </w:p>
        </w:tc>
        <w:tc>
          <w:tcPr>
            <w:tcW w:w="1194"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regression</w:t>
            </w:r>
          </w:p>
        </w:tc>
        <w:tc>
          <w:tcPr>
            <w:tcW w:w="974"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0.353</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1</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0.353</w:t>
            </w:r>
          </w:p>
        </w:tc>
        <w:tc>
          <w:tcPr>
            <w:tcW w:w="1041"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1457.009</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0.000</w:t>
            </w:r>
          </w:p>
        </w:tc>
      </w:tr>
      <w:tr w:rsidR="00AE5045" w:rsidRPr="00AE5045" w:rsidTr="00AE5045">
        <w:trPr>
          <w:trHeight w:val="278"/>
          <w:jc w:val="center"/>
        </w:trPr>
        <w:tc>
          <w:tcPr>
            <w:tcW w:w="1628" w:type="dxa"/>
            <w:vMerge/>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p>
        </w:tc>
        <w:tc>
          <w:tcPr>
            <w:tcW w:w="960" w:type="dxa"/>
            <w:vMerge/>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94"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residual</w:t>
            </w:r>
          </w:p>
        </w:tc>
        <w:tc>
          <w:tcPr>
            <w:tcW w:w="974"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0.011</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45</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w:t>
            </w:r>
          </w:p>
        </w:tc>
        <w:tc>
          <w:tcPr>
            <w:tcW w:w="1041"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r>
      <w:tr w:rsidR="00AE5045" w:rsidRPr="00AE5045" w:rsidTr="00AE5045">
        <w:trPr>
          <w:trHeight w:val="278"/>
          <w:jc w:val="center"/>
        </w:trPr>
        <w:tc>
          <w:tcPr>
            <w:tcW w:w="1628" w:type="dxa"/>
            <w:vMerge/>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94"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total</w:t>
            </w:r>
          </w:p>
        </w:tc>
        <w:tc>
          <w:tcPr>
            <w:tcW w:w="974"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0.364</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46</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1041"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r>
      <w:tr w:rsidR="00AE5045" w:rsidRPr="00AE5045" w:rsidTr="00AE5045">
        <w:trPr>
          <w:trHeight w:val="278"/>
          <w:jc w:val="center"/>
        </w:trPr>
        <w:tc>
          <w:tcPr>
            <w:tcW w:w="1628" w:type="dxa"/>
            <w:vMerge/>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val="restart"/>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females</w:t>
            </w:r>
          </w:p>
        </w:tc>
        <w:tc>
          <w:tcPr>
            <w:tcW w:w="1194"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regression</w:t>
            </w:r>
          </w:p>
        </w:tc>
        <w:tc>
          <w:tcPr>
            <w:tcW w:w="974"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0.526</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1</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0.526</w:t>
            </w:r>
          </w:p>
        </w:tc>
        <w:tc>
          <w:tcPr>
            <w:tcW w:w="1041"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4120.634</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0.000</w:t>
            </w:r>
          </w:p>
        </w:tc>
      </w:tr>
      <w:tr w:rsidR="00AE5045" w:rsidRPr="00AE5045" w:rsidTr="00AE5045">
        <w:trPr>
          <w:trHeight w:val="278"/>
          <w:jc w:val="center"/>
        </w:trPr>
        <w:tc>
          <w:tcPr>
            <w:tcW w:w="1628" w:type="dxa"/>
            <w:vMerge/>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94"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residual</w:t>
            </w:r>
          </w:p>
        </w:tc>
        <w:tc>
          <w:tcPr>
            <w:tcW w:w="974"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0.009</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71</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w:t>
            </w:r>
          </w:p>
        </w:tc>
        <w:tc>
          <w:tcPr>
            <w:tcW w:w="1041"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r>
      <w:tr w:rsidR="00AE5045" w:rsidRPr="00AE5045" w:rsidTr="00AE5045">
        <w:trPr>
          <w:trHeight w:val="278"/>
          <w:jc w:val="center"/>
        </w:trPr>
        <w:tc>
          <w:tcPr>
            <w:tcW w:w="1628" w:type="dxa"/>
            <w:vMerge/>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94"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total</w:t>
            </w:r>
          </w:p>
        </w:tc>
        <w:tc>
          <w:tcPr>
            <w:tcW w:w="974"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0.536</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72</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1041"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r>
      <w:tr w:rsidR="00AE5045" w:rsidRPr="00AE5045" w:rsidTr="00AE5045">
        <w:trPr>
          <w:trHeight w:val="278"/>
          <w:jc w:val="center"/>
        </w:trPr>
        <w:tc>
          <w:tcPr>
            <w:tcW w:w="1628"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r w:rsidRPr="00AE5045">
              <w:rPr>
                <w:rFonts w:eastAsia="Times New Roman"/>
                <w:i/>
                <w:iCs/>
                <w:color w:val="000000"/>
                <w:lang w:val="en-GB" w:eastAsia="en-GB"/>
              </w:rPr>
              <w:t>Pan paniscus</w:t>
            </w:r>
          </w:p>
        </w:tc>
        <w:tc>
          <w:tcPr>
            <w:tcW w:w="960" w:type="dxa"/>
            <w:vMerge w:val="restart"/>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males</w:t>
            </w:r>
          </w:p>
        </w:tc>
        <w:tc>
          <w:tcPr>
            <w:tcW w:w="1194"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regression</w:t>
            </w:r>
          </w:p>
        </w:tc>
        <w:tc>
          <w:tcPr>
            <w:tcW w:w="974"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0.087</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1</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0.087</w:t>
            </w:r>
          </w:p>
        </w:tc>
        <w:tc>
          <w:tcPr>
            <w:tcW w:w="1041"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757.571</w:t>
            </w:r>
          </w:p>
        </w:tc>
        <w:tc>
          <w:tcPr>
            <w:tcW w:w="96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0.000</w:t>
            </w:r>
          </w:p>
        </w:tc>
      </w:tr>
      <w:tr w:rsidR="00AE5045" w:rsidRPr="00AE5045" w:rsidTr="00AE5045">
        <w:trPr>
          <w:trHeight w:val="278"/>
          <w:jc w:val="center"/>
        </w:trPr>
        <w:tc>
          <w:tcPr>
            <w:tcW w:w="1628"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94"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residual</w:t>
            </w:r>
          </w:p>
        </w:tc>
        <w:tc>
          <w:tcPr>
            <w:tcW w:w="974"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0.001</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7</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w:t>
            </w:r>
          </w:p>
        </w:tc>
        <w:tc>
          <w:tcPr>
            <w:tcW w:w="1041"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960" w:type="dxa"/>
            <w:tcBorders>
              <w:top w:val="nil"/>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r>
      <w:tr w:rsidR="00AE5045" w:rsidRPr="00AE5045" w:rsidTr="00AE5045">
        <w:trPr>
          <w:trHeight w:val="278"/>
          <w:jc w:val="center"/>
        </w:trPr>
        <w:tc>
          <w:tcPr>
            <w:tcW w:w="1628"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94"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total</w:t>
            </w:r>
          </w:p>
        </w:tc>
        <w:tc>
          <w:tcPr>
            <w:tcW w:w="974"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0.088</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8</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1041"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96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r>
      <w:tr w:rsidR="00AE5045" w:rsidRPr="00AE5045" w:rsidTr="00AE5045">
        <w:trPr>
          <w:trHeight w:val="278"/>
          <w:jc w:val="center"/>
        </w:trPr>
        <w:tc>
          <w:tcPr>
            <w:tcW w:w="1628"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females</w:t>
            </w:r>
          </w:p>
        </w:tc>
        <w:tc>
          <w:tcPr>
            <w:tcW w:w="1194"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regression</w:t>
            </w:r>
          </w:p>
        </w:tc>
        <w:tc>
          <w:tcPr>
            <w:tcW w:w="974"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0.048</w:t>
            </w:r>
          </w:p>
        </w:tc>
        <w:tc>
          <w:tcPr>
            <w:tcW w:w="960"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1</w:t>
            </w:r>
          </w:p>
        </w:tc>
        <w:tc>
          <w:tcPr>
            <w:tcW w:w="960"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0.048</w:t>
            </w:r>
          </w:p>
        </w:tc>
        <w:tc>
          <w:tcPr>
            <w:tcW w:w="1041"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499.006</w:t>
            </w:r>
          </w:p>
        </w:tc>
        <w:tc>
          <w:tcPr>
            <w:tcW w:w="960"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0.000</w:t>
            </w:r>
          </w:p>
        </w:tc>
      </w:tr>
      <w:tr w:rsidR="00AE5045" w:rsidRPr="00AE5045" w:rsidTr="00AE5045">
        <w:trPr>
          <w:trHeight w:val="278"/>
          <w:jc w:val="center"/>
        </w:trPr>
        <w:tc>
          <w:tcPr>
            <w:tcW w:w="1628"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residual</w:t>
            </w:r>
          </w:p>
        </w:tc>
        <w:tc>
          <w:tcPr>
            <w:tcW w:w="974"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w:t>
            </w:r>
          </w:p>
        </w:tc>
        <w:tc>
          <w:tcPr>
            <w:tcW w:w="960"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5</w:t>
            </w:r>
          </w:p>
        </w:tc>
        <w:tc>
          <w:tcPr>
            <w:tcW w:w="960"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w:t>
            </w:r>
          </w:p>
        </w:tc>
        <w:tc>
          <w:tcPr>
            <w:tcW w:w="1041"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960"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r>
      <w:tr w:rsidR="00AE5045" w:rsidRPr="00AE5045" w:rsidTr="00AE5045">
        <w:trPr>
          <w:trHeight w:val="278"/>
          <w:jc w:val="center"/>
        </w:trPr>
        <w:tc>
          <w:tcPr>
            <w:tcW w:w="1628"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60"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total</w:t>
            </w:r>
          </w:p>
        </w:tc>
        <w:tc>
          <w:tcPr>
            <w:tcW w:w="974"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0.048</w:t>
            </w:r>
          </w:p>
        </w:tc>
        <w:tc>
          <w:tcPr>
            <w:tcW w:w="960"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6</w:t>
            </w:r>
          </w:p>
        </w:tc>
        <w:tc>
          <w:tcPr>
            <w:tcW w:w="960"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1041"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960"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r>
    </w:tbl>
    <w:p w:rsidR="00AE5045" w:rsidRPr="00AE5045" w:rsidRDefault="00AE5045" w:rsidP="00AE5045">
      <w:pPr>
        <w:numPr>
          <w:ilvl w:val="1"/>
          <w:numId w:val="0"/>
        </w:numPr>
        <w:tabs>
          <w:tab w:val="left" w:pos="660"/>
          <w:tab w:val="right" w:leader="dot" w:pos="8471"/>
        </w:tabs>
        <w:spacing w:before="0" w:after="60" w:line="276" w:lineRule="auto"/>
        <w:ind w:right="289"/>
        <w:jc w:val="left"/>
        <w:rPr>
          <w:rFonts w:eastAsiaTheme="minorHAnsi"/>
          <w:noProof/>
          <w:color w:val="000000"/>
          <w:lang w:val="en-GB" w:eastAsia="en-GB"/>
        </w:rPr>
      </w:pPr>
      <w:r w:rsidRPr="00AE5045">
        <w:rPr>
          <w:rFonts w:eastAsiaTheme="minorHAnsi"/>
          <w:b/>
          <w:noProof/>
          <w:color w:val="000000"/>
          <w:lang w:val="en-GB" w:eastAsia="en-GB"/>
        </w:rPr>
        <w:t>Table 8.27</w:t>
      </w:r>
      <w:r w:rsidRPr="00AE5045">
        <w:rPr>
          <w:rFonts w:eastAsiaTheme="minorHAnsi"/>
          <w:noProof/>
          <w:color w:val="000000"/>
          <w:lang w:val="en-GB" w:eastAsia="en-GB"/>
        </w:rPr>
        <w:t xml:space="preserve"> </w:t>
      </w:r>
      <w:bookmarkStart w:id="3563" w:name="_Toc373177909"/>
      <w:bookmarkStart w:id="3564" w:name="_Toc373484448"/>
      <w:r w:rsidRPr="00AE5045">
        <w:rPr>
          <w:rFonts w:eastAsiaTheme="minorHAnsi"/>
          <w:noProof/>
          <w:color w:val="000000"/>
          <w:lang w:val="en-GB" w:eastAsia="en-GB"/>
        </w:rPr>
        <w:t xml:space="preserve">Coefficients for linear regression analysis comparison with Shea (1981) for </w:t>
      </w:r>
      <w:r w:rsidRPr="00AE5045">
        <w:rPr>
          <w:rFonts w:eastAsiaTheme="minorHAnsi"/>
          <w:i/>
          <w:noProof/>
          <w:color w:val="000000"/>
          <w:lang w:val="en-GB" w:eastAsia="en-GB"/>
        </w:rPr>
        <w:t>Pan troglodytes</w:t>
      </w:r>
      <w:r w:rsidRPr="00AE5045">
        <w:rPr>
          <w:rFonts w:eastAsiaTheme="minorHAnsi"/>
          <w:noProof/>
          <w:color w:val="000000"/>
          <w:lang w:val="en-GB" w:eastAsia="en-GB"/>
        </w:rPr>
        <w:t xml:space="preserve"> and </w:t>
      </w:r>
      <w:r w:rsidRPr="00AE5045">
        <w:rPr>
          <w:rFonts w:eastAsiaTheme="minorHAnsi"/>
          <w:i/>
          <w:noProof/>
          <w:color w:val="000000"/>
          <w:lang w:val="en-GB" w:eastAsia="en-GB"/>
        </w:rPr>
        <w:t>Pan paniscus</w:t>
      </w:r>
      <w:r w:rsidRPr="00AE5045">
        <w:rPr>
          <w:rFonts w:eastAsiaTheme="minorHAnsi"/>
          <w:noProof/>
          <w:color w:val="000000"/>
          <w:lang w:val="en-GB" w:eastAsia="en-GB"/>
        </w:rPr>
        <w:t xml:space="preserve"> males and females.</w:t>
      </w:r>
      <w:bookmarkEnd w:id="3563"/>
      <w:bookmarkEnd w:id="3564"/>
    </w:p>
    <w:tbl>
      <w:tblPr>
        <w:tblW w:w="8604" w:type="dxa"/>
        <w:tblInd w:w="93" w:type="dxa"/>
        <w:tblBorders>
          <w:top w:val="single" w:sz="4" w:space="0" w:color="auto"/>
          <w:bottom w:val="single" w:sz="4" w:space="0" w:color="auto"/>
        </w:tblBorders>
        <w:tblLook w:val="04A0" w:firstRow="1" w:lastRow="0" w:firstColumn="1" w:lastColumn="0" w:noHBand="0" w:noVBand="1"/>
      </w:tblPr>
      <w:tblGrid>
        <w:gridCol w:w="1715"/>
        <w:gridCol w:w="990"/>
        <w:gridCol w:w="1183"/>
        <w:gridCol w:w="937"/>
        <w:gridCol w:w="1550"/>
        <w:gridCol w:w="821"/>
        <w:gridCol w:w="1408"/>
      </w:tblGrid>
      <w:tr w:rsidR="00AE5045" w:rsidRPr="00AE5045" w:rsidTr="00AE5045">
        <w:trPr>
          <w:trHeight w:val="283"/>
        </w:trPr>
        <w:tc>
          <w:tcPr>
            <w:tcW w:w="1715"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ascii="Calibri" w:eastAsia="Times New Roman" w:hAnsi="Calibri"/>
                <w:b/>
                <w:bCs/>
                <w:color w:val="000000"/>
                <w:lang w:val="en-GB" w:eastAsia="en-GB"/>
              </w:rPr>
            </w:pPr>
            <w:r w:rsidRPr="00AE5045">
              <w:rPr>
                <w:rFonts w:ascii="Calibri" w:eastAsia="Times New Roman" w:hAnsi="Calibri"/>
                <w:b/>
                <w:bCs/>
                <w:color w:val="000000"/>
                <w:lang w:val="en-GB" w:eastAsia="en-GB"/>
              </w:rPr>
              <w:t> </w:t>
            </w:r>
            <w:r w:rsidRPr="00AE5045">
              <w:rPr>
                <w:rFonts w:eastAsia="Times New Roman"/>
                <w:b/>
                <w:bCs/>
                <w:color w:val="000000"/>
                <w:lang w:val="en-GB" w:eastAsia="en-GB"/>
              </w:rPr>
              <w:t>species</w:t>
            </w:r>
          </w:p>
        </w:tc>
        <w:tc>
          <w:tcPr>
            <w:tcW w:w="990"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sex</w:t>
            </w:r>
          </w:p>
        </w:tc>
        <w:tc>
          <w:tcPr>
            <w:tcW w:w="2120" w:type="dxa"/>
            <w:gridSpan w:val="2"/>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unstandardized coefficients</w:t>
            </w:r>
          </w:p>
        </w:tc>
        <w:tc>
          <w:tcPr>
            <w:tcW w:w="1550"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standardized coefficients</w:t>
            </w:r>
          </w:p>
        </w:tc>
        <w:tc>
          <w:tcPr>
            <w:tcW w:w="821"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 t</w:t>
            </w:r>
          </w:p>
        </w:tc>
        <w:tc>
          <w:tcPr>
            <w:tcW w:w="1408"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 significance</w:t>
            </w:r>
          </w:p>
        </w:tc>
      </w:tr>
      <w:tr w:rsidR="00AE5045" w:rsidRPr="00AE5045" w:rsidTr="00AE5045">
        <w:trPr>
          <w:trHeight w:val="283"/>
        </w:trPr>
        <w:tc>
          <w:tcPr>
            <w:tcW w:w="1715" w:type="dxa"/>
            <w:vMerge/>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p>
        </w:tc>
        <w:tc>
          <w:tcPr>
            <w:tcW w:w="990" w:type="dxa"/>
            <w:vMerge/>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p>
        </w:tc>
        <w:tc>
          <w:tcPr>
            <w:tcW w:w="1183"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i/>
                <w:color w:val="000000"/>
                <w:lang w:val="en-GB" w:eastAsia="en-GB"/>
              </w:rPr>
            </w:pPr>
            <w:r w:rsidRPr="00AE5045">
              <w:rPr>
                <w:rFonts w:eastAsia="Times New Roman"/>
                <w:b/>
                <w:bCs/>
                <w:i/>
                <w:color w:val="000000"/>
                <w:lang w:val="en-GB" w:eastAsia="en-GB"/>
              </w:rPr>
              <w:t>B</w:t>
            </w:r>
          </w:p>
        </w:tc>
        <w:tc>
          <w:tcPr>
            <w:tcW w:w="937"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std. error</w:t>
            </w:r>
          </w:p>
        </w:tc>
        <w:tc>
          <w:tcPr>
            <w:tcW w:w="1550" w:type="dxa"/>
            <w:tcBorders>
              <w:top w:val="single" w:sz="4" w:space="0" w:color="auto"/>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r w:rsidRPr="00AE5045">
              <w:rPr>
                <w:rFonts w:eastAsia="Times New Roman"/>
                <w:b/>
                <w:bCs/>
                <w:color w:val="000000"/>
                <w:lang w:val="en-GB" w:eastAsia="en-GB"/>
              </w:rPr>
              <w:t>Beta</w:t>
            </w:r>
          </w:p>
        </w:tc>
        <w:tc>
          <w:tcPr>
            <w:tcW w:w="821" w:type="dxa"/>
            <w:vMerge/>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p>
        </w:tc>
        <w:tc>
          <w:tcPr>
            <w:tcW w:w="1408" w:type="dxa"/>
            <w:vMerge/>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b/>
                <w:bCs/>
                <w:color w:val="000000"/>
                <w:lang w:val="en-GB" w:eastAsia="en-GB"/>
              </w:rPr>
            </w:pPr>
          </w:p>
        </w:tc>
      </w:tr>
      <w:tr w:rsidR="00AE5045" w:rsidRPr="00AE5045" w:rsidTr="00AE5045">
        <w:trPr>
          <w:trHeight w:val="283"/>
        </w:trPr>
        <w:tc>
          <w:tcPr>
            <w:tcW w:w="1715"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r w:rsidRPr="00AE5045">
              <w:rPr>
                <w:rFonts w:eastAsia="Times New Roman"/>
                <w:i/>
                <w:iCs/>
                <w:color w:val="000000"/>
                <w:lang w:val="en-GB" w:eastAsia="en-GB"/>
              </w:rPr>
              <w:t>Pan troglodytes</w:t>
            </w:r>
          </w:p>
        </w:tc>
        <w:tc>
          <w:tcPr>
            <w:tcW w:w="990" w:type="dxa"/>
            <w:vMerge w:val="restart"/>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males</w:t>
            </w:r>
          </w:p>
        </w:tc>
        <w:tc>
          <w:tcPr>
            <w:tcW w:w="1183"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0.215(</w:t>
            </w:r>
            <w:r w:rsidRPr="00AE5045">
              <w:rPr>
                <w:rFonts w:eastAsiaTheme="minorHAnsi"/>
                <w:i/>
                <w:lang w:val="en-GB"/>
              </w:rPr>
              <w:t>B</w:t>
            </w:r>
            <w:r w:rsidRPr="00AE5045">
              <w:rPr>
                <w:rFonts w:eastAsiaTheme="minorHAnsi"/>
                <w:vertAlign w:val="subscript"/>
                <w:lang w:val="en-GB"/>
              </w:rPr>
              <w:t>1</w:t>
            </w:r>
            <w:r w:rsidRPr="00AE5045">
              <w:rPr>
                <w:rFonts w:eastAsiaTheme="minorHAnsi"/>
                <w:lang w:val="en-GB"/>
              </w:rPr>
              <w:t>)</w:t>
            </w:r>
          </w:p>
        </w:tc>
        <w:tc>
          <w:tcPr>
            <w:tcW w:w="937"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0.064</w:t>
            </w:r>
          </w:p>
        </w:tc>
        <w:tc>
          <w:tcPr>
            <w:tcW w:w="1550"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821"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3.38</w:t>
            </w:r>
          </w:p>
        </w:tc>
        <w:tc>
          <w:tcPr>
            <w:tcW w:w="1408" w:type="dxa"/>
            <w:tcBorders>
              <w:top w:val="single" w:sz="4" w:space="0" w:color="auto"/>
              <w:bottom w:val="nil"/>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0.002</w:t>
            </w:r>
          </w:p>
        </w:tc>
      </w:tr>
      <w:tr w:rsidR="00AE5045" w:rsidRPr="00AE5045" w:rsidTr="00AE5045">
        <w:trPr>
          <w:trHeight w:val="283"/>
        </w:trPr>
        <w:tc>
          <w:tcPr>
            <w:tcW w:w="1715" w:type="dxa"/>
            <w:vMerge/>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p>
        </w:tc>
        <w:tc>
          <w:tcPr>
            <w:tcW w:w="990" w:type="dxa"/>
            <w:vMerge/>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83"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0.926(</w:t>
            </w:r>
            <w:r w:rsidRPr="00AE5045">
              <w:rPr>
                <w:rFonts w:eastAsia="Times New Roman"/>
                <w:i/>
                <w:color w:val="000000"/>
                <w:lang w:val="en-GB" w:eastAsia="en-GB"/>
              </w:rPr>
              <w:t>B</w:t>
            </w:r>
            <w:r w:rsidRPr="00AE5045">
              <w:rPr>
                <w:rFonts w:eastAsia="Times New Roman"/>
                <w:color w:val="000000"/>
                <w:vertAlign w:val="subscript"/>
                <w:lang w:val="en-GB" w:eastAsia="en-GB"/>
              </w:rPr>
              <w:t>2</w:t>
            </w:r>
            <w:r w:rsidRPr="00AE5045">
              <w:rPr>
                <w:rFonts w:eastAsia="Times New Roman"/>
                <w:color w:val="000000"/>
                <w:lang w:val="en-GB" w:eastAsia="en-GB"/>
              </w:rPr>
              <w:t>)</w:t>
            </w:r>
          </w:p>
        </w:tc>
        <w:tc>
          <w:tcPr>
            <w:tcW w:w="937"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0.024</w:t>
            </w:r>
          </w:p>
        </w:tc>
        <w:tc>
          <w:tcPr>
            <w:tcW w:w="1550"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0.985</w:t>
            </w:r>
          </w:p>
        </w:tc>
        <w:tc>
          <w:tcPr>
            <w:tcW w:w="821"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38.171</w:t>
            </w:r>
          </w:p>
        </w:tc>
        <w:tc>
          <w:tcPr>
            <w:tcW w:w="1408" w:type="dxa"/>
            <w:tcBorders>
              <w:top w:val="nil"/>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0.000</w:t>
            </w:r>
          </w:p>
        </w:tc>
      </w:tr>
      <w:tr w:rsidR="00AE5045" w:rsidRPr="00AE5045" w:rsidTr="00AE5045">
        <w:trPr>
          <w:trHeight w:val="283"/>
        </w:trPr>
        <w:tc>
          <w:tcPr>
            <w:tcW w:w="1715" w:type="dxa"/>
            <w:vMerge/>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p>
        </w:tc>
        <w:tc>
          <w:tcPr>
            <w:tcW w:w="990"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females</w:t>
            </w:r>
          </w:p>
        </w:tc>
        <w:tc>
          <w:tcPr>
            <w:tcW w:w="1183"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0.022(</w:t>
            </w:r>
            <w:r w:rsidRPr="00AE5045">
              <w:rPr>
                <w:rFonts w:eastAsiaTheme="minorHAnsi"/>
                <w:i/>
                <w:lang w:val="en-GB"/>
              </w:rPr>
              <w:t>B</w:t>
            </w:r>
            <w:r w:rsidRPr="00AE5045">
              <w:rPr>
                <w:rFonts w:eastAsiaTheme="minorHAnsi"/>
                <w:vertAlign w:val="subscript"/>
                <w:lang w:val="en-GB"/>
              </w:rPr>
              <w:t>1</w:t>
            </w:r>
            <w:r w:rsidRPr="00AE5045">
              <w:rPr>
                <w:rFonts w:eastAsiaTheme="minorHAnsi"/>
                <w:lang w:val="en-GB"/>
              </w:rPr>
              <w:t>)</w:t>
            </w:r>
          </w:p>
        </w:tc>
        <w:tc>
          <w:tcPr>
            <w:tcW w:w="937"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0.042</w:t>
            </w:r>
          </w:p>
        </w:tc>
        <w:tc>
          <w:tcPr>
            <w:tcW w:w="1550"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821"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0.524</w:t>
            </w:r>
          </w:p>
        </w:tc>
        <w:tc>
          <w:tcPr>
            <w:tcW w:w="1408"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0.602</w:t>
            </w:r>
          </w:p>
        </w:tc>
      </w:tr>
      <w:tr w:rsidR="00AE5045" w:rsidRPr="00AE5045" w:rsidTr="00AE5045">
        <w:trPr>
          <w:trHeight w:val="283"/>
        </w:trPr>
        <w:tc>
          <w:tcPr>
            <w:tcW w:w="1715" w:type="dxa"/>
            <w:vMerge/>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p>
        </w:tc>
        <w:tc>
          <w:tcPr>
            <w:tcW w:w="990" w:type="dxa"/>
            <w:vMerge/>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83"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1(</w:t>
            </w:r>
            <w:r w:rsidRPr="00AE5045">
              <w:rPr>
                <w:rFonts w:eastAsia="Times New Roman"/>
                <w:i/>
                <w:color w:val="000000"/>
                <w:lang w:val="en-GB" w:eastAsia="en-GB"/>
              </w:rPr>
              <w:t>B</w:t>
            </w:r>
            <w:r w:rsidRPr="00AE5045">
              <w:rPr>
                <w:rFonts w:eastAsia="Times New Roman"/>
                <w:color w:val="000000"/>
                <w:vertAlign w:val="subscript"/>
                <w:lang w:val="en-GB" w:eastAsia="en-GB"/>
              </w:rPr>
              <w:t>2</w:t>
            </w:r>
            <w:r w:rsidRPr="00AE5045">
              <w:rPr>
                <w:rFonts w:eastAsia="Times New Roman"/>
                <w:color w:val="000000"/>
                <w:lang w:val="en-GB" w:eastAsia="en-GB"/>
              </w:rPr>
              <w:t>)</w:t>
            </w:r>
          </w:p>
        </w:tc>
        <w:tc>
          <w:tcPr>
            <w:tcW w:w="937"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0.016</w:t>
            </w:r>
          </w:p>
        </w:tc>
        <w:tc>
          <w:tcPr>
            <w:tcW w:w="1550"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0.991</w:t>
            </w:r>
          </w:p>
        </w:tc>
        <w:tc>
          <w:tcPr>
            <w:tcW w:w="821"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64.192</w:t>
            </w:r>
          </w:p>
        </w:tc>
        <w:tc>
          <w:tcPr>
            <w:tcW w:w="1408"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0.000</w:t>
            </w:r>
          </w:p>
        </w:tc>
      </w:tr>
      <w:tr w:rsidR="00AE5045" w:rsidRPr="00AE5045" w:rsidTr="00AE5045">
        <w:trPr>
          <w:trHeight w:val="283"/>
        </w:trPr>
        <w:tc>
          <w:tcPr>
            <w:tcW w:w="1715"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i/>
                <w:iCs/>
                <w:color w:val="000000"/>
                <w:lang w:val="en-GB" w:eastAsia="en-GB"/>
              </w:rPr>
            </w:pPr>
            <w:r w:rsidRPr="00AE5045">
              <w:rPr>
                <w:rFonts w:eastAsia="Times New Roman"/>
                <w:i/>
                <w:iCs/>
                <w:color w:val="000000"/>
                <w:lang w:val="en-GB" w:eastAsia="en-GB"/>
              </w:rPr>
              <w:t>Pan paniscus</w:t>
            </w:r>
          </w:p>
        </w:tc>
        <w:tc>
          <w:tcPr>
            <w:tcW w:w="990"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males </w:t>
            </w:r>
          </w:p>
        </w:tc>
        <w:tc>
          <w:tcPr>
            <w:tcW w:w="1183"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0.042</w:t>
            </w:r>
            <w:r w:rsidRPr="00AE5045">
              <w:rPr>
                <w:rFonts w:eastAsia="Times New Roman"/>
                <w:color w:val="000000"/>
                <w:lang w:val="en-GB" w:eastAsia="en-GB"/>
              </w:rPr>
              <w:t>(</w:t>
            </w:r>
            <w:r w:rsidRPr="00AE5045">
              <w:rPr>
                <w:rFonts w:eastAsiaTheme="minorHAnsi"/>
                <w:i/>
                <w:lang w:val="en-GB"/>
              </w:rPr>
              <w:t>B</w:t>
            </w:r>
            <w:r w:rsidRPr="00AE5045">
              <w:rPr>
                <w:rFonts w:eastAsiaTheme="minorHAnsi"/>
                <w:vertAlign w:val="subscript"/>
                <w:lang w:val="en-GB"/>
              </w:rPr>
              <w:t>1</w:t>
            </w:r>
            <w:r w:rsidRPr="00AE5045">
              <w:rPr>
                <w:rFonts w:eastAsiaTheme="minorHAnsi"/>
                <w:lang w:val="en-GB"/>
              </w:rPr>
              <w:t>)</w:t>
            </w:r>
          </w:p>
        </w:tc>
        <w:tc>
          <w:tcPr>
            <w:tcW w:w="937"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0.096</w:t>
            </w:r>
          </w:p>
        </w:tc>
        <w:tc>
          <w:tcPr>
            <w:tcW w:w="1550"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 </w:t>
            </w:r>
          </w:p>
        </w:tc>
        <w:tc>
          <w:tcPr>
            <w:tcW w:w="821"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0.436</w:t>
            </w:r>
          </w:p>
        </w:tc>
        <w:tc>
          <w:tcPr>
            <w:tcW w:w="1408"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0.676</w:t>
            </w:r>
          </w:p>
        </w:tc>
      </w:tr>
      <w:tr w:rsidR="00AE5045" w:rsidRPr="00AE5045" w:rsidTr="00AE5045">
        <w:trPr>
          <w:trHeight w:val="283"/>
        </w:trPr>
        <w:tc>
          <w:tcPr>
            <w:tcW w:w="1715"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90" w:type="dxa"/>
            <w:vMerge/>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83"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0.988</w:t>
            </w:r>
            <w:r w:rsidRPr="00AE5045">
              <w:rPr>
                <w:rFonts w:eastAsia="Times New Roman"/>
                <w:color w:val="000000"/>
                <w:lang w:val="en-GB" w:eastAsia="en-GB"/>
              </w:rPr>
              <w:t>(</w:t>
            </w:r>
            <w:r w:rsidRPr="00AE5045">
              <w:rPr>
                <w:rFonts w:eastAsia="Times New Roman"/>
                <w:i/>
                <w:color w:val="000000"/>
                <w:lang w:val="en-GB" w:eastAsia="en-GB"/>
              </w:rPr>
              <w:t>B</w:t>
            </w:r>
            <w:r w:rsidRPr="00AE5045">
              <w:rPr>
                <w:rFonts w:eastAsia="Times New Roman"/>
                <w:color w:val="000000"/>
                <w:vertAlign w:val="subscript"/>
                <w:lang w:val="en-GB" w:eastAsia="en-GB"/>
              </w:rPr>
              <w:t>2</w:t>
            </w:r>
            <w:r w:rsidRPr="00AE5045">
              <w:rPr>
                <w:rFonts w:eastAsia="Times New Roman"/>
                <w:color w:val="000000"/>
                <w:lang w:val="en-GB" w:eastAsia="en-GB"/>
              </w:rPr>
              <w:t>)</w:t>
            </w:r>
          </w:p>
        </w:tc>
        <w:tc>
          <w:tcPr>
            <w:tcW w:w="937"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0.036</w:t>
            </w:r>
          </w:p>
        </w:tc>
        <w:tc>
          <w:tcPr>
            <w:tcW w:w="1550"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0.995</w:t>
            </w:r>
          </w:p>
        </w:tc>
        <w:tc>
          <w:tcPr>
            <w:tcW w:w="821"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27.524</w:t>
            </w:r>
          </w:p>
        </w:tc>
        <w:tc>
          <w:tcPr>
            <w:tcW w:w="1408" w:type="dxa"/>
            <w:tcBorders>
              <w:bottom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themeColor="text1"/>
                <w:lang w:val="en-GB" w:eastAsia="en-GB"/>
              </w:rPr>
              <w:t>0.000</w:t>
            </w:r>
          </w:p>
        </w:tc>
      </w:tr>
      <w:tr w:rsidR="00AE5045" w:rsidRPr="00AE5045" w:rsidTr="00AE5045">
        <w:trPr>
          <w:trHeight w:val="283"/>
        </w:trPr>
        <w:tc>
          <w:tcPr>
            <w:tcW w:w="1715"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90" w:type="dxa"/>
            <w:vMerge w:val="restart"/>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females</w:t>
            </w:r>
          </w:p>
        </w:tc>
        <w:tc>
          <w:tcPr>
            <w:tcW w:w="1183"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0.303(</w:t>
            </w:r>
            <w:r w:rsidRPr="00AE5045">
              <w:rPr>
                <w:rFonts w:eastAsiaTheme="minorHAnsi"/>
                <w:i/>
                <w:lang w:val="en-GB"/>
              </w:rPr>
              <w:t>B</w:t>
            </w:r>
            <w:r w:rsidRPr="00AE5045">
              <w:rPr>
                <w:rFonts w:eastAsiaTheme="minorHAnsi"/>
                <w:vertAlign w:val="subscript"/>
                <w:lang w:val="en-GB"/>
              </w:rPr>
              <w:t>1</w:t>
            </w:r>
            <w:r w:rsidRPr="00AE5045">
              <w:rPr>
                <w:rFonts w:eastAsiaTheme="minorHAnsi"/>
                <w:lang w:val="en-GB"/>
              </w:rPr>
              <w:t>)</w:t>
            </w:r>
          </w:p>
        </w:tc>
        <w:tc>
          <w:tcPr>
            <w:tcW w:w="937"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0.105</w:t>
            </w:r>
          </w:p>
        </w:tc>
        <w:tc>
          <w:tcPr>
            <w:tcW w:w="1550"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 </w:t>
            </w:r>
          </w:p>
        </w:tc>
        <w:tc>
          <w:tcPr>
            <w:tcW w:w="821"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2.881</w:t>
            </w:r>
          </w:p>
        </w:tc>
        <w:tc>
          <w:tcPr>
            <w:tcW w:w="1408" w:type="dxa"/>
            <w:tcBorders>
              <w:top w:val="single" w:sz="4" w:space="0" w:color="auto"/>
            </w:tcBorders>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0.035</w:t>
            </w:r>
          </w:p>
        </w:tc>
      </w:tr>
      <w:tr w:rsidR="00AE5045" w:rsidRPr="00AE5045" w:rsidTr="00AE5045">
        <w:trPr>
          <w:trHeight w:val="283"/>
        </w:trPr>
        <w:tc>
          <w:tcPr>
            <w:tcW w:w="1715"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990" w:type="dxa"/>
            <w:vMerge/>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p>
        </w:tc>
        <w:tc>
          <w:tcPr>
            <w:tcW w:w="1183"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0.889(</w:t>
            </w:r>
            <w:r w:rsidRPr="00AE5045">
              <w:rPr>
                <w:rFonts w:eastAsia="Times New Roman"/>
                <w:i/>
                <w:color w:val="000000"/>
                <w:lang w:val="en-GB" w:eastAsia="en-GB"/>
              </w:rPr>
              <w:t>B</w:t>
            </w:r>
            <w:r w:rsidRPr="00AE5045">
              <w:rPr>
                <w:rFonts w:eastAsia="Times New Roman"/>
                <w:color w:val="000000"/>
                <w:vertAlign w:val="subscript"/>
                <w:lang w:val="en-GB" w:eastAsia="en-GB"/>
              </w:rPr>
              <w:t>2</w:t>
            </w:r>
            <w:r w:rsidRPr="00AE5045">
              <w:rPr>
                <w:rFonts w:eastAsia="Times New Roman"/>
                <w:color w:val="000000"/>
                <w:lang w:val="en-GB" w:eastAsia="en-GB"/>
              </w:rPr>
              <w:t>)</w:t>
            </w:r>
          </w:p>
        </w:tc>
        <w:tc>
          <w:tcPr>
            <w:tcW w:w="937"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0.04</w:t>
            </w:r>
          </w:p>
        </w:tc>
        <w:tc>
          <w:tcPr>
            <w:tcW w:w="1550"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0.995</w:t>
            </w:r>
          </w:p>
        </w:tc>
        <w:tc>
          <w:tcPr>
            <w:tcW w:w="821"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22.338</w:t>
            </w:r>
          </w:p>
        </w:tc>
        <w:tc>
          <w:tcPr>
            <w:tcW w:w="1408" w:type="dxa"/>
            <w:shd w:val="clear" w:color="auto" w:fill="auto"/>
            <w:noWrap/>
            <w:vAlign w:val="center"/>
            <w:hideMark/>
          </w:tcPr>
          <w:p w:rsidR="00AE5045" w:rsidRPr="00AE5045" w:rsidRDefault="00AE5045" w:rsidP="00AE5045">
            <w:pPr>
              <w:spacing w:before="0" w:line="240" w:lineRule="auto"/>
              <w:jc w:val="center"/>
              <w:rPr>
                <w:rFonts w:eastAsia="Times New Roman"/>
                <w:color w:val="000000"/>
                <w:lang w:val="en-GB" w:eastAsia="en-GB"/>
              </w:rPr>
            </w:pPr>
            <w:r w:rsidRPr="00AE5045">
              <w:rPr>
                <w:rFonts w:eastAsia="Times New Roman"/>
                <w:color w:val="000000"/>
                <w:lang w:val="en-GB" w:eastAsia="en-GB"/>
              </w:rPr>
              <w:t>0.000</w:t>
            </w:r>
          </w:p>
        </w:tc>
      </w:tr>
    </w:tbl>
    <w:p w:rsidR="00AE5045" w:rsidRPr="00AE5045" w:rsidRDefault="00AE5045" w:rsidP="00AE5045">
      <w:pPr>
        <w:spacing w:before="0" w:after="200" w:line="276" w:lineRule="auto"/>
        <w:jc w:val="left"/>
        <w:rPr>
          <w:rFonts w:eastAsiaTheme="minorHAnsi"/>
          <w:lang w:val="en-GB"/>
        </w:rPr>
      </w:pPr>
      <w:r w:rsidRPr="00AE5045">
        <w:rPr>
          <w:rFonts w:eastAsiaTheme="minorHAnsi"/>
          <w:lang w:val="en-GB"/>
        </w:rPr>
        <w:t>Note: B</w:t>
      </w:r>
      <w:r w:rsidRPr="00AE5045">
        <w:rPr>
          <w:rFonts w:eastAsiaTheme="minorHAnsi"/>
          <w:vertAlign w:val="subscript"/>
          <w:lang w:val="en-GB"/>
        </w:rPr>
        <w:t>1</w:t>
      </w:r>
      <w:r w:rsidRPr="00AE5045">
        <w:rPr>
          <w:rFonts w:eastAsiaTheme="minorHAnsi"/>
          <w:lang w:val="en-GB"/>
        </w:rPr>
        <w:t xml:space="preserve"> is the y intercept and B</w:t>
      </w:r>
      <w:r w:rsidRPr="00AE5045">
        <w:rPr>
          <w:rFonts w:eastAsiaTheme="minorHAnsi"/>
          <w:vertAlign w:val="subscript"/>
          <w:lang w:val="en-GB"/>
        </w:rPr>
        <w:t xml:space="preserve">2 </w:t>
      </w:r>
      <w:r w:rsidRPr="00AE5045">
        <w:rPr>
          <w:rFonts w:eastAsiaTheme="minorHAnsi"/>
          <w:lang w:val="en-GB"/>
        </w:rPr>
        <w:t>the slope for the regression equation.</w:t>
      </w:r>
    </w:p>
    <w:p w:rsidR="00002F11" w:rsidRDefault="00A37842" w:rsidP="004828B2">
      <w:pPr>
        <w:rPr>
          <w:b/>
          <w:i/>
        </w:rPr>
      </w:pPr>
      <w:r w:rsidRPr="00A37842">
        <w:rPr>
          <w:b/>
          <w:i/>
        </w:rPr>
        <w:lastRenderedPageBreak/>
        <w:t>8.7</w:t>
      </w:r>
      <w:r w:rsidRPr="00A37842">
        <w:rPr>
          <w:b/>
          <w:i/>
        </w:rPr>
        <w:tab/>
        <w:t xml:space="preserve">Regression of serially homologous limb elements in </w:t>
      </w:r>
      <w:r w:rsidRPr="0097247E">
        <w:rPr>
          <w:b/>
        </w:rPr>
        <w:t xml:space="preserve">Pan </w:t>
      </w:r>
      <w:proofErr w:type="gramStart"/>
      <w:r w:rsidRPr="0097247E">
        <w:rPr>
          <w:b/>
        </w:rPr>
        <w:t>troglodytes</w:t>
      </w:r>
      <w:proofErr w:type="gramEnd"/>
      <w:r w:rsidRPr="00A37842">
        <w:rPr>
          <w:b/>
          <w:i/>
        </w:rPr>
        <w:t>.</w:t>
      </w:r>
    </w:p>
    <w:p w:rsidR="00A37842" w:rsidRDefault="00A37842" w:rsidP="00A37842">
      <w:pPr>
        <w:spacing w:before="0" w:line="240" w:lineRule="auto"/>
        <w:rPr>
          <w:noProof/>
        </w:rPr>
      </w:pPr>
      <w:r w:rsidRPr="00212FDE">
        <w:rPr>
          <w:noProof/>
        </w:rPr>
        <w:t xml:space="preserve">The following tables relate to linear regression of </w:t>
      </w:r>
      <w:r>
        <w:rPr>
          <w:noProof/>
        </w:rPr>
        <w:t xml:space="preserve">serially homologous limb elements in </w:t>
      </w:r>
      <w:r w:rsidRPr="00212FDE">
        <w:rPr>
          <w:i/>
          <w:noProof/>
        </w:rPr>
        <w:t>Pan troglodytes</w:t>
      </w:r>
      <w:r w:rsidRPr="00212FDE">
        <w:rPr>
          <w:noProof/>
        </w:rPr>
        <w:t>.</w:t>
      </w:r>
      <w:r>
        <w:rPr>
          <w:noProof/>
        </w:rPr>
        <w:t xml:space="preserve">  This is analysed in section 4.3.2.  These tables provide r-square values, ANOVA results, and coefficients for regression.</w:t>
      </w:r>
    </w:p>
    <w:p w:rsidR="00A37842" w:rsidRPr="00A37842" w:rsidRDefault="00A37842" w:rsidP="00A37842">
      <w:pPr>
        <w:numPr>
          <w:ilvl w:val="1"/>
          <w:numId w:val="0"/>
        </w:numPr>
        <w:tabs>
          <w:tab w:val="left" w:pos="660"/>
          <w:tab w:val="right" w:leader="dot" w:pos="8471"/>
        </w:tabs>
        <w:spacing w:before="120" w:after="100" w:line="276" w:lineRule="auto"/>
        <w:ind w:right="289"/>
        <w:jc w:val="left"/>
        <w:rPr>
          <w:rFonts w:eastAsiaTheme="minorHAnsi"/>
          <w:noProof/>
          <w:color w:val="000000"/>
          <w:lang w:val="en-GB" w:eastAsia="en-GB"/>
        </w:rPr>
      </w:pPr>
      <w:bookmarkStart w:id="3565" w:name="_Toc373484449"/>
      <w:r w:rsidRPr="00A37842">
        <w:rPr>
          <w:rFonts w:eastAsiaTheme="minorHAnsi"/>
          <w:b/>
          <w:noProof/>
          <w:color w:val="000000"/>
          <w:lang w:val="en-GB" w:eastAsia="en-GB"/>
        </w:rPr>
        <w:t>Table 8.28</w:t>
      </w:r>
      <w:r>
        <w:rPr>
          <w:rFonts w:eastAsiaTheme="minorHAnsi"/>
          <w:noProof/>
          <w:color w:val="000000"/>
          <w:lang w:val="en-GB" w:eastAsia="en-GB"/>
        </w:rPr>
        <w:t xml:space="preserve"> </w:t>
      </w:r>
      <w:r w:rsidRPr="00A37842">
        <w:rPr>
          <w:rFonts w:eastAsiaTheme="minorHAnsi"/>
          <w:noProof/>
          <w:color w:val="000000"/>
          <w:lang w:val="en-GB" w:eastAsia="en-GB"/>
        </w:rPr>
        <w:t>Multiple limb element linear regression outputs for Pan troglodyes and Pan paniscus males and females.</w:t>
      </w:r>
      <w:bookmarkEnd w:id="3565"/>
    </w:p>
    <w:tbl>
      <w:tblPr>
        <w:tblW w:w="8930" w:type="dxa"/>
        <w:tblInd w:w="93" w:type="dxa"/>
        <w:tblBorders>
          <w:top w:val="single" w:sz="4" w:space="0" w:color="auto"/>
          <w:bottom w:val="single" w:sz="4" w:space="0" w:color="auto"/>
        </w:tblBorders>
        <w:tblLook w:val="04A0" w:firstRow="1" w:lastRow="0" w:firstColumn="1" w:lastColumn="0" w:noHBand="0" w:noVBand="1"/>
      </w:tblPr>
      <w:tblGrid>
        <w:gridCol w:w="1206"/>
        <w:gridCol w:w="901"/>
        <w:gridCol w:w="1590"/>
        <w:gridCol w:w="873"/>
        <w:gridCol w:w="1080"/>
        <w:gridCol w:w="1072"/>
        <w:gridCol w:w="1373"/>
        <w:gridCol w:w="974"/>
      </w:tblGrid>
      <w:tr w:rsidR="00A37842" w:rsidRPr="00A37842" w:rsidTr="00D4688C">
        <w:trPr>
          <w:trHeight w:val="300"/>
        </w:trPr>
        <w:tc>
          <w:tcPr>
            <w:tcW w:w="1206" w:type="dxa"/>
            <w:tcBorders>
              <w:top w:val="single" w:sz="4" w:space="0" w:color="auto"/>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b/>
                <w:bCs/>
                <w:color w:val="000000"/>
                <w:lang w:val="en-GB" w:eastAsia="en-GB"/>
              </w:rPr>
            </w:pPr>
            <w:r w:rsidRPr="00A37842">
              <w:rPr>
                <w:rFonts w:eastAsia="Times New Roman"/>
                <w:b/>
                <w:bCs/>
                <w:color w:val="000000"/>
                <w:lang w:val="en-GB" w:eastAsia="en-GB"/>
              </w:rPr>
              <w:t>species</w:t>
            </w:r>
          </w:p>
        </w:tc>
        <w:tc>
          <w:tcPr>
            <w:tcW w:w="901" w:type="dxa"/>
            <w:tcBorders>
              <w:top w:val="single" w:sz="4" w:space="0" w:color="auto"/>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b/>
                <w:bCs/>
                <w:color w:val="000000"/>
                <w:lang w:val="en-GB" w:eastAsia="en-GB"/>
              </w:rPr>
            </w:pPr>
            <w:r w:rsidRPr="00A37842">
              <w:rPr>
                <w:rFonts w:eastAsia="Times New Roman"/>
                <w:b/>
                <w:bCs/>
                <w:color w:val="000000"/>
                <w:lang w:val="en-GB" w:eastAsia="en-GB"/>
              </w:rPr>
              <w:t>sex</w:t>
            </w:r>
          </w:p>
        </w:tc>
        <w:tc>
          <w:tcPr>
            <w:tcW w:w="1590" w:type="dxa"/>
            <w:tcBorders>
              <w:top w:val="single" w:sz="4" w:space="0" w:color="auto"/>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b/>
                <w:bCs/>
                <w:color w:val="000000"/>
                <w:lang w:val="en-GB" w:eastAsia="en-GB"/>
              </w:rPr>
            </w:pPr>
            <w:r w:rsidRPr="00A37842">
              <w:rPr>
                <w:rFonts w:eastAsia="Times New Roman"/>
                <w:b/>
                <w:bCs/>
                <w:color w:val="000000"/>
                <w:lang w:val="en-GB" w:eastAsia="en-GB"/>
              </w:rPr>
              <w:t>comparison</w:t>
            </w:r>
          </w:p>
        </w:tc>
        <w:tc>
          <w:tcPr>
            <w:tcW w:w="873" w:type="dxa"/>
            <w:tcBorders>
              <w:top w:val="single" w:sz="4" w:space="0" w:color="auto"/>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b/>
                <w:bCs/>
                <w:i/>
                <w:color w:val="000000"/>
                <w:lang w:val="en-GB" w:eastAsia="en-GB"/>
              </w:rPr>
            </w:pPr>
            <w:r w:rsidRPr="00A37842">
              <w:rPr>
                <w:rFonts w:eastAsia="Times New Roman"/>
                <w:b/>
                <w:bCs/>
                <w:i/>
                <w:color w:val="000000"/>
                <w:lang w:val="en-GB" w:eastAsia="en-GB"/>
              </w:rPr>
              <w:t>R</w:t>
            </w:r>
          </w:p>
        </w:tc>
        <w:tc>
          <w:tcPr>
            <w:tcW w:w="1080" w:type="dxa"/>
            <w:tcBorders>
              <w:top w:val="single" w:sz="4" w:space="0" w:color="auto"/>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b/>
                <w:bCs/>
                <w:color w:val="000000"/>
                <w:lang w:val="en-GB" w:eastAsia="en-GB"/>
              </w:rPr>
            </w:pPr>
            <w:r w:rsidRPr="00A37842">
              <w:rPr>
                <w:rFonts w:eastAsia="Times New Roman"/>
                <w:b/>
                <w:bCs/>
                <w:i/>
                <w:color w:val="000000"/>
                <w:lang w:val="en-GB" w:eastAsia="en-GB"/>
              </w:rPr>
              <w:t>R</w:t>
            </w:r>
            <w:r w:rsidRPr="00A37842">
              <w:rPr>
                <w:rFonts w:eastAsia="Times New Roman"/>
                <w:b/>
                <w:bCs/>
                <w:color w:val="000000"/>
                <w:vertAlign w:val="superscript"/>
                <w:lang w:val="en-GB" w:eastAsia="en-GB"/>
              </w:rPr>
              <w:t>2</w:t>
            </w:r>
          </w:p>
        </w:tc>
        <w:tc>
          <w:tcPr>
            <w:tcW w:w="1072" w:type="dxa"/>
            <w:tcBorders>
              <w:top w:val="single" w:sz="4" w:space="0" w:color="auto"/>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b/>
                <w:bCs/>
                <w:color w:val="000000"/>
                <w:lang w:val="en-GB" w:eastAsia="en-GB"/>
              </w:rPr>
            </w:pPr>
            <w:r w:rsidRPr="00A37842">
              <w:rPr>
                <w:rFonts w:eastAsia="Times New Roman"/>
                <w:b/>
                <w:bCs/>
                <w:color w:val="000000"/>
                <w:lang w:val="en-GB" w:eastAsia="en-GB"/>
              </w:rPr>
              <w:t xml:space="preserve">adjusted </w:t>
            </w:r>
            <w:r w:rsidRPr="00A37842">
              <w:rPr>
                <w:rFonts w:eastAsia="Times New Roman"/>
                <w:b/>
                <w:bCs/>
                <w:i/>
                <w:color w:val="000000"/>
                <w:lang w:val="en-GB" w:eastAsia="en-GB"/>
              </w:rPr>
              <w:t>R</w:t>
            </w:r>
            <w:r w:rsidRPr="00A37842">
              <w:rPr>
                <w:rFonts w:eastAsia="Times New Roman"/>
                <w:b/>
                <w:bCs/>
                <w:color w:val="000000"/>
                <w:vertAlign w:val="superscript"/>
                <w:lang w:val="en-GB" w:eastAsia="en-GB"/>
              </w:rPr>
              <w:t>2</w:t>
            </w:r>
          </w:p>
        </w:tc>
        <w:tc>
          <w:tcPr>
            <w:tcW w:w="1373" w:type="dxa"/>
            <w:tcBorders>
              <w:top w:val="single" w:sz="4" w:space="0" w:color="auto"/>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b/>
                <w:bCs/>
                <w:color w:val="000000"/>
                <w:lang w:val="en-GB" w:eastAsia="en-GB"/>
              </w:rPr>
            </w:pPr>
            <w:r w:rsidRPr="00A37842">
              <w:rPr>
                <w:rFonts w:eastAsia="Times New Roman"/>
                <w:b/>
                <w:bCs/>
                <w:color w:val="000000"/>
                <w:lang w:val="en-GB" w:eastAsia="en-GB"/>
              </w:rPr>
              <w:t>std. error of the estimate</w:t>
            </w:r>
          </w:p>
        </w:tc>
        <w:tc>
          <w:tcPr>
            <w:tcW w:w="835" w:type="dxa"/>
            <w:tcBorders>
              <w:top w:val="single" w:sz="4" w:space="0" w:color="auto"/>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b/>
                <w:bCs/>
                <w:color w:val="000000"/>
                <w:lang w:val="en-GB" w:eastAsia="en-GB"/>
              </w:rPr>
            </w:pPr>
            <w:r w:rsidRPr="00A37842">
              <w:rPr>
                <w:rFonts w:eastAsia="Times New Roman"/>
                <w:b/>
                <w:bCs/>
                <w:color w:val="000000"/>
                <w:lang w:val="en-GB" w:eastAsia="en-GB"/>
              </w:rPr>
              <w:t>Durbin-Watson</w:t>
            </w:r>
          </w:p>
        </w:tc>
      </w:tr>
      <w:tr w:rsidR="00A37842" w:rsidRPr="00A37842" w:rsidTr="00D4688C">
        <w:trPr>
          <w:trHeight w:val="300"/>
        </w:trPr>
        <w:tc>
          <w:tcPr>
            <w:tcW w:w="1206" w:type="dxa"/>
            <w:vMerge w:val="restart"/>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i/>
                <w:iCs/>
                <w:color w:val="000000"/>
                <w:lang w:val="en-GB" w:eastAsia="en-GB"/>
              </w:rPr>
            </w:pPr>
            <w:r w:rsidRPr="00A37842">
              <w:rPr>
                <w:rFonts w:eastAsia="Times New Roman"/>
                <w:i/>
                <w:iCs/>
                <w:color w:val="000000"/>
                <w:lang w:val="en-GB" w:eastAsia="en-GB"/>
              </w:rPr>
              <w:t>Pan troglodytes</w:t>
            </w:r>
          </w:p>
        </w:tc>
        <w:tc>
          <w:tcPr>
            <w:tcW w:w="901" w:type="dxa"/>
            <w:vMerge w:val="restart"/>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females</w:t>
            </w:r>
          </w:p>
        </w:tc>
        <w:tc>
          <w:tcPr>
            <w:tcW w:w="1590"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humerus-femur</w:t>
            </w:r>
          </w:p>
        </w:tc>
        <w:tc>
          <w:tcPr>
            <w:tcW w:w="873"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0.992</w:t>
            </w:r>
          </w:p>
        </w:tc>
        <w:tc>
          <w:tcPr>
            <w:tcW w:w="1080"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0.983</w:t>
            </w:r>
          </w:p>
        </w:tc>
        <w:tc>
          <w:tcPr>
            <w:tcW w:w="1072"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0.983</w:t>
            </w:r>
          </w:p>
        </w:tc>
        <w:tc>
          <w:tcPr>
            <w:tcW w:w="1373"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0.012276</w:t>
            </w:r>
          </w:p>
        </w:tc>
        <w:tc>
          <w:tcPr>
            <w:tcW w:w="835"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1.565</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radius-tibia</w:t>
            </w:r>
          </w:p>
        </w:tc>
        <w:tc>
          <w:tcPr>
            <w:tcW w:w="873"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0.986</w:t>
            </w:r>
          </w:p>
        </w:tc>
        <w:tc>
          <w:tcPr>
            <w:tcW w:w="1080"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0.971</w:t>
            </w:r>
          </w:p>
        </w:tc>
        <w:tc>
          <w:tcPr>
            <w:tcW w:w="1072"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0.971</w:t>
            </w:r>
          </w:p>
        </w:tc>
        <w:tc>
          <w:tcPr>
            <w:tcW w:w="1373"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0.014687</w:t>
            </w:r>
          </w:p>
        </w:tc>
        <w:tc>
          <w:tcPr>
            <w:tcW w:w="835"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1.637</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humerus-radius</w:t>
            </w:r>
          </w:p>
        </w:tc>
        <w:tc>
          <w:tcPr>
            <w:tcW w:w="873"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0.987</w:t>
            </w:r>
          </w:p>
        </w:tc>
        <w:tc>
          <w:tcPr>
            <w:tcW w:w="1080"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0.975</w:t>
            </w:r>
          </w:p>
        </w:tc>
        <w:tc>
          <w:tcPr>
            <w:tcW w:w="1072"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0.975</w:t>
            </w:r>
          </w:p>
        </w:tc>
        <w:tc>
          <w:tcPr>
            <w:tcW w:w="1373"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0.01351</w:t>
            </w:r>
          </w:p>
        </w:tc>
        <w:tc>
          <w:tcPr>
            <w:tcW w:w="835"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1.672</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tibia-femur</w:t>
            </w:r>
          </w:p>
        </w:tc>
        <w:tc>
          <w:tcPr>
            <w:tcW w:w="873"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w:t>
            </w:r>
          </w:p>
        </w:tc>
        <w:tc>
          <w:tcPr>
            <w:tcW w:w="1080"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0.981</w:t>
            </w:r>
          </w:p>
        </w:tc>
        <w:tc>
          <w:tcPr>
            <w:tcW w:w="1072"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0.981</w:t>
            </w:r>
          </w:p>
        </w:tc>
        <w:tc>
          <w:tcPr>
            <w:tcW w:w="1373"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0.013891</w:t>
            </w:r>
          </w:p>
        </w:tc>
        <w:tc>
          <w:tcPr>
            <w:tcW w:w="835"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1.694</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val="restart"/>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males</w:t>
            </w:r>
          </w:p>
        </w:tc>
        <w:tc>
          <w:tcPr>
            <w:tcW w:w="1590"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humerus-femur</w:t>
            </w:r>
          </w:p>
        </w:tc>
        <w:tc>
          <w:tcPr>
            <w:tcW w:w="873"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0.856</w:t>
            </w:r>
          </w:p>
        </w:tc>
        <w:tc>
          <w:tcPr>
            <w:tcW w:w="1080"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0.734</w:t>
            </w:r>
          </w:p>
        </w:tc>
        <w:tc>
          <w:tcPr>
            <w:tcW w:w="1072"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0.728</w:t>
            </w:r>
          </w:p>
        </w:tc>
        <w:tc>
          <w:tcPr>
            <w:tcW w:w="1373"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0.045988</w:t>
            </w:r>
          </w:p>
        </w:tc>
        <w:tc>
          <w:tcPr>
            <w:tcW w:w="835"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1.217</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radius-tibia</w:t>
            </w:r>
          </w:p>
        </w:tc>
        <w:tc>
          <w:tcPr>
            <w:tcW w:w="8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0.992</w:t>
            </w:r>
          </w:p>
        </w:tc>
        <w:tc>
          <w:tcPr>
            <w:tcW w:w="108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0.985</w:t>
            </w:r>
          </w:p>
        </w:tc>
        <w:tc>
          <w:tcPr>
            <w:tcW w:w="1072"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0.985</w:t>
            </w:r>
          </w:p>
        </w:tc>
        <w:tc>
          <w:tcPr>
            <w:tcW w:w="13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0.011326</w:t>
            </w:r>
          </w:p>
        </w:tc>
        <w:tc>
          <w:tcPr>
            <w:tcW w:w="835"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1.631</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humerus-radius</w:t>
            </w:r>
          </w:p>
        </w:tc>
        <w:tc>
          <w:tcPr>
            <w:tcW w:w="8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0.95</w:t>
            </w:r>
          </w:p>
        </w:tc>
        <w:tc>
          <w:tcPr>
            <w:tcW w:w="108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0.903</w:t>
            </w:r>
          </w:p>
        </w:tc>
        <w:tc>
          <w:tcPr>
            <w:tcW w:w="1072"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0.901</w:t>
            </w:r>
          </w:p>
        </w:tc>
        <w:tc>
          <w:tcPr>
            <w:tcW w:w="13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0.027957</w:t>
            </w:r>
          </w:p>
        </w:tc>
        <w:tc>
          <w:tcPr>
            <w:tcW w:w="835"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1.477</w:t>
            </w:r>
          </w:p>
        </w:tc>
      </w:tr>
      <w:tr w:rsidR="00A37842" w:rsidRPr="00A37842" w:rsidTr="00D4688C">
        <w:trPr>
          <w:trHeight w:val="300"/>
        </w:trPr>
        <w:tc>
          <w:tcPr>
            <w:tcW w:w="1206" w:type="dxa"/>
            <w:vMerge/>
            <w:tcBorders>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tcBorders>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tcBorders>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tibia-femur</w:t>
            </w:r>
          </w:p>
        </w:tc>
        <w:tc>
          <w:tcPr>
            <w:tcW w:w="873" w:type="dxa"/>
            <w:tcBorders>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0.995</w:t>
            </w:r>
          </w:p>
        </w:tc>
        <w:tc>
          <w:tcPr>
            <w:tcW w:w="1080" w:type="dxa"/>
            <w:tcBorders>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0.989</w:t>
            </w:r>
          </w:p>
        </w:tc>
        <w:tc>
          <w:tcPr>
            <w:tcW w:w="1072" w:type="dxa"/>
            <w:tcBorders>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0.989</w:t>
            </w:r>
          </w:p>
        </w:tc>
        <w:tc>
          <w:tcPr>
            <w:tcW w:w="1373" w:type="dxa"/>
            <w:tcBorders>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0.010299</w:t>
            </w:r>
          </w:p>
        </w:tc>
        <w:tc>
          <w:tcPr>
            <w:tcW w:w="835" w:type="dxa"/>
            <w:tcBorders>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1.623</w:t>
            </w:r>
          </w:p>
        </w:tc>
      </w:tr>
      <w:tr w:rsidR="00A37842" w:rsidRPr="00A37842" w:rsidTr="00D4688C">
        <w:trPr>
          <w:trHeight w:val="300"/>
        </w:trPr>
        <w:tc>
          <w:tcPr>
            <w:tcW w:w="1206" w:type="dxa"/>
            <w:vMerge w:val="restart"/>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i/>
                <w:iCs/>
                <w:color w:val="000000"/>
                <w:lang w:val="en-GB" w:eastAsia="en-GB"/>
              </w:rPr>
            </w:pPr>
            <w:r w:rsidRPr="00A37842">
              <w:rPr>
                <w:rFonts w:eastAsia="Times New Roman"/>
                <w:i/>
                <w:iCs/>
                <w:color w:val="000000"/>
                <w:lang w:val="en-GB" w:eastAsia="en-GB"/>
              </w:rPr>
              <w:t>Pan paniscus</w:t>
            </w:r>
          </w:p>
        </w:tc>
        <w:tc>
          <w:tcPr>
            <w:tcW w:w="901" w:type="dxa"/>
            <w:vMerge w:val="restart"/>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females</w:t>
            </w:r>
          </w:p>
        </w:tc>
        <w:tc>
          <w:tcPr>
            <w:tcW w:w="1590"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humerus-femur</w:t>
            </w:r>
          </w:p>
        </w:tc>
        <w:tc>
          <w:tcPr>
            <w:tcW w:w="873"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0.994</w:t>
            </w:r>
          </w:p>
        </w:tc>
        <w:tc>
          <w:tcPr>
            <w:tcW w:w="1080"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0.989</w:t>
            </w:r>
          </w:p>
        </w:tc>
        <w:tc>
          <w:tcPr>
            <w:tcW w:w="1072"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0.987</w:t>
            </w:r>
          </w:p>
        </w:tc>
        <w:tc>
          <w:tcPr>
            <w:tcW w:w="1373"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0.008689</w:t>
            </w:r>
          </w:p>
        </w:tc>
        <w:tc>
          <w:tcPr>
            <w:tcW w:w="835" w:type="dxa"/>
            <w:tcBorders>
              <w:top w:val="single" w:sz="4" w:space="0" w:color="auto"/>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2.283</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radius-tibia</w:t>
            </w:r>
          </w:p>
        </w:tc>
        <w:tc>
          <w:tcPr>
            <w:tcW w:w="873"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0.988</w:t>
            </w:r>
          </w:p>
        </w:tc>
        <w:tc>
          <w:tcPr>
            <w:tcW w:w="1080"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0.976</w:t>
            </w:r>
          </w:p>
        </w:tc>
        <w:tc>
          <w:tcPr>
            <w:tcW w:w="1072"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0.973</w:t>
            </w:r>
          </w:p>
        </w:tc>
        <w:tc>
          <w:tcPr>
            <w:tcW w:w="1373"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0.013074</w:t>
            </w:r>
          </w:p>
        </w:tc>
        <w:tc>
          <w:tcPr>
            <w:tcW w:w="835"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3.126</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humerus-radius</w:t>
            </w:r>
          </w:p>
        </w:tc>
        <w:tc>
          <w:tcPr>
            <w:tcW w:w="873"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0.999</w:t>
            </w:r>
          </w:p>
        </w:tc>
        <w:tc>
          <w:tcPr>
            <w:tcW w:w="1080"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0.998</w:t>
            </w:r>
          </w:p>
        </w:tc>
        <w:tc>
          <w:tcPr>
            <w:tcW w:w="1072"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0.998</w:t>
            </w:r>
          </w:p>
        </w:tc>
        <w:tc>
          <w:tcPr>
            <w:tcW w:w="1373"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0.003825</w:t>
            </w:r>
          </w:p>
        </w:tc>
        <w:tc>
          <w:tcPr>
            <w:tcW w:w="835" w:type="dxa"/>
            <w:tcBorders>
              <w:top w:val="nil"/>
              <w:bottom w:val="nil"/>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2.287</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tibia-femur</w:t>
            </w:r>
          </w:p>
        </w:tc>
        <w:tc>
          <w:tcPr>
            <w:tcW w:w="873"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0.993</w:t>
            </w:r>
          </w:p>
        </w:tc>
        <w:tc>
          <w:tcPr>
            <w:tcW w:w="1080"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0.986</w:t>
            </w:r>
          </w:p>
        </w:tc>
        <w:tc>
          <w:tcPr>
            <w:tcW w:w="1072"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0.985</w:t>
            </w:r>
          </w:p>
        </w:tc>
        <w:tc>
          <w:tcPr>
            <w:tcW w:w="1373"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0.009504</w:t>
            </w:r>
          </w:p>
        </w:tc>
        <w:tc>
          <w:tcPr>
            <w:tcW w:w="835" w:type="dxa"/>
            <w:tcBorders>
              <w:top w:val="nil"/>
              <w:bottom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2.611</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val="restart"/>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males</w:t>
            </w:r>
          </w:p>
        </w:tc>
        <w:tc>
          <w:tcPr>
            <w:tcW w:w="1590"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humerus-femur</w:t>
            </w:r>
          </w:p>
        </w:tc>
        <w:tc>
          <w:tcPr>
            <w:tcW w:w="873"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0.981</w:t>
            </w:r>
          </w:p>
        </w:tc>
        <w:tc>
          <w:tcPr>
            <w:tcW w:w="1080"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0.962</w:t>
            </w:r>
          </w:p>
        </w:tc>
        <w:tc>
          <w:tcPr>
            <w:tcW w:w="1072"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0.958</w:t>
            </w:r>
          </w:p>
        </w:tc>
        <w:tc>
          <w:tcPr>
            <w:tcW w:w="1373"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0.022096</w:t>
            </w:r>
          </w:p>
        </w:tc>
        <w:tc>
          <w:tcPr>
            <w:tcW w:w="835" w:type="dxa"/>
            <w:tcBorders>
              <w:top w:val="single" w:sz="4" w:space="0" w:color="auto"/>
            </w:tcBorders>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2.708</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radius-tibia</w:t>
            </w:r>
          </w:p>
        </w:tc>
        <w:tc>
          <w:tcPr>
            <w:tcW w:w="8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0.996</w:t>
            </w:r>
          </w:p>
        </w:tc>
        <w:tc>
          <w:tcPr>
            <w:tcW w:w="108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0.992</w:t>
            </w:r>
          </w:p>
        </w:tc>
        <w:tc>
          <w:tcPr>
            <w:tcW w:w="1072"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0.991</w:t>
            </w:r>
          </w:p>
        </w:tc>
        <w:tc>
          <w:tcPr>
            <w:tcW w:w="13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0.009931</w:t>
            </w:r>
          </w:p>
        </w:tc>
        <w:tc>
          <w:tcPr>
            <w:tcW w:w="835"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1.507</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humerus-radius</w:t>
            </w:r>
          </w:p>
        </w:tc>
        <w:tc>
          <w:tcPr>
            <w:tcW w:w="8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0.987</w:t>
            </w:r>
          </w:p>
        </w:tc>
        <w:tc>
          <w:tcPr>
            <w:tcW w:w="108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0.974</w:t>
            </w:r>
          </w:p>
        </w:tc>
        <w:tc>
          <w:tcPr>
            <w:tcW w:w="1072"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0.972</w:t>
            </w:r>
          </w:p>
        </w:tc>
        <w:tc>
          <w:tcPr>
            <w:tcW w:w="13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0.018772</w:t>
            </w:r>
          </w:p>
        </w:tc>
        <w:tc>
          <w:tcPr>
            <w:tcW w:w="835"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3.014</w:t>
            </w:r>
          </w:p>
        </w:tc>
      </w:tr>
      <w:tr w:rsidR="00A37842" w:rsidRPr="00A37842" w:rsidTr="00D4688C">
        <w:trPr>
          <w:trHeight w:val="300"/>
        </w:trPr>
        <w:tc>
          <w:tcPr>
            <w:tcW w:w="1206"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901" w:type="dxa"/>
            <w:vMerge/>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p>
        </w:tc>
        <w:tc>
          <w:tcPr>
            <w:tcW w:w="159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tibia-femur</w:t>
            </w:r>
          </w:p>
        </w:tc>
        <w:tc>
          <w:tcPr>
            <w:tcW w:w="8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0.996</w:t>
            </w:r>
          </w:p>
        </w:tc>
        <w:tc>
          <w:tcPr>
            <w:tcW w:w="1080"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0.992</w:t>
            </w:r>
          </w:p>
        </w:tc>
        <w:tc>
          <w:tcPr>
            <w:tcW w:w="1072"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0.991</w:t>
            </w:r>
          </w:p>
        </w:tc>
        <w:tc>
          <w:tcPr>
            <w:tcW w:w="1373"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0.008924</w:t>
            </w:r>
          </w:p>
        </w:tc>
        <w:tc>
          <w:tcPr>
            <w:tcW w:w="835" w:type="dxa"/>
            <w:shd w:val="clear" w:color="auto" w:fill="auto"/>
            <w:noWrap/>
            <w:vAlign w:val="center"/>
            <w:hideMark/>
          </w:tcPr>
          <w:p w:rsidR="00A37842" w:rsidRPr="00A37842" w:rsidRDefault="00A37842" w:rsidP="00A37842">
            <w:pPr>
              <w:spacing w:before="0" w:line="240" w:lineRule="auto"/>
              <w:jc w:val="center"/>
              <w:rPr>
                <w:rFonts w:eastAsia="Times New Roman"/>
                <w:color w:val="000000"/>
                <w:lang w:val="en-GB" w:eastAsia="en-GB"/>
              </w:rPr>
            </w:pPr>
            <w:r w:rsidRPr="00A37842">
              <w:rPr>
                <w:rFonts w:eastAsia="Times New Roman"/>
                <w:color w:val="000000"/>
                <w:lang w:val="en-GB" w:eastAsia="en-GB"/>
              </w:rPr>
              <w:t>2.318</w:t>
            </w:r>
          </w:p>
        </w:tc>
      </w:tr>
    </w:tbl>
    <w:p w:rsidR="008735BC" w:rsidRDefault="008735BC" w:rsidP="004828B2">
      <w:pPr>
        <w:rPr>
          <w:b/>
          <w:i/>
          <w:color w:val="000000"/>
        </w:rPr>
      </w:pPr>
    </w:p>
    <w:p w:rsidR="008735BC" w:rsidRPr="008735BC" w:rsidRDefault="008735BC" w:rsidP="008735BC">
      <w:pPr>
        <w:spacing w:before="0" w:after="200" w:line="276" w:lineRule="auto"/>
        <w:ind w:left="-426"/>
        <w:jc w:val="left"/>
        <w:rPr>
          <w:b/>
          <w:i/>
          <w:color w:val="000000"/>
        </w:rPr>
      </w:pPr>
      <w:r>
        <w:rPr>
          <w:b/>
          <w:i/>
          <w:color w:val="000000"/>
        </w:rPr>
        <w:br w:type="page"/>
      </w:r>
      <w:bookmarkStart w:id="3566" w:name="_Toc373484450"/>
      <w:r w:rsidRPr="008735BC">
        <w:rPr>
          <w:b/>
          <w:color w:val="000000"/>
        </w:rPr>
        <w:lastRenderedPageBreak/>
        <w:t>Table 8.29</w:t>
      </w:r>
      <w:r>
        <w:rPr>
          <w:b/>
          <w:i/>
          <w:color w:val="000000"/>
        </w:rPr>
        <w:t xml:space="preserve"> </w:t>
      </w:r>
      <w:r w:rsidRPr="008735BC">
        <w:rPr>
          <w:rFonts w:eastAsiaTheme="minorHAnsi"/>
          <w:noProof/>
          <w:color w:val="000000"/>
          <w:lang w:val="en-GB" w:eastAsia="en-GB"/>
        </w:rPr>
        <w:t xml:space="preserve">Multiple limb-element linear regression ANOVA outputs for </w:t>
      </w:r>
      <w:r w:rsidRPr="008735BC">
        <w:rPr>
          <w:rFonts w:eastAsiaTheme="minorHAnsi"/>
          <w:i/>
          <w:noProof/>
          <w:color w:val="000000"/>
          <w:lang w:val="en-GB" w:eastAsia="en-GB"/>
        </w:rPr>
        <w:t xml:space="preserve">Pan troglodytes </w:t>
      </w:r>
      <w:r w:rsidRPr="008735BC">
        <w:rPr>
          <w:rFonts w:eastAsiaTheme="minorHAnsi"/>
          <w:noProof/>
          <w:color w:val="000000"/>
          <w:lang w:val="en-GB" w:eastAsia="en-GB"/>
        </w:rPr>
        <w:t>males and females.</w:t>
      </w:r>
      <w:bookmarkEnd w:id="3566"/>
    </w:p>
    <w:tbl>
      <w:tblPr>
        <w:tblW w:w="9921" w:type="dxa"/>
        <w:jc w:val="center"/>
        <w:tblBorders>
          <w:top w:val="single" w:sz="4" w:space="0" w:color="auto"/>
          <w:bottom w:val="single" w:sz="4" w:space="0" w:color="auto"/>
        </w:tblBorders>
        <w:tblLook w:val="04A0" w:firstRow="1" w:lastRow="0" w:firstColumn="1" w:lastColumn="0" w:noHBand="0" w:noVBand="1"/>
      </w:tblPr>
      <w:tblGrid>
        <w:gridCol w:w="1105"/>
        <w:gridCol w:w="1701"/>
        <w:gridCol w:w="1194"/>
        <w:gridCol w:w="1552"/>
        <w:gridCol w:w="593"/>
        <w:gridCol w:w="1576"/>
        <w:gridCol w:w="1041"/>
        <w:gridCol w:w="1159"/>
      </w:tblGrid>
      <w:tr w:rsidR="008735BC" w:rsidRPr="008735BC" w:rsidTr="00D4688C">
        <w:trPr>
          <w:trHeight w:val="300"/>
          <w:jc w:val="center"/>
        </w:trPr>
        <w:tc>
          <w:tcPr>
            <w:tcW w:w="1105" w:type="dxa"/>
            <w:tcBorders>
              <w:top w:val="single" w:sz="4" w:space="0" w:color="auto"/>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b/>
                <w:bCs/>
                <w:color w:val="000000"/>
                <w:lang w:val="en-GB" w:eastAsia="en-GB"/>
              </w:rPr>
            </w:pPr>
            <w:r w:rsidRPr="008735BC">
              <w:rPr>
                <w:rFonts w:eastAsia="Times New Roman"/>
                <w:b/>
                <w:bCs/>
                <w:color w:val="000000"/>
                <w:lang w:val="en-GB" w:eastAsia="en-GB"/>
              </w:rPr>
              <w:t>sex</w:t>
            </w:r>
          </w:p>
        </w:tc>
        <w:tc>
          <w:tcPr>
            <w:tcW w:w="1701" w:type="dxa"/>
            <w:tcBorders>
              <w:top w:val="single" w:sz="4" w:space="0" w:color="auto"/>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b/>
                <w:bCs/>
                <w:color w:val="000000"/>
                <w:lang w:val="en-GB" w:eastAsia="en-GB"/>
              </w:rPr>
            </w:pPr>
            <w:r w:rsidRPr="008735BC">
              <w:rPr>
                <w:rFonts w:eastAsia="Times New Roman"/>
                <w:b/>
                <w:bCs/>
                <w:color w:val="000000"/>
                <w:lang w:val="en-GB" w:eastAsia="en-GB"/>
              </w:rPr>
              <w:t>comparison</w:t>
            </w:r>
          </w:p>
        </w:tc>
        <w:tc>
          <w:tcPr>
            <w:tcW w:w="1194" w:type="dxa"/>
            <w:tcBorders>
              <w:top w:val="single" w:sz="4" w:space="0" w:color="auto"/>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b/>
                <w:bCs/>
                <w:color w:val="000000"/>
                <w:lang w:val="en-GB" w:eastAsia="en-GB"/>
              </w:rPr>
            </w:pPr>
            <w:r w:rsidRPr="008735BC">
              <w:rPr>
                <w:rFonts w:eastAsia="Times New Roman"/>
                <w:b/>
                <w:bCs/>
                <w:color w:val="000000"/>
                <w:lang w:val="en-GB" w:eastAsia="en-GB"/>
              </w:rPr>
              <w:t>model</w:t>
            </w:r>
          </w:p>
        </w:tc>
        <w:tc>
          <w:tcPr>
            <w:tcW w:w="1552" w:type="dxa"/>
            <w:tcBorders>
              <w:top w:val="single" w:sz="4" w:space="0" w:color="auto"/>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b/>
                <w:bCs/>
                <w:color w:val="000000"/>
                <w:lang w:val="en-GB" w:eastAsia="en-GB"/>
              </w:rPr>
            </w:pPr>
            <w:r w:rsidRPr="008735BC">
              <w:rPr>
                <w:rFonts w:eastAsia="Times New Roman"/>
                <w:b/>
                <w:bCs/>
                <w:color w:val="000000"/>
                <w:lang w:val="en-GB" w:eastAsia="en-GB"/>
              </w:rPr>
              <w:t>sum of squares</w:t>
            </w:r>
          </w:p>
        </w:tc>
        <w:tc>
          <w:tcPr>
            <w:tcW w:w="593" w:type="dxa"/>
            <w:tcBorders>
              <w:top w:val="single" w:sz="4" w:space="0" w:color="auto"/>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b/>
                <w:bCs/>
                <w:color w:val="000000"/>
                <w:lang w:val="en-GB" w:eastAsia="en-GB"/>
              </w:rPr>
            </w:pPr>
            <w:r w:rsidRPr="008735BC">
              <w:rPr>
                <w:rFonts w:eastAsia="Times New Roman"/>
                <w:b/>
                <w:bCs/>
                <w:color w:val="000000"/>
                <w:lang w:val="en-GB" w:eastAsia="en-GB"/>
              </w:rPr>
              <w:t>df</w:t>
            </w:r>
          </w:p>
        </w:tc>
        <w:tc>
          <w:tcPr>
            <w:tcW w:w="1576" w:type="dxa"/>
            <w:tcBorders>
              <w:top w:val="single" w:sz="4" w:space="0" w:color="auto"/>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b/>
                <w:bCs/>
                <w:color w:val="000000"/>
                <w:lang w:val="en-GB" w:eastAsia="en-GB"/>
              </w:rPr>
            </w:pPr>
            <w:r w:rsidRPr="008735BC">
              <w:rPr>
                <w:rFonts w:eastAsia="Times New Roman"/>
                <w:b/>
                <w:bCs/>
                <w:color w:val="000000"/>
                <w:lang w:val="en-GB" w:eastAsia="en-GB"/>
              </w:rPr>
              <w:t>mean square</w:t>
            </w:r>
          </w:p>
        </w:tc>
        <w:tc>
          <w:tcPr>
            <w:tcW w:w="1041" w:type="dxa"/>
            <w:tcBorders>
              <w:top w:val="single" w:sz="4" w:space="0" w:color="auto"/>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b/>
                <w:bCs/>
                <w:i/>
                <w:color w:val="000000"/>
                <w:lang w:val="en-GB" w:eastAsia="en-GB"/>
              </w:rPr>
            </w:pPr>
            <w:r w:rsidRPr="008735BC">
              <w:rPr>
                <w:rFonts w:eastAsia="Times New Roman"/>
                <w:b/>
                <w:bCs/>
                <w:i/>
                <w:color w:val="000000"/>
                <w:lang w:val="en-GB" w:eastAsia="en-GB"/>
              </w:rPr>
              <w:t>F</w:t>
            </w:r>
          </w:p>
        </w:tc>
        <w:tc>
          <w:tcPr>
            <w:tcW w:w="1159" w:type="dxa"/>
            <w:tcBorders>
              <w:top w:val="single" w:sz="4" w:space="0" w:color="auto"/>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b/>
                <w:bCs/>
                <w:color w:val="000000"/>
                <w:lang w:val="en-GB" w:eastAsia="en-GB"/>
              </w:rPr>
            </w:pPr>
            <w:r w:rsidRPr="008735BC">
              <w:rPr>
                <w:rFonts w:eastAsia="Times New Roman"/>
                <w:b/>
                <w:bCs/>
                <w:color w:val="000000"/>
                <w:lang w:val="en-GB" w:eastAsia="en-GB"/>
              </w:rPr>
              <w:t>sig.</w:t>
            </w:r>
          </w:p>
        </w:tc>
      </w:tr>
      <w:tr w:rsidR="008735BC" w:rsidRPr="008735BC" w:rsidTr="00D4688C">
        <w:trPr>
          <w:trHeight w:hRule="exact" w:val="284"/>
          <w:jc w:val="center"/>
        </w:trPr>
        <w:tc>
          <w:tcPr>
            <w:tcW w:w="1105"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females</w:t>
            </w:r>
          </w:p>
        </w:tc>
        <w:tc>
          <w:tcPr>
            <w:tcW w:w="1701" w:type="dxa"/>
            <w:vMerge w:val="restart"/>
            <w:tcBorders>
              <w:top w:val="single" w:sz="4" w:space="0" w:color="auto"/>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humerus-femur</w:t>
            </w:r>
          </w:p>
        </w:tc>
        <w:tc>
          <w:tcPr>
            <w:tcW w:w="1194" w:type="dxa"/>
            <w:tcBorders>
              <w:top w:val="single" w:sz="4" w:space="0" w:color="auto"/>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regression</w:t>
            </w:r>
          </w:p>
        </w:tc>
        <w:tc>
          <w:tcPr>
            <w:tcW w:w="1552" w:type="dxa"/>
            <w:tcBorders>
              <w:top w:val="single" w:sz="4" w:space="0" w:color="auto"/>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0.735</w:t>
            </w:r>
          </w:p>
        </w:tc>
        <w:tc>
          <w:tcPr>
            <w:tcW w:w="593" w:type="dxa"/>
            <w:tcBorders>
              <w:top w:val="single" w:sz="4" w:space="0" w:color="auto"/>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w:t>
            </w:r>
          </w:p>
        </w:tc>
        <w:tc>
          <w:tcPr>
            <w:tcW w:w="1576" w:type="dxa"/>
            <w:tcBorders>
              <w:top w:val="single" w:sz="4" w:space="0" w:color="auto"/>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0.735</w:t>
            </w:r>
          </w:p>
        </w:tc>
        <w:tc>
          <w:tcPr>
            <w:tcW w:w="1041" w:type="dxa"/>
            <w:tcBorders>
              <w:top w:val="single" w:sz="4" w:space="0" w:color="auto"/>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4878.193</w:t>
            </w:r>
          </w:p>
        </w:tc>
        <w:tc>
          <w:tcPr>
            <w:tcW w:w="1159" w:type="dxa"/>
            <w:tcBorders>
              <w:top w:val="single" w:sz="4" w:space="0" w:color="auto"/>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0.000</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tcBorders>
              <w:top w:val="nil"/>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tcBorders>
              <w:top w:val="nil"/>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residual</w:t>
            </w:r>
          </w:p>
        </w:tc>
        <w:tc>
          <w:tcPr>
            <w:tcW w:w="1552" w:type="dxa"/>
            <w:tcBorders>
              <w:top w:val="nil"/>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0.013</w:t>
            </w:r>
          </w:p>
        </w:tc>
        <w:tc>
          <w:tcPr>
            <w:tcW w:w="593" w:type="dxa"/>
            <w:tcBorders>
              <w:top w:val="nil"/>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83</w:t>
            </w:r>
          </w:p>
        </w:tc>
        <w:tc>
          <w:tcPr>
            <w:tcW w:w="1576" w:type="dxa"/>
            <w:tcBorders>
              <w:top w:val="nil"/>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w:t>
            </w:r>
          </w:p>
        </w:tc>
        <w:tc>
          <w:tcPr>
            <w:tcW w:w="1041" w:type="dxa"/>
            <w:tcBorders>
              <w:top w:val="nil"/>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tcBorders>
              <w:top w:val="nil"/>
              <w:bottom w:val="nil"/>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tcBorders>
              <w:top w:val="nil"/>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tcBorders>
              <w:top w:val="nil"/>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total</w:t>
            </w:r>
          </w:p>
        </w:tc>
        <w:tc>
          <w:tcPr>
            <w:tcW w:w="1552" w:type="dxa"/>
            <w:tcBorders>
              <w:top w:val="nil"/>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0.748</w:t>
            </w:r>
          </w:p>
        </w:tc>
        <w:tc>
          <w:tcPr>
            <w:tcW w:w="593" w:type="dxa"/>
            <w:tcBorders>
              <w:top w:val="nil"/>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84</w:t>
            </w:r>
          </w:p>
        </w:tc>
        <w:tc>
          <w:tcPr>
            <w:tcW w:w="1576" w:type="dxa"/>
            <w:tcBorders>
              <w:top w:val="nil"/>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041" w:type="dxa"/>
            <w:tcBorders>
              <w:top w:val="nil"/>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tcBorders>
              <w:top w:val="nil"/>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radius-tibia</w:t>
            </w:r>
          </w:p>
        </w:tc>
        <w:tc>
          <w:tcPr>
            <w:tcW w:w="1194"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regression</w:t>
            </w:r>
          </w:p>
        </w:tc>
        <w:tc>
          <w:tcPr>
            <w:tcW w:w="1552"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0.556</w:t>
            </w:r>
          </w:p>
        </w:tc>
        <w:tc>
          <w:tcPr>
            <w:tcW w:w="593"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w:t>
            </w:r>
          </w:p>
        </w:tc>
        <w:tc>
          <w:tcPr>
            <w:tcW w:w="1576"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0.556</w:t>
            </w:r>
          </w:p>
        </w:tc>
        <w:tc>
          <w:tcPr>
            <w:tcW w:w="1041"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2579.793</w:t>
            </w:r>
          </w:p>
        </w:tc>
        <w:tc>
          <w:tcPr>
            <w:tcW w:w="1159"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0.000</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residual</w:t>
            </w:r>
          </w:p>
        </w:tc>
        <w:tc>
          <w:tcPr>
            <w:tcW w:w="1552"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0.016</w:t>
            </w:r>
          </w:p>
        </w:tc>
        <w:tc>
          <w:tcPr>
            <w:tcW w:w="593"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76</w:t>
            </w:r>
          </w:p>
        </w:tc>
        <w:tc>
          <w:tcPr>
            <w:tcW w:w="1576"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w:t>
            </w:r>
          </w:p>
        </w:tc>
        <w:tc>
          <w:tcPr>
            <w:tcW w:w="1041"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total</w:t>
            </w:r>
          </w:p>
        </w:tc>
        <w:tc>
          <w:tcPr>
            <w:tcW w:w="1552"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0.573</w:t>
            </w:r>
          </w:p>
        </w:tc>
        <w:tc>
          <w:tcPr>
            <w:tcW w:w="593"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77</w:t>
            </w:r>
          </w:p>
        </w:tc>
        <w:tc>
          <w:tcPr>
            <w:tcW w:w="1576"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humerus-radius</w:t>
            </w:r>
          </w:p>
        </w:tc>
        <w:tc>
          <w:tcPr>
            <w:tcW w:w="1194"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regression</w:t>
            </w:r>
          </w:p>
        </w:tc>
        <w:tc>
          <w:tcPr>
            <w:tcW w:w="1552"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0.548</w:t>
            </w:r>
          </w:p>
        </w:tc>
        <w:tc>
          <w:tcPr>
            <w:tcW w:w="593"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w:t>
            </w:r>
          </w:p>
        </w:tc>
        <w:tc>
          <w:tcPr>
            <w:tcW w:w="1576"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0.548</w:t>
            </w:r>
          </w:p>
        </w:tc>
        <w:tc>
          <w:tcPr>
            <w:tcW w:w="1041"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3002.04</w:t>
            </w:r>
          </w:p>
        </w:tc>
        <w:tc>
          <w:tcPr>
            <w:tcW w:w="1159"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0.000</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residual</w:t>
            </w:r>
          </w:p>
        </w:tc>
        <w:tc>
          <w:tcPr>
            <w:tcW w:w="1552"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0.014</w:t>
            </w:r>
          </w:p>
        </w:tc>
        <w:tc>
          <w:tcPr>
            <w:tcW w:w="593"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77</w:t>
            </w:r>
          </w:p>
        </w:tc>
        <w:tc>
          <w:tcPr>
            <w:tcW w:w="1576"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w:t>
            </w:r>
          </w:p>
        </w:tc>
        <w:tc>
          <w:tcPr>
            <w:tcW w:w="1041"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total</w:t>
            </w:r>
          </w:p>
        </w:tc>
        <w:tc>
          <w:tcPr>
            <w:tcW w:w="1552"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0.562</w:t>
            </w:r>
          </w:p>
        </w:tc>
        <w:tc>
          <w:tcPr>
            <w:tcW w:w="593"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78</w:t>
            </w:r>
          </w:p>
        </w:tc>
        <w:tc>
          <w:tcPr>
            <w:tcW w:w="1576"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tibia-femur</w:t>
            </w:r>
          </w:p>
        </w:tc>
        <w:tc>
          <w:tcPr>
            <w:tcW w:w="1194"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regression</w:t>
            </w:r>
          </w:p>
        </w:tc>
        <w:tc>
          <w:tcPr>
            <w:tcW w:w="1552"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0.827</w:t>
            </w:r>
          </w:p>
        </w:tc>
        <w:tc>
          <w:tcPr>
            <w:tcW w:w="593"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w:t>
            </w:r>
          </w:p>
        </w:tc>
        <w:tc>
          <w:tcPr>
            <w:tcW w:w="1576"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0.827</w:t>
            </w:r>
          </w:p>
        </w:tc>
        <w:tc>
          <w:tcPr>
            <w:tcW w:w="1041"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4283.421</w:t>
            </w:r>
          </w:p>
        </w:tc>
        <w:tc>
          <w:tcPr>
            <w:tcW w:w="1159"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0.000</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residual</w:t>
            </w:r>
          </w:p>
        </w:tc>
        <w:tc>
          <w:tcPr>
            <w:tcW w:w="1552"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0.016</w:t>
            </w:r>
          </w:p>
        </w:tc>
        <w:tc>
          <w:tcPr>
            <w:tcW w:w="593"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84</w:t>
            </w:r>
          </w:p>
        </w:tc>
        <w:tc>
          <w:tcPr>
            <w:tcW w:w="1576"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w:t>
            </w:r>
          </w:p>
        </w:tc>
        <w:tc>
          <w:tcPr>
            <w:tcW w:w="1041"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total</w:t>
            </w:r>
          </w:p>
        </w:tc>
        <w:tc>
          <w:tcPr>
            <w:tcW w:w="1552"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0.843</w:t>
            </w:r>
          </w:p>
        </w:tc>
        <w:tc>
          <w:tcPr>
            <w:tcW w:w="593"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85</w:t>
            </w:r>
          </w:p>
        </w:tc>
        <w:tc>
          <w:tcPr>
            <w:tcW w:w="1576"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males</w:t>
            </w:r>
          </w:p>
        </w:tc>
        <w:tc>
          <w:tcPr>
            <w:tcW w:w="1701"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humerus-femur</w:t>
            </w:r>
          </w:p>
        </w:tc>
        <w:tc>
          <w:tcPr>
            <w:tcW w:w="1194"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regression</w:t>
            </w:r>
          </w:p>
        </w:tc>
        <w:tc>
          <w:tcPr>
            <w:tcW w:w="1552"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0.309</w:t>
            </w:r>
          </w:p>
        </w:tc>
        <w:tc>
          <w:tcPr>
            <w:tcW w:w="593"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w:t>
            </w:r>
          </w:p>
        </w:tc>
        <w:tc>
          <w:tcPr>
            <w:tcW w:w="1576"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0.309</w:t>
            </w:r>
          </w:p>
        </w:tc>
        <w:tc>
          <w:tcPr>
            <w:tcW w:w="1041"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145.877</w:t>
            </w:r>
          </w:p>
        </w:tc>
        <w:tc>
          <w:tcPr>
            <w:tcW w:w="1159"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0.000</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residual</w:t>
            </w:r>
          </w:p>
        </w:tc>
        <w:tc>
          <w:tcPr>
            <w:tcW w:w="1552"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0.112</w:t>
            </w:r>
          </w:p>
        </w:tc>
        <w:tc>
          <w:tcPr>
            <w:tcW w:w="593"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53</w:t>
            </w:r>
          </w:p>
        </w:tc>
        <w:tc>
          <w:tcPr>
            <w:tcW w:w="1576"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0.002</w:t>
            </w:r>
          </w:p>
        </w:tc>
        <w:tc>
          <w:tcPr>
            <w:tcW w:w="1041"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total</w:t>
            </w:r>
          </w:p>
        </w:tc>
        <w:tc>
          <w:tcPr>
            <w:tcW w:w="1552"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0.421</w:t>
            </w:r>
          </w:p>
        </w:tc>
        <w:tc>
          <w:tcPr>
            <w:tcW w:w="593"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54</w:t>
            </w:r>
          </w:p>
        </w:tc>
        <w:tc>
          <w:tcPr>
            <w:tcW w:w="1576"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radius-tibia</w:t>
            </w:r>
          </w:p>
        </w:tc>
        <w:tc>
          <w:tcPr>
            <w:tcW w:w="1194"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regression</w:t>
            </w:r>
          </w:p>
        </w:tc>
        <w:tc>
          <w:tcPr>
            <w:tcW w:w="1552"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0.417</w:t>
            </w:r>
          </w:p>
        </w:tc>
        <w:tc>
          <w:tcPr>
            <w:tcW w:w="593"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w:t>
            </w:r>
          </w:p>
        </w:tc>
        <w:tc>
          <w:tcPr>
            <w:tcW w:w="1576"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0.417</w:t>
            </w:r>
          </w:p>
        </w:tc>
        <w:tc>
          <w:tcPr>
            <w:tcW w:w="1041"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3249.152</w:t>
            </w:r>
          </w:p>
        </w:tc>
        <w:tc>
          <w:tcPr>
            <w:tcW w:w="1159"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0.000</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residual</w:t>
            </w:r>
          </w:p>
        </w:tc>
        <w:tc>
          <w:tcPr>
            <w:tcW w:w="1552"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0.006</w:t>
            </w:r>
          </w:p>
        </w:tc>
        <w:tc>
          <w:tcPr>
            <w:tcW w:w="593"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50</w:t>
            </w:r>
          </w:p>
        </w:tc>
        <w:tc>
          <w:tcPr>
            <w:tcW w:w="1576"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w:t>
            </w:r>
          </w:p>
        </w:tc>
        <w:tc>
          <w:tcPr>
            <w:tcW w:w="1041"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total</w:t>
            </w:r>
          </w:p>
        </w:tc>
        <w:tc>
          <w:tcPr>
            <w:tcW w:w="1552"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0.423</w:t>
            </w:r>
          </w:p>
        </w:tc>
        <w:tc>
          <w:tcPr>
            <w:tcW w:w="593"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51</w:t>
            </w:r>
          </w:p>
        </w:tc>
        <w:tc>
          <w:tcPr>
            <w:tcW w:w="1576"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humerus-radius</w:t>
            </w:r>
          </w:p>
        </w:tc>
        <w:tc>
          <w:tcPr>
            <w:tcW w:w="1194"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regression</w:t>
            </w:r>
          </w:p>
        </w:tc>
        <w:tc>
          <w:tcPr>
            <w:tcW w:w="1552"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0.348</w:t>
            </w:r>
          </w:p>
        </w:tc>
        <w:tc>
          <w:tcPr>
            <w:tcW w:w="593"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w:t>
            </w:r>
          </w:p>
        </w:tc>
        <w:tc>
          <w:tcPr>
            <w:tcW w:w="1576"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0.348</w:t>
            </w:r>
          </w:p>
        </w:tc>
        <w:tc>
          <w:tcPr>
            <w:tcW w:w="1041"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445.029</w:t>
            </w:r>
          </w:p>
        </w:tc>
        <w:tc>
          <w:tcPr>
            <w:tcW w:w="1159"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0.000</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residual</w:t>
            </w:r>
          </w:p>
        </w:tc>
        <w:tc>
          <w:tcPr>
            <w:tcW w:w="1552"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0.038</w:t>
            </w:r>
          </w:p>
        </w:tc>
        <w:tc>
          <w:tcPr>
            <w:tcW w:w="593"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48</w:t>
            </w:r>
          </w:p>
        </w:tc>
        <w:tc>
          <w:tcPr>
            <w:tcW w:w="1576"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0.001</w:t>
            </w:r>
          </w:p>
        </w:tc>
        <w:tc>
          <w:tcPr>
            <w:tcW w:w="1041"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total</w:t>
            </w:r>
          </w:p>
        </w:tc>
        <w:tc>
          <w:tcPr>
            <w:tcW w:w="1552"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0.385</w:t>
            </w:r>
          </w:p>
        </w:tc>
        <w:tc>
          <w:tcPr>
            <w:tcW w:w="593"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49</w:t>
            </w:r>
          </w:p>
        </w:tc>
        <w:tc>
          <w:tcPr>
            <w:tcW w:w="1576"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tcBorders>
              <w:bottom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tibia-femur</w:t>
            </w:r>
          </w:p>
        </w:tc>
        <w:tc>
          <w:tcPr>
            <w:tcW w:w="1194"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regression</w:t>
            </w:r>
          </w:p>
        </w:tc>
        <w:tc>
          <w:tcPr>
            <w:tcW w:w="1552"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0.537</w:t>
            </w:r>
          </w:p>
        </w:tc>
        <w:tc>
          <w:tcPr>
            <w:tcW w:w="593"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1</w:t>
            </w:r>
          </w:p>
        </w:tc>
        <w:tc>
          <w:tcPr>
            <w:tcW w:w="1576"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0.537</w:t>
            </w:r>
          </w:p>
        </w:tc>
        <w:tc>
          <w:tcPr>
            <w:tcW w:w="1041"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5066.315</w:t>
            </w:r>
          </w:p>
        </w:tc>
        <w:tc>
          <w:tcPr>
            <w:tcW w:w="1159" w:type="dxa"/>
            <w:tcBorders>
              <w:top w:val="single" w:sz="4" w:space="0" w:color="auto"/>
            </w:tcBorders>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0.000</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residual</w:t>
            </w:r>
          </w:p>
        </w:tc>
        <w:tc>
          <w:tcPr>
            <w:tcW w:w="1552"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0.006</w:t>
            </w:r>
          </w:p>
        </w:tc>
        <w:tc>
          <w:tcPr>
            <w:tcW w:w="593"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56</w:t>
            </w:r>
          </w:p>
        </w:tc>
        <w:tc>
          <w:tcPr>
            <w:tcW w:w="1576"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w:t>
            </w:r>
          </w:p>
        </w:tc>
        <w:tc>
          <w:tcPr>
            <w:tcW w:w="1041"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r w:rsidR="008735BC" w:rsidRPr="008735BC" w:rsidTr="00D4688C">
        <w:trPr>
          <w:trHeight w:hRule="exact" w:val="284"/>
          <w:jc w:val="center"/>
        </w:trPr>
        <w:tc>
          <w:tcPr>
            <w:tcW w:w="1105"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total</w:t>
            </w:r>
          </w:p>
        </w:tc>
        <w:tc>
          <w:tcPr>
            <w:tcW w:w="1552"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0.543</w:t>
            </w:r>
          </w:p>
        </w:tc>
        <w:tc>
          <w:tcPr>
            <w:tcW w:w="593"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57</w:t>
            </w:r>
          </w:p>
        </w:tc>
        <w:tc>
          <w:tcPr>
            <w:tcW w:w="1576"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041"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c>
          <w:tcPr>
            <w:tcW w:w="1159" w:type="dxa"/>
            <w:shd w:val="clear" w:color="auto" w:fill="auto"/>
            <w:noWrap/>
            <w:vAlign w:val="center"/>
            <w:hideMark/>
          </w:tcPr>
          <w:p w:rsidR="008735BC" w:rsidRPr="008735BC" w:rsidRDefault="008735BC" w:rsidP="008735BC">
            <w:pPr>
              <w:spacing w:before="0" w:line="240" w:lineRule="auto"/>
              <w:jc w:val="center"/>
              <w:rPr>
                <w:rFonts w:eastAsia="Times New Roman"/>
                <w:color w:val="000000"/>
                <w:lang w:val="en-GB" w:eastAsia="en-GB"/>
              </w:rPr>
            </w:pPr>
            <w:r w:rsidRPr="008735BC">
              <w:rPr>
                <w:rFonts w:eastAsia="Times New Roman"/>
                <w:color w:val="000000"/>
                <w:lang w:val="en-GB" w:eastAsia="en-GB"/>
              </w:rPr>
              <w:t> </w:t>
            </w:r>
          </w:p>
        </w:tc>
      </w:tr>
    </w:tbl>
    <w:p w:rsidR="008735BC" w:rsidRPr="008735BC" w:rsidRDefault="008735BC" w:rsidP="008735BC">
      <w:pPr>
        <w:spacing w:before="0" w:after="200" w:line="276" w:lineRule="auto"/>
        <w:jc w:val="left"/>
        <w:rPr>
          <w:rFonts w:eastAsiaTheme="minorHAnsi"/>
          <w:noProof/>
          <w:color w:val="000000"/>
          <w:lang w:val="en-GB" w:eastAsia="en-GB"/>
        </w:rPr>
      </w:pPr>
      <w:r w:rsidRPr="008735BC">
        <w:rPr>
          <w:rFonts w:eastAsiaTheme="minorHAnsi"/>
          <w:lang w:val="en-GB"/>
        </w:rPr>
        <w:br w:type="page"/>
      </w:r>
    </w:p>
    <w:p w:rsidR="00E4608E" w:rsidRPr="00E4608E" w:rsidRDefault="00E4608E" w:rsidP="00E4608E">
      <w:pPr>
        <w:numPr>
          <w:ilvl w:val="1"/>
          <w:numId w:val="0"/>
        </w:numPr>
        <w:tabs>
          <w:tab w:val="left" w:pos="660"/>
          <w:tab w:val="right" w:leader="dot" w:pos="8471"/>
        </w:tabs>
        <w:spacing w:before="120" w:after="100" w:line="276" w:lineRule="auto"/>
        <w:ind w:right="289" w:hanging="567"/>
        <w:jc w:val="left"/>
        <w:rPr>
          <w:rFonts w:eastAsiaTheme="minorHAnsi"/>
          <w:noProof/>
          <w:color w:val="000000"/>
          <w:lang w:val="en-GB" w:eastAsia="en-GB"/>
        </w:rPr>
      </w:pPr>
      <w:bookmarkStart w:id="3567" w:name="_Toc373484451"/>
      <w:r w:rsidRPr="00E4608E">
        <w:rPr>
          <w:rFonts w:eastAsiaTheme="minorHAnsi"/>
          <w:b/>
          <w:noProof/>
          <w:color w:val="000000"/>
          <w:lang w:val="en-GB" w:eastAsia="en-GB"/>
        </w:rPr>
        <w:lastRenderedPageBreak/>
        <w:t>Table 8.30</w:t>
      </w:r>
      <w:r>
        <w:rPr>
          <w:rFonts w:eastAsiaTheme="minorHAnsi"/>
          <w:noProof/>
          <w:color w:val="000000"/>
          <w:lang w:val="en-GB" w:eastAsia="en-GB"/>
        </w:rPr>
        <w:t xml:space="preserve"> </w:t>
      </w:r>
      <w:r w:rsidRPr="00E4608E">
        <w:rPr>
          <w:rFonts w:eastAsiaTheme="minorHAnsi"/>
          <w:noProof/>
          <w:color w:val="000000"/>
          <w:lang w:val="en-GB" w:eastAsia="en-GB"/>
        </w:rPr>
        <w:t>Multiple limb-element linear regression ANOVA outputs for Pan paniscus males and females.</w:t>
      </w:r>
      <w:bookmarkEnd w:id="3567"/>
    </w:p>
    <w:tbl>
      <w:tblPr>
        <w:tblW w:w="10112" w:type="dxa"/>
        <w:jc w:val="center"/>
        <w:tblBorders>
          <w:top w:val="single" w:sz="4" w:space="0" w:color="auto"/>
          <w:bottom w:val="single" w:sz="4" w:space="0" w:color="auto"/>
        </w:tblBorders>
        <w:tblLook w:val="04A0" w:firstRow="1" w:lastRow="0" w:firstColumn="1" w:lastColumn="0" w:noHBand="0" w:noVBand="1"/>
      </w:tblPr>
      <w:tblGrid>
        <w:gridCol w:w="1129"/>
        <w:gridCol w:w="1701"/>
        <w:gridCol w:w="1194"/>
        <w:gridCol w:w="1566"/>
        <w:gridCol w:w="634"/>
        <w:gridCol w:w="1643"/>
        <w:gridCol w:w="1041"/>
        <w:gridCol w:w="1204"/>
      </w:tblGrid>
      <w:tr w:rsidR="00E4608E" w:rsidRPr="00E4608E" w:rsidTr="00D4688C">
        <w:trPr>
          <w:cantSplit/>
          <w:trHeight w:val="300"/>
          <w:jc w:val="center"/>
        </w:trPr>
        <w:tc>
          <w:tcPr>
            <w:tcW w:w="1129" w:type="dxa"/>
            <w:tcBorders>
              <w:top w:val="single" w:sz="4" w:space="0" w:color="auto"/>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b/>
                <w:bCs/>
                <w:color w:val="000000"/>
                <w:lang w:val="en-GB" w:eastAsia="en-GB"/>
              </w:rPr>
            </w:pPr>
            <w:r w:rsidRPr="00E4608E">
              <w:rPr>
                <w:rFonts w:eastAsia="Times New Roman"/>
                <w:b/>
                <w:bCs/>
                <w:color w:val="000000"/>
                <w:lang w:val="en-GB" w:eastAsia="en-GB"/>
              </w:rPr>
              <w:t>sex</w:t>
            </w:r>
          </w:p>
        </w:tc>
        <w:tc>
          <w:tcPr>
            <w:tcW w:w="1701" w:type="dxa"/>
            <w:tcBorders>
              <w:top w:val="single" w:sz="4" w:space="0" w:color="auto"/>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b/>
                <w:bCs/>
                <w:color w:val="000000"/>
                <w:lang w:val="en-GB" w:eastAsia="en-GB"/>
              </w:rPr>
            </w:pPr>
            <w:r w:rsidRPr="00E4608E">
              <w:rPr>
                <w:rFonts w:eastAsia="Times New Roman"/>
                <w:b/>
                <w:bCs/>
                <w:color w:val="000000"/>
                <w:lang w:val="en-GB" w:eastAsia="en-GB"/>
              </w:rPr>
              <w:t>comparison</w:t>
            </w:r>
          </w:p>
        </w:tc>
        <w:tc>
          <w:tcPr>
            <w:tcW w:w="1194" w:type="dxa"/>
            <w:tcBorders>
              <w:top w:val="single" w:sz="4" w:space="0" w:color="auto"/>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b/>
                <w:bCs/>
                <w:color w:val="000000"/>
                <w:lang w:val="en-GB" w:eastAsia="en-GB"/>
              </w:rPr>
            </w:pPr>
            <w:r w:rsidRPr="00E4608E">
              <w:rPr>
                <w:rFonts w:eastAsia="Times New Roman"/>
                <w:b/>
                <w:bCs/>
                <w:color w:val="000000"/>
                <w:lang w:val="en-GB" w:eastAsia="en-GB"/>
              </w:rPr>
              <w:t>model</w:t>
            </w:r>
          </w:p>
        </w:tc>
        <w:tc>
          <w:tcPr>
            <w:tcW w:w="1566" w:type="dxa"/>
            <w:tcBorders>
              <w:top w:val="single" w:sz="4" w:space="0" w:color="auto"/>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b/>
                <w:bCs/>
                <w:color w:val="000000"/>
                <w:lang w:val="en-GB" w:eastAsia="en-GB"/>
              </w:rPr>
            </w:pPr>
            <w:r w:rsidRPr="00E4608E">
              <w:rPr>
                <w:rFonts w:eastAsia="Times New Roman"/>
                <w:b/>
                <w:bCs/>
                <w:color w:val="000000"/>
                <w:lang w:val="en-GB" w:eastAsia="en-GB"/>
              </w:rPr>
              <w:t>sum of squares</w:t>
            </w:r>
          </w:p>
        </w:tc>
        <w:tc>
          <w:tcPr>
            <w:tcW w:w="634" w:type="dxa"/>
            <w:tcBorders>
              <w:top w:val="single" w:sz="4" w:space="0" w:color="auto"/>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b/>
                <w:bCs/>
                <w:color w:val="000000"/>
                <w:lang w:val="en-GB" w:eastAsia="en-GB"/>
              </w:rPr>
            </w:pPr>
            <w:r w:rsidRPr="00E4608E">
              <w:rPr>
                <w:rFonts w:eastAsia="Times New Roman"/>
                <w:b/>
                <w:bCs/>
                <w:color w:val="000000"/>
                <w:lang w:val="en-GB" w:eastAsia="en-GB"/>
              </w:rPr>
              <w:t>df</w:t>
            </w:r>
          </w:p>
        </w:tc>
        <w:tc>
          <w:tcPr>
            <w:tcW w:w="1643" w:type="dxa"/>
            <w:tcBorders>
              <w:top w:val="single" w:sz="4" w:space="0" w:color="auto"/>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b/>
                <w:bCs/>
                <w:color w:val="000000"/>
                <w:lang w:val="en-GB" w:eastAsia="en-GB"/>
              </w:rPr>
            </w:pPr>
            <w:r w:rsidRPr="00E4608E">
              <w:rPr>
                <w:rFonts w:eastAsia="Times New Roman"/>
                <w:b/>
                <w:bCs/>
                <w:color w:val="000000"/>
                <w:lang w:val="en-GB" w:eastAsia="en-GB"/>
              </w:rPr>
              <w:t>mean square</w:t>
            </w:r>
          </w:p>
        </w:tc>
        <w:tc>
          <w:tcPr>
            <w:tcW w:w="1041" w:type="dxa"/>
            <w:tcBorders>
              <w:top w:val="single" w:sz="4" w:space="0" w:color="auto"/>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b/>
                <w:bCs/>
                <w:i/>
                <w:color w:val="000000"/>
                <w:lang w:val="en-GB" w:eastAsia="en-GB"/>
              </w:rPr>
            </w:pPr>
            <w:r w:rsidRPr="00E4608E">
              <w:rPr>
                <w:rFonts w:eastAsia="Times New Roman"/>
                <w:b/>
                <w:bCs/>
                <w:i/>
                <w:color w:val="000000"/>
                <w:lang w:val="en-GB" w:eastAsia="en-GB"/>
              </w:rPr>
              <w:t>F</w:t>
            </w:r>
          </w:p>
        </w:tc>
        <w:tc>
          <w:tcPr>
            <w:tcW w:w="1204" w:type="dxa"/>
            <w:tcBorders>
              <w:top w:val="single" w:sz="4" w:space="0" w:color="auto"/>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b/>
                <w:bCs/>
                <w:color w:val="000000"/>
                <w:lang w:val="en-GB" w:eastAsia="en-GB"/>
              </w:rPr>
            </w:pPr>
            <w:r w:rsidRPr="00E4608E">
              <w:rPr>
                <w:rFonts w:eastAsia="Times New Roman"/>
                <w:b/>
                <w:bCs/>
                <w:color w:val="000000"/>
                <w:lang w:val="en-GB" w:eastAsia="en-GB"/>
              </w:rPr>
              <w:t>sig.</w:t>
            </w:r>
          </w:p>
        </w:tc>
      </w:tr>
      <w:tr w:rsidR="00E4608E" w:rsidRPr="00E4608E" w:rsidTr="00D4688C">
        <w:trPr>
          <w:trHeight w:hRule="exact" w:val="284"/>
          <w:jc w:val="center"/>
        </w:trPr>
        <w:tc>
          <w:tcPr>
            <w:tcW w:w="1129" w:type="dxa"/>
            <w:vMerge w:val="restart"/>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females</w:t>
            </w:r>
          </w:p>
        </w:tc>
        <w:tc>
          <w:tcPr>
            <w:tcW w:w="1701" w:type="dxa"/>
            <w:vMerge w:val="restart"/>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humerus-femur</w:t>
            </w:r>
          </w:p>
        </w:tc>
        <w:tc>
          <w:tcPr>
            <w:tcW w:w="119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regression</w:t>
            </w:r>
          </w:p>
        </w:tc>
        <w:tc>
          <w:tcPr>
            <w:tcW w:w="1566"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0.053</w:t>
            </w:r>
          </w:p>
        </w:tc>
        <w:tc>
          <w:tcPr>
            <w:tcW w:w="63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w:t>
            </w:r>
          </w:p>
        </w:tc>
        <w:tc>
          <w:tcPr>
            <w:tcW w:w="1643"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0.053</w:t>
            </w:r>
          </w:p>
        </w:tc>
        <w:tc>
          <w:tcPr>
            <w:tcW w:w="1041"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697.348</w:t>
            </w:r>
          </w:p>
        </w:tc>
        <w:tc>
          <w:tcPr>
            <w:tcW w:w="120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0.000</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residual</w:t>
            </w:r>
          </w:p>
        </w:tc>
        <w:tc>
          <w:tcPr>
            <w:tcW w:w="1566"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0.001</w:t>
            </w:r>
          </w:p>
        </w:tc>
        <w:tc>
          <w:tcPr>
            <w:tcW w:w="63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8</w:t>
            </w:r>
          </w:p>
        </w:tc>
        <w:tc>
          <w:tcPr>
            <w:tcW w:w="1643"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1041"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total</w:t>
            </w:r>
          </w:p>
        </w:tc>
        <w:tc>
          <w:tcPr>
            <w:tcW w:w="1566"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0.053</w:t>
            </w:r>
          </w:p>
        </w:tc>
        <w:tc>
          <w:tcPr>
            <w:tcW w:w="63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9</w:t>
            </w:r>
          </w:p>
        </w:tc>
        <w:tc>
          <w:tcPr>
            <w:tcW w:w="1643"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041"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val="restart"/>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radius-tibia</w:t>
            </w:r>
          </w:p>
        </w:tc>
        <w:tc>
          <w:tcPr>
            <w:tcW w:w="119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regression</w:t>
            </w:r>
          </w:p>
        </w:tc>
        <w:tc>
          <w:tcPr>
            <w:tcW w:w="1566"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0.062</w:t>
            </w:r>
          </w:p>
        </w:tc>
        <w:tc>
          <w:tcPr>
            <w:tcW w:w="63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w:t>
            </w:r>
          </w:p>
        </w:tc>
        <w:tc>
          <w:tcPr>
            <w:tcW w:w="1643"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0.062</w:t>
            </w:r>
          </w:p>
        </w:tc>
        <w:tc>
          <w:tcPr>
            <w:tcW w:w="1041"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364.52</w:t>
            </w:r>
          </w:p>
        </w:tc>
        <w:tc>
          <w:tcPr>
            <w:tcW w:w="120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0.000</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residual</w:t>
            </w:r>
          </w:p>
        </w:tc>
        <w:tc>
          <w:tcPr>
            <w:tcW w:w="1566"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0.002</w:t>
            </w:r>
          </w:p>
        </w:tc>
        <w:tc>
          <w:tcPr>
            <w:tcW w:w="63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9</w:t>
            </w:r>
          </w:p>
        </w:tc>
        <w:tc>
          <w:tcPr>
            <w:tcW w:w="1643"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1041"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total</w:t>
            </w:r>
          </w:p>
        </w:tc>
        <w:tc>
          <w:tcPr>
            <w:tcW w:w="1566"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0.064</w:t>
            </w:r>
          </w:p>
        </w:tc>
        <w:tc>
          <w:tcPr>
            <w:tcW w:w="63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10</w:t>
            </w:r>
          </w:p>
        </w:tc>
        <w:tc>
          <w:tcPr>
            <w:tcW w:w="1643"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041"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val="restart"/>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humerus-radius</w:t>
            </w:r>
          </w:p>
        </w:tc>
        <w:tc>
          <w:tcPr>
            <w:tcW w:w="119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regression</w:t>
            </w:r>
          </w:p>
        </w:tc>
        <w:tc>
          <w:tcPr>
            <w:tcW w:w="1566"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0.053</w:t>
            </w:r>
          </w:p>
        </w:tc>
        <w:tc>
          <w:tcPr>
            <w:tcW w:w="63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w:t>
            </w:r>
          </w:p>
        </w:tc>
        <w:tc>
          <w:tcPr>
            <w:tcW w:w="1643"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0.053</w:t>
            </w:r>
          </w:p>
        </w:tc>
        <w:tc>
          <w:tcPr>
            <w:tcW w:w="1041"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3627.4</w:t>
            </w:r>
          </w:p>
        </w:tc>
        <w:tc>
          <w:tcPr>
            <w:tcW w:w="120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0.000</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residual</w:t>
            </w:r>
          </w:p>
        </w:tc>
        <w:tc>
          <w:tcPr>
            <w:tcW w:w="1566"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63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7</w:t>
            </w:r>
          </w:p>
        </w:tc>
        <w:tc>
          <w:tcPr>
            <w:tcW w:w="1643"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1041"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total</w:t>
            </w:r>
          </w:p>
        </w:tc>
        <w:tc>
          <w:tcPr>
            <w:tcW w:w="1566"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0.053</w:t>
            </w:r>
          </w:p>
        </w:tc>
        <w:tc>
          <w:tcPr>
            <w:tcW w:w="63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8</w:t>
            </w:r>
          </w:p>
        </w:tc>
        <w:tc>
          <w:tcPr>
            <w:tcW w:w="1643"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041"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val="restart"/>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tibia-femur</w:t>
            </w:r>
          </w:p>
        </w:tc>
        <w:tc>
          <w:tcPr>
            <w:tcW w:w="119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regression</w:t>
            </w:r>
          </w:p>
        </w:tc>
        <w:tc>
          <w:tcPr>
            <w:tcW w:w="1566"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0.065</w:t>
            </w:r>
          </w:p>
        </w:tc>
        <w:tc>
          <w:tcPr>
            <w:tcW w:w="63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w:t>
            </w:r>
          </w:p>
        </w:tc>
        <w:tc>
          <w:tcPr>
            <w:tcW w:w="1643"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0.065</w:t>
            </w:r>
          </w:p>
        </w:tc>
        <w:tc>
          <w:tcPr>
            <w:tcW w:w="1041"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717.866</w:t>
            </w:r>
          </w:p>
        </w:tc>
        <w:tc>
          <w:tcPr>
            <w:tcW w:w="1204" w:type="dxa"/>
            <w:tcBorders>
              <w:top w:val="single" w:sz="4" w:space="0" w:color="auto"/>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0.000</w:t>
            </w:r>
          </w:p>
        </w:tc>
      </w:tr>
      <w:tr w:rsidR="00E4608E" w:rsidRPr="00E4608E" w:rsidTr="00D4688C">
        <w:trPr>
          <w:trHeight w:hRule="exact" w:val="284"/>
          <w:jc w:val="center"/>
        </w:trPr>
        <w:tc>
          <w:tcPr>
            <w:tcW w:w="1129"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residual</w:t>
            </w:r>
          </w:p>
        </w:tc>
        <w:tc>
          <w:tcPr>
            <w:tcW w:w="1566"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0.001</w:t>
            </w:r>
          </w:p>
        </w:tc>
        <w:tc>
          <w:tcPr>
            <w:tcW w:w="63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10</w:t>
            </w:r>
          </w:p>
        </w:tc>
        <w:tc>
          <w:tcPr>
            <w:tcW w:w="1643"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1041"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top w:val="nil"/>
              <w:bottom w:val="nil"/>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total</w:t>
            </w:r>
          </w:p>
        </w:tc>
        <w:tc>
          <w:tcPr>
            <w:tcW w:w="1566"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0.066</w:t>
            </w:r>
          </w:p>
        </w:tc>
        <w:tc>
          <w:tcPr>
            <w:tcW w:w="63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11</w:t>
            </w:r>
          </w:p>
        </w:tc>
        <w:tc>
          <w:tcPr>
            <w:tcW w:w="1643"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041"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top w:val="nil"/>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val="restart"/>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males</w:t>
            </w:r>
          </w:p>
        </w:tc>
        <w:tc>
          <w:tcPr>
            <w:tcW w:w="1701" w:type="dxa"/>
            <w:vMerge w:val="restart"/>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humerus-femur</w:t>
            </w:r>
          </w:p>
        </w:tc>
        <w:tc>
          <w:tcPr>
            <w:tcW w:w="119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regression</w:t>
            </w:r>
          </w:p>
        </w:tc>
        <w:tc>
          <w:tcPr>
            <w:tcW w:w="1566"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0.124</w:t>
            </w:r>
          </w:p>
        </w:tc>
        <w:tc>
          <w:tcPr>
            <w:tcW w:w="63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w:t>
            </w:r>
          </w:p>
        </w:tc>
        <w:tc>
          <w:tcPr>
            <w:tcW w:w="1643"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0.124</w:t>
            </w:r>
          </w:p>
        </w:tc>
        <w:tc>
          <w:tcPr>
            <w:tcW w:w="1041"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254.261</w:t>
            </w:r>
          </w:p>
        </w:tc>
        <w:tc>
          <w:tcPr>
            <w:tcW w:w="120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0.000</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residual</w:t>
            </w:r>
          </w:p>
        </w:tc>
        <w:tc>
          <w:tcPr>
            <w:tcW w:w="1566"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0.005</w:t>
            </w:r>
          </w:p>
        </w:tc>
        <w:tc>
          <w:tcPr>
            <w:tcW w:w="63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10</w:t>
            </w:r>
          </w:p>
        </w:tc>
        <w:tc>
          <w:tcPr>
            <w:tcW w:w="1643"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1041"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total</w:t>
            </w:r>
          </w:p>
        </w:tc>
        <w:tc>
          <w:tcPr>
            <w:tcW w:w="1566"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0.129</w:t>
            </w:r>
          </w:p>
        </w:tc>
        <w:tc>
          <w:tcPr>
            <w:tcW w:w="63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11</w:t>
            </w:r>
          </w:p>
        </w:tc>
        <w:tc>
          <w:tcPr>
            <w:tcW w:w="1643"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radius-tibia</w:t>
            </w:r>
          </w:p>
        </w:tc>
        <w:tc>
          <w:tcPr>
            <w:tcW w:w="119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regression</w:t>
            </w:r>
          </w:p>
        </w:tc>
        <w:tc>
          <w:tcPr>
            <w:tcW w:w="1566"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0.095</w:t>
            </w:r>
          </w:p>
        </w:tc>
        <w:tc>
          <w:tcPr>
            <w:tcW w:w="63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w:t>
            </w:r>
          </w:p>
        </w:tc>
        <w:tc>
          <w:tcPr>
            <w:tcW w:w="1643"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0.095</w:t>
            </w:r>
          </w:p>
        </w:tc>
        <w:tc>
          <w:tcPr>
            <w:tcW w:w="1041"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964.013</w:t>
            </w:r>
          </w:p>
        </w:tc>
        <w:tc>
          <w:tcPr>
            <w:tcW w:w="120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0.000</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residual</w:t>
            </w:r>
          </w:p>
        </w:tc>
        <w:tc>
          <w:tcPr>
            <w:tcW w:w="1566"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0.001</w:t>
            </w:r>
          </w:p>
        </w:tc>
        <w:tc>
          <w:tcPr>
            <w:tcW w:w="63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8</w:t>
            </w:r>
          </w:p>
        </w:tc>
        <w:tc>
          <w:tcPr>
            <w:tcW w:w="1643"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1041"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total</w:t>
            </w:r>
          </w:p>
        </w:tc>
        <w:tc>
          <w:tcPr>
            <w:tcW w:w="1566"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0.096</w:t>
            </w:r>
          </w:p>
        </w:tc>
        <w:tc>
          <w:tcPr>
            <w:tcW w:w="63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9</w:t>
            </w:r>
          </w:p>
        </w:tc>
        <w:tc>
          <w:tcPr>
            <w:tcW w:w="1643"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humerus-radius</w:t>
            </w:r>
          </w:p>
        </w:tc>
        <w:tc>
          <w:tcPr>
            <w:tcW w:w="119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regression</w:t>
            </w:r>
          </w:p>
        </w:tc>
        <w:tc>
          <w:tcPr>
            <w:tcW w:w="1566"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0.134</w:t>
            </w:r>
          </w:p>
        </w:tc>
        <w:tc>
          <w:tcPr>
            <w:tcW w:w="63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w:t>
            </w:r>
          </w:p>
        </w:tc>
        <w:tc>
          <w:tcPr>
            <w:tcW w:w="1643"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0.134</w:t>
            </w:r>
          </w:p>
        </w:tc>
        <w:tc>
          <w:tcPr>
            <w:tcW w:w="1041"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380.651</w:t>
            </w:r>
          </w:p>
        </w:tc>
        <w:tc>
          <w:tcPr>
            <w:tcW w:w="120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0.000</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residual</w:t>
            </w:r>
          </w:p>
        </w:tc>
        <w:tc>
          <w:tcPr>
            <w:tcW w:w="1566"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0.004</w:t>
            </w:r>
          </w:p>
        </w:tc>
        <w:tc>
          <w:tcPr>
            <w:tcW w:w="63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10</w:t>
            </w:r>
          </w:p>
        </w:tc>
        <w:tc>
          <w:tcPr>
            <w:tcW w:w="1643"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1041"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total</w:t>
            </w:r>
          </w:p>
        </w:tc>
        <w:tc>
          <w:tcPr>
            <w:tcW w:w="1566"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0.138</w:t>
            </w:r>
          </w:p>
        </w:tc>
        <w:tc>
          <w:tcPr>
            <w:tcW w:w="63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11</w:t>
            </w:r>
          </w:p>
        </w:tc>
        <w:tc>
          <w:tcPr>
            <w:tcW w:w="1643"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041"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tcBorders>
              <w:bottom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val="restart"/>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tibia-femur</w:t>
            </w:r>
          </w:p>
        </w:tc>
        <w:tc>
          <w:tcPr>
            <w:tcW w:w="119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regression</w:t>
            </w:r>
          </w:p>
        </w:tc>
        <w:tc>
          <w:tcPr>
            <w:tcW w:w="1566"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0.088</w:t>
            </w:r>
          </w:p>
        </w:tc>
        <w:tc>
          <w:tcPr>
            <w:tcW w:w="63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w:t>
            </w:r>
          </w:p>
        </w:tc>
        <w:tc>
          <w:tcPr>
            <w:tcW w:w="1643"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0.088</w:t>
            </w:r>
          </w:p>
        </w:tc>
        <w:tc>
          <w:tcPr>
            <w:tcW w:w="1041"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1101.749</w:t>
            </w:r>
          </w:p>
        </w:tc>
        <w:tc>
          <w:tcPr>
            <w:tcW w:w="1204" w:type="dxa"/>
            <w:tcBorders>
              <w:top w:val="single" w:sz="4" w:space="0" w:color="auto"/>
            </w:tcBorders>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0.000</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residual</w:t>
            </w:r>
          </w:p>
        </w:tc>
        <w:tc>
          <w:tcPr>
            <w:tcW w:w="1566"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0.001</w:t>
            </w:r>
          </w:p>
        </w:tc>
        <w:tc>
          <w:tcPr>
            <w:tcW w:w="63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9</w:t>
            </w:r>
          </w:p>
        </w:tc>
        <w:tc>
          <w:tcPr>
            <w:tcW w:w="1643"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w:t>
            </w:r>
          </w:p>
        </w:tc>
        <w:tc>
          <w:tcPr>
            <w:tcW w:w="1041"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r w:rsidR="00E4608E" w:rsidRPr="00E4608E" w:rsidTr="00D4688C">
        <w:trPr>
          <w:trHeight w:hRule="exact" w:val="284"/>
          <w:jc w:val="center"/>
        </w:trPr>
        <w:tc>
          <w:tcPr>
            <w:tcW w:w="1129"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701" w:type="dxa"/>
            <w:vMerge/>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p>
        </w:tc>
        <w:tc>
          <w:tcPr>
            <w:tcW w:w="119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total</w:t>
            </w:r>
          </w:p>
        </w:tc>
        <w:tc>
          <w:tcPr>
            <w:tcW w:w="1566"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0.088</w:t>
            </w:r>
          </w:p>
        </w:tc>
        <w:tc>
          <w:tcPr>
            <w:tcW w:w="63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10</w:t>
            </w:r>
          </w:p>
        </w:tc>
        <w:tc>
          <w:tcPr>
            <w:tcW w:w="1643"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041"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c>
          <w:tcPr>
            <w:tcW w:w="1204" w:type="dxa"/>
            <w:shd w:val="clear" w:color="auto" w:fill="auto"/>
            <w:noWrap/>
            <w:vAlign w:val="center"/>
            <w:hideMark/>
          </w:tcPr>
          <w:p w:rsidR="00E4608E" w:rsidRPr="00E4608E" w:rsidRDefault="00E4608E" w:rsidP="00E4608E">
            <w:pPr>
              <w:spacing w:before="0" w:line="240" w:lineRule="auto"/>
              <w:jc w:val="center"/>
              <w:rPr>
                <w:rFonts w:eastAsia="Times New Roman"/>
                <w:color w:val="000000"/>
                <w:lang w:val="en-GB" w:eastAsia="en-GB"/>
              </w:rPr>
            </w:pPr>
            <w:r w:rsidRPr="00E4608E">
              <w:rPr>
                <w:rFonts w:eastAsia="Times New Roman"/>
                <w:color w:val="000000"/>
                <w:lang w:val="en-GB" w:eastAsia="en-GB"/>
              </w:rPr>
              <w:t> </w:t>
            </w:r>
          </w:p>
        </w:tc>
      </w:tr>
    </w:tbl>
    <w:p w:rsidR="00E4608E" w:rsidRPr="00E4608E" w:rsidRDefault="00E4608E" w:rsidP="00E4608E">
      <w:pPr>
        <w:spacing w:before="0" w:after="200" w:line="276" w:lineRule="auto"/>
        <w:jc w:val="left"/>
        <w:rPr>
          <w:rFonts w:eastAsiaTheme="minorHAnsi"/>
          <w:noProof/>
          <w:color w:val="000000"/>
          <w:lang w:val="en-GB" w:eastAsia="en-GB"/>
        </w:rPr>
      </w:pPr>
      <w:r w:rsidRPr="00E4608E">
        <w:rPr>
          <w:rFonts w:eastAsiaTheme="minorHAnsi"/>
          <w:lang w:val="en-GB"/>
        </w:rPr>
        <w:br w:type="page"/>
      </w:r>
    </w:p>
    <w:p w:rsidR="00D4688C" w:rsidRPr="00D4688C" w:rsidRDefault="00D4688C" w:rsidP="00D4688C">
      <w:pPr>
        <w:numPr>
          <w:ilvl w:val="1"/>
          <w:numId w:val="0"/>
        </w:numPr>
        <w:tabs>
          <w:tab w:val="left" w:pos="660"/>
          <w:tab w:val="right" w:leader="dot" w:pos="8471"/>
        </w:tabs>
        <w:spacing w:before="120" w:after="100" w:line="276" w:lineRule="auto"/>
        <w:ind w:right="289"/>
        <w:jc w:val="left"/>
        <w:rPr>
          <w:rFonts w:eastAsiaTheme="minorHAnsi"/>
          <w:noProof/>
          <w:color w:val="000000"/>
          <w:lang w:val="en-GB" w:eastAsia="en-GB"/>
        </w:rPr>
      </w:pPr>
      <w:bookmarkStart w:id="3568" w:name="_Toc373177913"/>
      <w:bookmarkStart w:id="3569" w:name="_Toc373484452"/>
      <w:r w:rsidRPr="00D4688C">
        <w:rPr>
          <w:rFonts w:eastAsiaTheme="minorHAnsi"/>
          <w:b/>
          <w:noProof/>
          <w:color w:val="000000"/>
          <w:lang w:val="en-GB" w:eastAsia="en-GB"/>
        </w:rPr>
        <w:lastRenderedPageBreak/>
        <w:t>Table 8.31</w:t>
      </w:r>
      <w:r>
        <w:rPr>
          <w:rFonts w:eastAsiaTheme="minorHAnsi"/>
          <w:noProof/>
          <w:color w:val="000000"/>
          <w:lang w:val="en-GB" w:eastAsia="en-GB"/>
        </w:rPr>
        <w:t xml:space="preserve"> </w:t>
      </w:r>
      <w:r w:rsidRPr="00D4688C">
        <w:rPr>
          <w:rFonts w:eastAsiaTheme="minorHAnsi"/>
          <w:noProof/>
          <w:color w:val="000000"/>
          <w:lang w:val="en-GB" w:eastAsia="en-GB"/>
        </w:rPr>
        <w:t xml:space="preserve">Coefficients for linear regression in </w:t>
      </w:r>
      <w:r w:rsidRPr="00D4688C">
        <w:rPr>
          <w:rFonts w:eastAsiaTheme="minorHAnsi"/>
          <w:i/>
          <w:noProof/>
          <w:color w:val="000000"/>
          <w:lang w:val="en-GB" w:eastAsia="en-GB"/>
        </w:rPr>
        <w:t xml:space="preserve">Pan troglodytes </w:t>
      </w:r>
      <w:r w:rsidRPr="00D4688C">
        <w:rPr>
          <w:rFonts w:eastAsiaTheme="minorHAnsi"/>
          <w:noProof/>
          <w:color w:val="000000"/>
          <w:lang w:val="en-GB" w:eastAsia="en-GB"/>
        </w:rPr>
        <w:t>males and females.</w:t>
      </w:r>
      <w:bookmarkEnd w:id="3568"/>
      <w:bookmarkEnd w:id="3569"/>
    </w:p>
    <w:tbl>
      <w:tblPr>
        <w:tblW w:w="9238" w:type="dxa"/>
        <w:tblInd w:w="93" w:type="dxa"/>
        <w:tblBorders>
          <w:top w:val="single" w:sz="4" w:space="0" w:color="auto"/>
          <w:bottom w:val="single" w:sz="4" w:space="0" w:color="auto"/>
        </w:tblBorders>
        <w:tblLook w:val="04A0" w:firstRow="1" w:lastRow="0" w:firstColumn="1" w:lastColumn="0" w:noHBand="0" w:noVBand="1"/>
      </w:tblPr>
      <w:tblGrid>
        <w:gridCol w:w="901"/>
        <w:gridCol w:w="1820"/>
        <w:gridCol w:w="1720"/>
        <w:gridCol w:w="1008"/>
        <w:gridCol w:w="1476"/>
        <w:gridCol w:w="960"/>
        <w:gridCol w:w="1353"/>
      </w:tblGrid>
      <w:tr w:rsidR="00D4688C" w:rsidRPr="00D4688C" w:rsidTr="00D4688C">
        <w:trPr>
          <w:cantSplit/>
          <w:trHeight w:val="300"/>
        </w:trPr>
        <w:tc>
          <w:tcPr>
            <w:tcW w:w="901"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b/>
                <w:bCs/>
                <w:color w:val="000000"/>
                <w:lang w:val="en-GB" w:eastAsia="en-GB"/>
              </w:rPr>
              <w:t>sex</w:t>
            </w:r>
          </w:p>
        </w:tc>
        <w:tc>
          <w:tcPr>
            <w:tcW w:w="1820"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comparison</w:t>
            </w:r>
          </w:p>
        </w:tc>
        <w:tc>
          <w:tcPr>
            <w:tcW w:w="2728" w:type="dxa"/>
            <w:gridSpan w:val="2"/>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unstandardized coefficients</w:t>
            </w:r>
          </w:p>
        </w:tc>
        <w:tc>
          <w:tcPr>
            <w:tcW w:w="1476" w:type="dxa"/>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standardized coefficients</w:t>
            </w:r>
          </w:p>
        </w:tc>
        <w:tc>
          <w:tcPr>
            <w:tcW w:w="960"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t</w:t>
            </w:r>
          </w:p>
        </w:tc>
        <w:tc>
          <w:tcPr>
            <w:tcW w:w="1353"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significance</w:t>
            </w:r>
          </w:p>
        </w:tc>
      </w:tr>
      <w:tr w:rsidR="00D4688C" w:rsidRPr="00D4688C" w:rsidTr="00D4688C">
        <w:trPr>
          <w:cantSplit/>
          <w:trHeight w:val="300"/>
        </w:trPr>
        <w:tc>
          <w:tcPr>
            <w:tcW w:w="901"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p>
        </w:tc>
        <w:tc>
          <w:tcPr>
            <w:tcW w:w="1820"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p>
        </w:tc>
        <w:tc>
          <w:tcPr>
            <w:tcW w:w="1720" w:type="dxa"/>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i/>
                <w:color w:val="000000"/>
                <w:lang w:val="en-GB" w:eastAsia="en-GB"/>
              </w:rPr>
            </w:pPr>
            <w:r w:rsidRPr="00D4688C">
              <w:rPr>
                <w:rFonts w:eastAsia="Times New Roman"/>
                <w:b/>
                <w:bCs/>
                <w:i/>
                <w:color w:val="000000"/>
                <w:lang w:val="en-GB" w:eastAsia="en-GB"/>
              </w:rPr>
              <w:t>B</w:t>
            </w:r>
          </w:p>
        </w:tc>
        <w:tc>
          <w:tcPr>
            <w:tcW w:w="1008" w:type="dxa"/>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std. error</w:t>
            </w:r>
          </w:p>
        </w:tc>
        <w:tc>
          <w:tcPr>
            <w:tcW w:w="1476" w:type="dxa"/>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Beta</w:t>
            </w:r>
          </w:p>
        </w:tc>
        <w:tc>
          <w:tcPr>
            <w:tcW w:w="960"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p>
        </w:tc>
        <w:tc>
          <w:tcPr>
            <w:tcW w:w="1353"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p>
        </w:tc>
      </w:tr>
      <w:tr w:rsidR="00D4688C" w:rsidRPr="00D4688C" w:rsidTr="00D4688C">
        <w:trPr>
          <w:cantSplit/>
          <w:trHeight w:val="300"/>
        </w:trPr>
        <w:tc>
          <w:tcPr>
            <w:tcW w:w="901"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females</w:t>
            </w:r>
          </w:p>
        </w:tc>
        <w:tc>
          <w:tcPr>
            <w:tcW w:w="182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humerus-femur</w:t>
            </w:r>
          </w:p>
        </w:tc>
        <w:tc>
          <w:tcPr>
            <w:tcW w:w="172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0.02(</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008"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0.034</w:t>
            </w:r>
          </w:p>
        </w:tc>
        <w:tc>
          <w:tcPr>
            <w:tcW w:w="1476"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0.589</w:t>
            </w:r>
          </w:p>
        </w:tc>
        <w:tc>
          <w:tcPr>
            <w:tcW w:w="1353"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0.557</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72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008"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0.014</w:t>
            </w:r>
          </w:p>
        </w:tc>
        <w:tc>
          <w:tcPr>
            <w:tcW w:w="1476"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0.992</w:t>
            </w:r>
          </w:p>
        </w:tc>
        <w:tc>
          <w:tcPr>
            <w:tcW w:w="96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69.844</w:t>
            </w:r>
          </w:p>
        </w:tc>
        <w:tc>
          <w:tcPr>
            <w:tcW w:w="1353"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radius-tibia</w:t>
            </w:r>
          </w:p>
        </w:tc>
        <w:tc>
          <w:tcPr>
            <w:tcW w:w="17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-0.051(</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008"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0.047</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-1.096</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0.277</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7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1.005(</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008"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0.02</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0.986</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50.792</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humerus-radius</w:t>
            </w:r>
          </w:p>
        </w:tc>
        <w:tc>
          <w:tcPr>
            <w:tcW w:w="17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0.046(</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008"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0.043</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1.078</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0.284</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7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0.997(</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008"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0.018</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0.987</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54.791</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tibia-femur</w:t>
            </w:r>
          </w:p>
        </w:tc>
        <w:tc>
          <w:tcPr>
            <w:tcW w:w="17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0.175(</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008"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0.034</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5.178</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7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0.957(</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008"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0.015</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65.448</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males</w:t>
            </w:r>
          </w:p>
        </w:tc>
        <w:tc>
          <w:tcPr>
            <w:tcW w:w="18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humerus-femur</w:t>
            </w:r>
          </w:p>
        </w:tc>
        <w:tc>
          <w:tcPr>
            <w:tcW w:w="17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0.558(</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008"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0.15</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3.731</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7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0.765(</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008"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0.063</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0.856</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12.078</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radius-tibia</w:t>
            </w:r>
          </w:p>
        </w:tc>
        <w:tc>
          <w:tcPr>
            <w:tcW w:w="17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0.212(</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008"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0.037</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5.684</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7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0.927(</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008"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0.016</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0.992</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57.001</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humerus-radius</w:t>
            </w:r>
          </w:p>
        </w:tc>
        <w:tc>
          <w:tcPr>
            <w:tcW w:w="17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0.217(</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008"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0.102</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2.132</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0.038</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72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0.92(</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008"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0.044</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0.95</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21.096</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tibia-femur</w:t>
            </w:r>
          </w:p>
        </w:tc>
        <w:tc>
          <w:tcPr>
            <w:tcW w:w="172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0.26(</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008"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0.029</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8.817</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01"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820"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720"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0.921(</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008"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0.013</w:t>
            </w:r>
          </w:p>
        </w:tc>
        <w:tc>
          <w:tcPr>
            <w:tcW w:w="1476"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0.995</w:t>
            </w:r>
          </w:p>
        </w:tc>
        <w:tc>
          <w:tcPr>
            <w:tcW w:w="960"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71.178</w:t>
            </w:r>
          </w:p>
        </w:tc>
        <w:tc>
          <w:tcPr>
            <w:tcW w:w="1353"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bl>
    <w:p w:rsidR="00D4688C" w:rsidRPr="00D4688C" w:rsidRDefault="00D4688C" w:rsidP="00250113">
      <w:pPr>
        <w:spacing w:before="0" w:after="60" w:line="276" w:lineRule="auto"/>
        <w:jc w:val="left"/>
        <w:rPr>
          <w:rFonts w:eastAsiaTheme="minorHAnsi"/>
          <w:lang w:val="en-GB"/>
        </w:rPr>
      </w:pPr>
      <w:r w:rsidRPr="00D4688C">
        <w:rPr>
          <w:rFonts w:eastAsiaTheme="minorHAnsi"/>
          <w:lang w:val="en-GB"/>
        </w:rPr>
        <w:t>Note: B</w:t>
      </w:r>
      <w:r w:rsidRPr="00D4688C">
        <w:rPr>
          <w:rFonts w:eastAsiaTheme="minorHAnsi"/>
          <w:vertAlign w:val="subscript"/>
          <w:lang w:val="en-GB"/>
        </w:rPr>
        <w:t>1</w:t>
      </w:r>
      <w:r w:rsidRPr="00D4688C">
        <w:rPr>
          <w:rFonts w:eastAsiaTheme="minorHAnsi"/>
          <w:lang w:val="en-GB"/>
        </w:rPr>
        <w:t xml:space="preserve"> is the y intercept and B</w:t>
      </w:r>
      <w:r w:rsidRPr="00D4688C">
        <w:rPr>
          <w:rFonts w:eastAsiaTheme="minorHAnsi"/>
          <w:vertAlign w:val="subscript"/>
          <w:lang w:val="en-GB"/>
        </w:rPr>
        <w:t xml:space="preserve">2 </w:t>
      </w:r>
      <w:r w:rsidRPr="00D4688C">
        <w:rPr>
          <w:rFonts w:eastAsiaTheme="minorHAnsi"/>
          <w:lang w:val="en-GB"/>
        </w:rPr>
        <w:t>the slope for the regression equation.</w:t>
      </w:r>
    </w:p>
    <w:p w:rsidR="00D4688C" w:rsidRPr="00D4688C" w:rsidRDefault="00D4688C" w:rsidP="00250113">
      <w:pPr>
        <w:numPr>
          <w:ilvl w:val="1"/>
          <w:numId w:val="0"/>
        </w:numPr>
        <w:tabs>
          <w:tab w:val="left" w:pos="660"/>
          <w:tab w:val="right" w:leader="dot" w:pos="8471"/>
        </w:tabs>
        <w:spacing w:before="0" w:after="60" w:line="276" w:lineRule="auto"/>
        <w:ind w:right="289"/>
        <w:jc w:val="left"/>
        <w:rPr>
          <w:rFonts w:eastAsiaTheme="minorHAnsi"/>
          <w:noProof/>
          <w:color w:val="000000"/>
          <w:lang w:val="en-GB" w:eastAsia="en-GB"/>
        </w:rPr>
      </w:pPr>
      <w:r w:rsidRPr="00D4688C">
        <w:rPr>
          <w:rFonts w:eastAsiaTheme="minorHAnsi"/>
          <w:b/>
          <w:noProof/>
          <w:color w:val="000000"/>
          <w:lang w:val="en-GB" w:eastAsia="en-GB"/>
        </w:rPr>
        <w:t>Table 8.32</w:t>
      </w:r>
      <w:r w:rsidRPr="00D4688C">
        <w:rPr>
          <w:rFonts w:eastAsiaTheme="minorHAnsi"/>
          <w:noProof/>
          <w:color w:val="000000"/>
          <w:lang w:val="en-GB" w:eastAsia="en-GB"/>
        </w:rPr>
        <w:t xml:space="preserve"> </w:t>
      </w:r>
      <w:bookmarkStart w:id="3570" w:name="_Toc373177914"/>
      <w:bookmarkStart w:id="3571" w:name="_Toc373484453"/>
      <w:r w:rsidRPr="00D4688C">
        <w:rPr>
          <w:rFonts w:eastAsiaTheme="minorHAnsi"/>
          <w:noProof/>
          <w:color w:val="000000"/>
          <w:lang w:val="en-GB" w:eastAsia="en-GB"/>
        </w:rPr>
        <w:t xml:space="preserve">Coefficients for linear regression in </w:t>
      </w:r>
      <w:r w:rsidRPr="00D4688C">
        <w:rPr>
          <w:rFonts w:eastAsiaTheme="minorHAnsi"/>
          <w:i/>
          <w:noProof/>
          <w:color w:val="000000"/>
          <w:lang w:val="en-GB" w:eastAsia="en-GB"/>
        </w:rPr>
        <w:t xml:space="preserve">Pan paniscus </w:t>
      </w:r>
      <w:r w:rsidRPr="00D4688C">
        <w:rPr>
          <w:rFonts w:eastAsiaTheme="minorHAnsi"/>
          <w:noProof/>
          <w:color w:val="000000"/>
          <w:lang w:val="en-GB" w:eastAsia="en-GB"/>
        </w:rPr>
        <w:t>males and females.</w:t>
      </w:r>
      <w:bookmarkEnd w:id="3570"/>
      <w:bookmarkEnd w:id="3571"/>
    </w:p>
    <w:tbl>
      <w:tblPr>
        <w:tblW w:w="9243" w:type="dxa"/>
        <w:tblInd w:w="93" w:type="dxa"/>
        <w:tblBorders>
          <w:top w:val="single" w:sz="4" w:space="0" w:color="auto"/>
          <w:bottom w:val="single" w:sz="4" w:space="0" w:color="auto"/>
        </w:tblBorders>
        <w:tblLook w:val="04A0" w:firstRow="1" w:lastRow="0" w:firstColumn="1" w:lastColumn="0" w:noHBand="0" w:noVBand="1"/>
      </w:tblPr>
      <w:tblGrid>
        <w:gridCol w:w="960"/>
        <w:gridCol w:w="1749"/>
        <w:gridCol w:w="1505"/>
        <w:gridCol w:w="1240"/>
        <w:gridCol w:w="1476"/>
        <w:gridCol w:w="960"/>
        <w:gridCol w:w="1353"/>
      </w:tblGrid>
      <w:tr w:rsidR="00D4688C" w:rsidRPr="00D4688C" w:rsidTr="00D4688C">
        <w:trPr>
          <w:cantSplit/>
          <w:trHeight w:val="300"/>
        </w:trPr>
        <w:tc>
          <w:tcPr>
            <w:tcW w:w="960"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b/>
                <w:bCs/>
                <w:color w:val="000000"/>
                <w:lang w:val="en-GB" w:eastAsia="en-GB"/>
              </w:rPr>
              <w:t>sex</w:t>
            </w:r>
          </w:p>
        </w:tc>
        <w:tc>
          <w:tcPr>
            <w:tcW w:w="1749"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comparison</w:t>
            </w:r>
          </w:p>
        </w:tc>
        <w:tc>
          <w:tcPr>
            <w:tcW w:w="2745" w:type="dxa"/>
            <w:gridSpan w:val="2"/>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unstandardized coefficients</w:t>
            </w:r>
          </w:p>
        </w:tc>
        <w:tc>
          <w:tcPr>
            <w:tcW w:w="1476" w:type="dxa"/>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standardized coefficients</w:t>
            </w:r>
          </w:p>
        </w:tc>
        <w:tc>
          <w:tcPr>
            <w:tcW w:w="960"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t</w:t>
            </w:r>
          </w:p>
        </w:tc>
        <w:tc>
          <w:tcPr>
            <w:tcW w:w="1353"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significance</w:t>
            </w:r>
          </w:p>
        </w:tc>
      </w:tr>
      <w:tr w:rsidR="00D4688C" w:rsidRPr="00D4688C" w:rsidTr="00D4688C">
        <w:trPr>
          <w:cantSplit/>
          <w:trHeight w:val="300"/>
        </w:trPr>
        <w:tc>
          <w:tcPr>
            <w:tcW w:w="960"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p>
        </w:tc>
        <w:tc>
          <w:tcPr>
            <w:tcW w:w="1749"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p>
        </w:tc>
        <w:tc>
          <w:tcPr>
            <w:tcW w:w="1505" w:type="dxa"/>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i/>
                <w:color w:val="000000"/>
                <w:lang w:val="en-GB" w:eastAsia="en-GB"/>
              </w:rPr>
            </w:pPr>
            <w:r w:rsidRPr="00D4688C">
              <w:rPr>
                <w:rFonts w:eastAsia="Times New Roman"/>
                <w:b/>
                <w:bCs/>
                <w:i/>
                <w:color w:val="000000"/>
                <w:lang w:val="en-GB" w:eastAsia="en-GB"/>
              </w:rPr>
              <w:t>B</w:t>
            </w:r>
          </w:p>
        </w:tc>
        <w:tc>
          <w:tcPr>
            <w:tcW w:w="1240" w:type="dxa"/>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std. error</w:t>
            </w:r>
          </w:p>
        </w:tc>
        <w:tc>
          <w:tcPr>
            <w:tcW w:w="1476" w:type="dxa"/>
            <w:tcBorders>
              <w:top w:val="single" w:sz="4" w:space="0" w:color="auto"/>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r w:rsidRPr="00D4688C">
              <w:rPr>
                <w:rFonts w:eastAsia="Times New Roman"/>
                <w:b/>
                <w:bCs/>
                <w:color w:val="000000"/>
                <w:lang w:val="en-GB" w:eastAsia="en-GB"/>
              </w:rPr>
              <w:t>Beta</w:t>
            </w:r>
          </w:p>
        </w:tc>
        <w:tc>
          <w:tcPr>
            <w:tcW w:w="960"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p>
        </w:tc>
        <w:tc>
          <w:tcPr>
            <w:tcW w:w="1353" w:type="dxa"/>
            <w:vMerge/>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bCs/>
                <w:color w:val="000000"/>
                <w:lang w:val="en-GB" w:eastAsia="en-GB"/>
              </w:rPr>
            </w:pPr>
          </w:p>
        </w:tc>
      </w:tr>
      <w:tr w:rsidR="00D4688C" w:rsidRPr="00D4688C" w:rsidTr="00D4688C">
        <w:trPr>
          <w:cantSplit/>
          <w:trHeight w:val="300"/>
        </w:trPr>
        <w:tc>
          <w:tcPr>
            <w:tcW w:w="960" w:type="dxa"/>
            <w:vMerge w:val="restart"/>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females</w:t>
            </w:r>
          </w:p>
        </w:tc>
        <w:tc>
          <w:tcPr>
            <w:tcW w:w="1749"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humerus-femur</w:t>
            </w:r>
          </w:p>
        </w:tc>
        <w:tc>
          <w:tcPr>
            <w:tcW w:w="1505"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0.122(</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24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0.085</w:t>
            </w:r>
          </w:p>
        </w:tc>
        <w:tc>
          <w:tcPr>
            <w:tcW w:w="1476"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1.428</w:t>
            </w:r>
          </w:p>
        </w:tc>
        <w:tc>
          <w:tcPr>
            <w:tcW w:w="1353"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0.191</w:t>
            </w:r>
          </w:p>
        </w:tc>
      </w:tr>
      <w:tr w:rsidR="00D4688C" w:rsidRPr="00D4688C" w:rsidTr="00D4688C">
        <w:trPr>
          <w:cantSplit/>
          <w:trHeight w:val="300"/>
        </w:trPr>
        <w:tc>
          <w:tcPr>
            <w:tcW w:w="960" w:type="dxa"/>
            <w:vMerge/>
            <w:tcBorders>
              <w:top w:val="nil"/>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505"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0.946(</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24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0.036</w:t>
            </w:r>
          </w:p>
        </w:tc>
        <w:tc>
          <w:tcPr>
            <w:tcW w:w="1476"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0.994</w:t>
            </w:r>
          </w:p>
        </w:tc>
        <w:tc>
          <w:tcPr>
            <w:tcW w:w="96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26.407</w:t>
            </w:r>
          </w:p>
        </w:tc>
        <w:tc>
          <w:tcPr>
            <w:tcW w:w="1353"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60" w:type="dxa"/>
            <w:vMerge/>
            <w:tcBorders>
              <w:top w:val="nil"/>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radius-tibia</w:t>
            </w:r>
          </w:p>
        </w:tc>
        <w:tc>
          <w:tcPr>
            <w:tcW w:w="1505"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0.346(</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24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0.105</w:t>
            </w:r>
          </w:p>
        </w:tc>
        <w:tc>
          <w:tcPr>
            <w:tcW w:w="1476"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3.293</w:t>
            </w:r>
          </w:p>
        </w:tc>
        <w:tc>
          <w:tcPr>
            <w:tcW w:w="1353"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0.009</w:t>
            </w:r>
          </w:p>
        </w:tc>
      </w:tr>
      <w:tr w:rsidR="00D4688C" w:rsidRPr="00D4688C" w:rsidTr="00D4688C">
        <w:trPr>
          <w:cantSplit/>
          <w:trHeight w:val="300"/>
        </w:trPr>
        <w:tc>
          <w:tcPr>
            <w:tcW w:w="960" w:type="dxa"/>
            <w:vMerge/>
            <w:tcBorders>
              <w:top w:val="nil"/>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505"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0.865(</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24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0.045</w:t>
            </w:r>
          </w:p>
        </w:tc>
        <w:tc>
          <w:tcPr>
            <w:tcW w:w="1476"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0.988</w:t>
            </w:r>
          </w:p>
        </w:tc>
        <w:tc>
          <w:tcPr>
            <w:tcW w:w="96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19.092</w:t>
            </w:r>
          </w:p>
        </w:tc>
        <w:tc>
          <w:tcPr>
            <w:tcW w:w="1353"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60" w:type="dxa"/>
            <w:vMerge/>
            <w:tcBorders>
              <w:top w:val="nil"/>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humerus-radius</w:t>
            </w:r>
          </w:p>
        </w:tc>
        <w:tc>
          <w:tcPr>
            <w:tcW w:w="1505"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0.084(</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24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0.038</w:t>
            </w:r>
          </w:p>
        </w:tc>
        <w:tc>
          <w:tcPr>
            <w:tcW w:w="1476"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2.195</w:t>
            </w:r>
          </w:p>
        </w:tc>
        <w:tc>
          <w:tcPr>
            <w:tcW w:w="1353"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0.064</w:t>
            </w:r>
          </w:p>
        </w:tc>
      </w:tr>
      <w:tr w:rsidR="00D4688C" w:rsidRPr="00D4688C" w:rsidTr="00D4688C">
        <w:trPr>
          <w:cantSplit/>
          <w:trHeight w:val="300"/>
        </w:trPr>
        <w:tc>
          <w:tcPr>
            <w:tcW w:w="960" w:type="dxa"/>
            <w:vMerge/>
            <w:tcBorders>
              <w:top w:val="nil"/>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505"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0.981(</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24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0.016</w:t>
            </w:r>
          </w:p>
        </w:tc>
        <w:tc>
          <w:tcPr>
            <w:tcW w:w="1476"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0.999</w:t>
            </w:r>
          </w:p>
        </w:tc>
        <w:tc>
          <w:tcPr>
            <w:tcW w:w="96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60.228</w:t>
            </w:r>
          </w:p>
        </w:tc>
        <w:tc>
          <w:tcPr>
            <w:tcW w:w="1353"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60" w:type="dxa"/>
            <w:vMerge/>
            <w:tcBorders>
              <w:top w:val="nil"/>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tibia-femur</w:t>
            </w:r>
          </w:p>
        </w:tc>
        <w:tc>
          <w:tcPr>
            <w:tcW w:w="1505"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0.363(</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24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0.076</w:t>
            </w:r>
          </w:p>
        </w:tc>
        <w:tc>
          <w:tcPr>
            <w:tcW w:w="1476"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4.79</w:t>
            </w:r>
          </w:p>
        </w:tc>
        <w:tc>
          <w:tcPr>
            <w:tcW w:w="1353" w:type="dxa"/>
            <w:tcBorders>
              <w:top w:val="single" w:sz="4" w:space="0" w:color="auto"/>
              <w:bottom w:val="nil"/>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0.001</w:t>
            </w:r>
          </w:p>
        </w:tc>
      </w:tr>
      <w:tr w:rsidR="00D4688C" w:rsidRPr="00D4688C" w:rsidTr="00D4688C">
        <w:trPr>
          <w:cantSplit/>
          <w:trHeight w:val="300"/>
        </w:trPr>
        <w:tc>
          <w:tcPr>
            <w:tcW w:w="960" w:type="dxa"/>
            <w:vMerge/>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505"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0.877(</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24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0.033</w:t>
            </w:r>
          </w:p>
        </w:tc>
        <w:tc>
          <w:tcPr>
            <w:tcW w:w="1476"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0.993</w:t>
            </w:r>
          </w:p>
        </w:tc>
        <w:tc>
          <w:tcPr>
            <w:tcW w:w="960"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26.793</w:t>
            </w:r>
          </w:p>
        </w:tc>
        <w:tc>
          <w:tcPr>
            <w:tcW w:w="1353" w:type="dxa"/>
            <w:tcBorders>
              <w:top w:val="nil"/>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60" w:type="dxa"/>
            <w:vMerge w:val="restart"/>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males</w:t>
            </w:r>
          </w:p>
        </w:tc>
        <w:tc>
          <w:tcPr>
            <w:tcW w:w="1749"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humerus-femur</w:t>
            </w:r>
          </w:p>
        </w:tc>
        <w:tc>
          <w:tcPr>
            <w:tcW w:w="1505"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0.118(</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24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0.142</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0.832</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0.425</w:t>
            </w:r>
          </w:p>
        </w:tc>
      </w:tr>
      <w:tr w:rsidR="00D4688C" w:rsidRPr="00D4688C" w:rsidTr="00D4688C">
        <w:trPr>
          <w:cantSplit/>
          <w:trHeight w:val="300"/>
        </w:trPr>
        <w:tc>
          <w:tcPr>
            <w:tcW w:w="960"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505"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0.951(</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24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0.06</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0.981</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15.946</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60"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radius-tibia</w:t>
            </w:r>
          </w:p>
        </w:tc>
        <w:tc>
          <w:tcPr>
            <w:tcW w:w="1505"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
                <w:color w:val="000000"/>
                <w:lang w:val="en-GB" w:eastAsia="en-GB"/>
              </w:rPr>
            </w:pPr>
            <w:r w:rsidRPr="00D4688C">
              <w:rPr>
                <w:rFonts w:eastAsia="Times New Roman"/>
                <w:color w:val="000000"/>
                <w:lang w:val="en-GB" w:eastAsia="en-GB"/>
              </w:rPr>
              <w:t>0.219(</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24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0.068</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3.199</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0.013</w:t>
            </w:r>
          </w:p>
        </w:tc>
      </w:tr>
      <w:tr w:rsidR="00D4688C" w:rsidRPr="00D4688C" w:rsidTr="00D4688C">
        <w:trPr>
          <w:cantSplit/>
          <w:trHeight w:val="300"/>
        </w:trPr>
        <w:tc>
          <w:tcPr>
            <w:tcW w:w="960"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505"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0.919(</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24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0.03</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0.996</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31.049</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60"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humerus-radius</w:t>
            </w:r>
          </w:p>
        </w:tc>
        <w:tc>
          <w:tcPr>
            <w:tcW w:w="1505"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-0.022(</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24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0.123</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-0.177</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0.863</w:t>
            </w:r>
          </w:p>
        </w:tc>
      </w:tr>
      <w:tr w:rsidR="00D4688C" w:rsidRPr="00D4688C" w:rsidTr="00D4688C">
        <w:trPr>
          <w:cantSplit/>
          <w:trHeight w:val="300"/>
        </w:trPr>
        <w:tc>
          <w:tcPr>
            <w:tcW w:w="960"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505"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1.025(</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24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0.053</w:t>
            </w:r>
          </w:p>
        </w:tc>
        <w:tc>
          <w:tcPr>
            <w:tcW w:w="1476"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0.987</w:t>
            </w:r>
          </w:p>
        </w:tc>
        <w:tc>
          <w:tcPr>
            <w:tcW w:w="960"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19.51</w:t>
            </w:r>
          </w:p>
        </w:tc>
        <w:tc>
          <w:tcPr>
            <w:tcW w:w="1353" w:type="dxa"/>
            <w:tcBorders>
              <w:bottom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r w:rsidR="00D4688C" w:rsidRPr="00D4688C" w:rsidTr="00D4688C">
        <w:trPr>
          <w:cantSplit/>
          <w:trHeight w:val="300"/>
        </w:trPr>
        <w:tc>
          <w:tcPr>
            <w:tcW w:w="960"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bCs/>
                <w:color w:val="000000"/>
                <w:lang w:val="en-GB" w:eastAsia="en-GB"/>
              </w:rPr>
            </w:pPr>
            <w:r w:rsidRPr="00D4688C">
              <w:rPr>
                <w:rFonts w:eastAsia="Times New Roman"/>
                <w:bCs/>
                <w:color w:val="000000"/>
                <w:lang w:val="en-GB" w:eastAsia="en-GB"/>
              </w:rPr>
              <w:t>tibia-femur</w:t>
            </w:r>
          </w:p>
        </w:tc>
        <w:tc>
          <w:tcPr>
            <w:tcW w:w="1505"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0.219(</w:t>
            </w:r>
            <w:r w:rsidRPr="00D4688C">
              <w:rPr>
                <w:rFonts w:eastAsiaTheme="minorHAnsi"/>
                <w:i/>
                <w:lang w:val="en-GB"/>
              </w:rPr>
              <w:t>B</w:t>
            </w:r>
            <w:r w:rsidRPr="00D4688C">
              <w:rPr>
                <w:rFonts w:eastAsiaTheme="minorHAnsi"/>
                <w:vertAlign w:val="subscript"/>
                <w:lang w:val="en-GB"/>
              </w:rPr>
              <w:t>1</w:t>
            </w:r>
            <w:r w:rsidRPr="00D4688C">
              <w:rPr>
                <w:rFonts w:eastAsiaTheme="minorHAnsi"/>
                <w:lang w:val="en-GB"/>
              </w:rPr>
              <w:t>)</w:t>
            </w:r>
          </w:p>
        </w:tc>
        <w:tc>
          <w:tcPr>
            <w:tcW w:w="124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0.066</w:t>
            </w:r>
          </w:p>
        </w:tc>
        <w:tc>
          <w:tcPr>
            <w:tcW w:w="1476"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960"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3.344</w:t>
            </w:r>
          </w:p>
        </w:tc>
        <w:tc>
          <w:tcPr>
            <w:tcW w:w="1353" w:type="dxa"/>
            <w:tcBorders>
              <w:top w:val="single" w:sz="4" w:space="0" w:color="auto"/>
            </w:tcBorders>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0.009</w:t>
            </w:r>
          </w:p>
        </w:tc>
      </w:tr>
      <w:tr w:rsidR="00D4688C" w:rsidRPr="00D4688C" w:rsidTr="00D4688C">
        <w:trPr>
          <w:cantSplit/>
          <w:trHeight w:val="300"/>
        </w:trPr>
        <w:tc>
          <w:tcPr>
            <w:tcW w:w="960" w:type="dxa"/>
            <w:vMerge/>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p>
        </w:tc>
        <w:tc>
          <w:tcPr>
            <w:tcW w:w="1749"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 </w:t>
            </w:r>
          </w:p>
        </w:tc>
        <w:tc>
          <w:tcPr>
            <w:tcW w:w="1505"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0.937(</w:t>
            </w:r>
            <w:r w:rsidRPr="00D4688C">
              <w:rPr>
                <w:rFonts w:eastAsiaTheme="minorHAnsi"/>
                <w:i/>
                <w:lang w:val="en-GB"/>
              </w:rPr>
              <w:t>B</w:t>
            </w:r>
            <w:r w:rsidRPr="00D4688C">
              <w:rPr>
                <w:rFonts w:eastAsiaTheme="minorHAnsi"/>
                <w:vertAlign w:val="subscript"/>
                <w:lang w:val="en-GB"/>
              </w:rPr>
              <w:t>2</w:t>
            </w:r>
            <w:r w:rsidRPr="00D4688C">
              <w:rPr>
                <w:rFonts w:eastAsiaTheme="minorHAnsi"/>
                <w:lang w:val="en-GB"/>
              </w:rPr>
              <w:t>)</w:t>
            </w:r>
          </w:p>
        </w:tc>
        <w:tc>
          <w:tcPr>
            <w:tcW w:w="1240"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0.028</w:t>
            </w:r>
          </w:p>
        </w:tc>
        <w:tc>
          <w:tcPr>
            <w:tcW w:w="1476"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0.996</w:t>
            </w:r>
          </w:p>
        </w:tc>
        <w:tc>
          <w:tcPr>
            <w:tcW w:w="960"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33.193</w:t>
            </w:r>
          </w:p>
        </w:tc>
        <w:tc>
          <w:tcPr>
            <w:tcW w:w="1353" w:type="dxa"/>
            <w:shd w:val="clear" w:color="auto" w:fill="auto"/>
            <w:noWrap/>
            <w:vAlign w:val="center"/>
            <w:hideMark/>
          </w:tcPr>
          <w:p w:rsidR="00D4688C" w:rsidRPr="00D4688C" w:rsidRDefault="00D4688C" w:rsidP="00D4688C">
            <w:pPr>
              <w:spacing w:before="0" w:line="240" w:lineRule="auto"/>
              <w:jc w:val="center"/>
              <w:rPr>
                <w:rFonts w:eastAsia="Times New Roman"/>
                <w:color w:val="000000"/>
                <w:lang w:val="en-GB" w:eastAsia="en-GB"/>
              </w:rPr>
            </w:pPr>
            <w:r w:rsidRPr="00D4688C">
              <w:rPr>
                <w:rFonts w:eastAsia="Times New Roman"/>
                <w:color w:val="000000"/>
                <w:lang w:val="en-GB" w:eastAsia="en-GB"/>
              </w:rPr>
              <w:t>0.000</w:t>
            </w:r>
          </w:p>
        </w:tc>
      </w:tr>
    </w:tbl>
    <w:p w:rsidR="00D4688C" w:rsidRPr="00D4688C" w:rsidRDefault="00D4688C" w:rsidP="00D4688C">
      <w:pPr>
        <w:spacing w:before="0" w:after="200" w:line="276" w:lineRule="auto"/>
        <w:jc w:val="left"/>
        <w:rPr>
          <w:rFonts w:eastAsiaTheme="minorHAnsi"/>
          <w:lang w:val="en-GB"/>
        </w:rPr>
      </w:pPr>
      <w:r w:rsidRPr="00D4688C">
        <w:rPr>
          <w:rFonts w:eastAsiaTheme="minorHAnsi"/>
          <w:lang w:val="en-GB"/>
        </w:rPr>
        <w:t>Note: B</w:t>
      </w:r>
      <w:r w:rsidRPr="00D4688C">
        <w:rPr>
          <w:rFonts w:eastAsiaTheme="minorHAnsi"/>
          <w:vertAlign w:val="subscript"/>
          <w:lang w:val="en-GB"/>
        </w:rPr>
        <w:t>1</w:t>
      </w:r>
      <w:r w:rsidRPr="00D4688C">
        <w:rPr>
          <w:rFonts w:eastAsiaTheme="minorHAnsi"/>
          <w:lang w:val="en-GB"/>
        </w:rPr>
        <w:t xml:space="preserve"> is the y intercept and B</w:t>
      </w:r>
      <w:r w:rsidRPr="00D4688C">
        <w:rPr>
          <w:rFonts w:eastAsiaTheme="minorHAnsi"/>
          <w:vertAlign w:val="subscript"/>
          <w:lang w:val="en-GB"/>
        </w:rPr>
        <w:t xml:space="preserve">2 </w:t>
      </w:r>
      <w:r w:rsidRPr="00D4688C">
        <w:rPr>
          <w:rFonts w:eastAsiaTheme="minorHAnsi"/>
          <w:lang w:val="en-GB"/>
        </w:rPr>
        <w:t>the slope for the regression equation.</w:t>
      </w:r>
    </w:p>
    <w:p w:rsidR="00A37842" w:rsidRDefault="00A552C8" w:rsidP="004828B2">
      <w:pPr>
        <w:rPr>
          <w:b/>
          <w:i/>
        </w:rPr>
      </w:pPr>
      <w:r>
        <w:rPr>
          <w:b/>
          <w:i/>
          <w:color w:val="000000"/>
        </w:rPr>
        <w:lastRenderedPageBreak/>
        <w:t>8.8</w:t>
      </w:r>
      <w:r w:rsidRPr="00A552C8">
        <w:rPr>
          <w:b/>
          <w:i/>
          <w:color w:val="000000"/>
        </w:rPr>
        <w:tab/>
      </w:r>
      <w:bookmarkStart w:id="3572" w:name="_Toc373178862"/>
      <w:bookmarkStart w:id="3573" w:name="_Toc373484015"/>
      <w:r w:rsidRPr="00A552C8">
        <w:rPr>
          <w:b/>
          <w:i/>
        </w:rPr>
        <w:t>Normality tests for fusion as a percentage of long-bone length in</w:t>
      </w:r>
      <w:r w:rsidRPr="00A552C8">
        <w:rPr>
          <w:b/>
        </w:rPr>
        <w:t xml:space="preserve"> Pan </w:t>
      </w:r>
      <w:proofErr w:type="gramStart"/>
      <w:r w:rsidRPr="00A552C8">
        <w:rPr>
          <w:b/>
        </w:rPr>
        <w:t>troglodytes</w:t>
      </w:r>
      <w:bookmarkEnd w:id="3572"/>
      <w:bookmarkEnd w:id="3573"/>
      <w:proofErr w:type="gramEnd"/>
    </w:p>
    <w:p w:rsidR="00A552C8" w:rsidRDefault="00A552C8" w:rsidP="00A552C8">
      <w:pPr>
        <w:spacing w:before="60" w:line="240" w:lineRule="auto"/>
      </w:pPr>
      <w:r>
        <w:t>Epiphyseal fusion events were evaluated as a function of growth in length of long-bones.  Results are presented in Chapter 5, section 5.3.  The normality of ranges of epiphyseal fusion as a function of percentage of growth in length was tested to see if data were skewed.  The following results demonstrate that the data were normally distributed for all epiphyses.</w:t>
      </w:r>
    </w:p>
    <w:p w:rsidR="00A552C8" w:rsidRPr="00A552C8" w:rsidRDefault="00A552C8" w:rsidP="00A552C8">
      <w:pPr>
        <w:numPr>
          <w:ilvl w:val="1"/>
          <w:numId w:val="0"/>
        </w:numPr>
        <w:tabs>
          <w:tab w:val="left" w:pos="660"/>
          <w:tab w:val="right" w:leader="dot" w:pos="8471"/>
        </w:tabs>
        <w:spacing w:before="120" w:after="100" w:line="276" w:lineRule="auto"/>
        <w:ind w:right="289"/>
        <w:jc w:val="left"/>
        <w:rPr>
          <w:rFonts w:eastAsiaTheme="minorHAnsi"/>
          <w:noProof/>
          <w:color w:val="000000"/>
          <w:lang w:val="en-GB" w:eastAsia="en-GB"/>
        </w:rPr>
      </w:pPr>
      <w:bookmarkStart w:id="3574" w:name="_Toc373484454"/>
      <w:r w:rsidRPr="00A552C8">
        <w:rPr>
          <w:rFonts w:eastAsiaTheme="minorHAnsi"/>
          <w:b/>
          <w:noProof/>
          <w:color w:val="000000"/>
          <w:lang w:val="en-GB" w:eastAsia="en-GB"/>
        </w:rPr>
        <w:t>Table 8.33</w:t>
      </w:r>
      <w:r>
        <w:rPr>
          <w:rFonts w:eastAsiaTheme="minorHAnsi"/>
          <w:noProof/>
          <w:color w:val="000000"/>
          <w:lang w:val="en-GB" w:eastAsia="en-GB"/>
        </w:rPr>
        <w:t xml:space="preserve"> </w:t>
      </w:r>
      <w:r w:rsidRPr="00A552C8">
        <w:rPr>
          <w:rFonts w:eastAsiaTheme="minorHAnsi"/>
          <w:noProof/>
          <w:color w:val="000000"/>
          <w:lang w:val="en-GB" w:eastAsia="en-GB"/>
        </w:rPr>
        <w:t xml:space="preserve">Normality plots for fusion as a percentage of long-bone length in </w:t>
      </w:r>
      <w:r w:rsidRPr="00A552C8">
        <w:rPr>
          <w:rFonts w:eastAsiaTheme="minorHAnsi"/>
          <w:i/>
          <w:noProof/>
          <w:color w:val="000000"/>
          <w:lang w:val="en-GB" w:eastAsia="en-GB"/>
        </w:rPr>
        <w:t>Pan troglodytes</w:t>
      </w:r>
      <w:bookmarkEnd w:id="3574"/>
    </w:p>
    <w:tbl>
      <w:tblPr>
        <w:tblW w:w="8946" w:type="dxa"/>
        <w:tblInd w:w="93" w:type="dxa"/>
        <w:tblBorders>
          <w:top w:val="single" w:sz="4" w:space="0" w:color="auto"/>
          <w:bottom w:val="single" w:sz="4" w:space="0" w:color="auto"/>
        </w:tblBorders>
        <w:tblLayout w:type="fixed"/>
        <w:tblLook w:val="04A0" w:firstRow="1" w:lastRow="0" w:firstColumn="1" w:lastColumn="0" w:noHBand="0" w:noVBand="1"/>
      </w:tblPr>
      <w:tblGrid>
        <w:gridCol w:w="960"/>
        <w:gridCol w:w="2741"/>
        <w:gridCol w:w="992"/>
        <w:gridCol w:w="567"/>
        <w:gridCol w:w="992"/>
        <w:gridCol w:w="993"/>
        <w:gridCol w:w="708"/>
        <w:gridCol w:w="993"/>
      </w:tblGrid>
      <w:tr w:rsidR="00A552C8" w:rsidRPr="00A552C8" w:rsidTr="00B73CCE">
        <w:trPr>
          <w:trHeight w:val="300"/>
        </w:trPr>
        <w:tc>
          <w:tcPr>
            <w:tcW w:w="960" w:type="dxa"/>
            <w:vMerge w:val="restart"/>
            <w:tcBorders>
              <w:top w:val="single" w:sz="4" w:space="0" w:color="auto"/>
              <w:bottom w:val="nil"/>
            </w:tcBorders>
            <w:shd w:val="clear" w:color="auto" w:fill="auto"/>
            <w:noWrap/>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sex</w:t>
            </w:r>
          </w:p>
        </w:tc>
        <w:tc>
          <w:tcPr>
            <w:tcW w:w="2741" w:type="dxa"/>
            <w:vMerge w:val="restart"/>
            <w:tcBorders>
              <w:top w:val="single" w:sz="4" w:space="0" w:color="auto"/>
              <w:bottom w:val="nil"/>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epiphysis</w:t>
            </w:r>
          </w:p>
        </w:tc>
        <w:tc>
          <w:tcPr>
            <w:tcW w:w="2551" w:type="dxa"/>
            <w:gridSpan w:val="3"/>
            <w:tcBorders>
              <w:top w:val="single" w:sz="4" w:space="0" w:color="auto"/>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Kolmogorov-Smirnov</w:t>
            </w:r>
            <w:r w:rsidRPr="00A552C8">
              <w:rPr>
                <w:rFonts w:eastAsia="Times New Roman"/>
                <w:b/>
                <w:color w:val="000000"/>
                <w:vertAlign w:val="superscript"/>
                <w:lang w:val="en-GB" w:eastAsia="en-GB"/>
              </w:rPr>
              <w:t>a</w:t>
            </w:r>
          </w:p>
        </w:tc>
        <w:tc>
          <w:tcPr>
            <w:tcW w:w="2694" w:type="dxa"/>
            <w:gridSpan w:val="3"/>
            <w:tcBorders>
              <w:top w:val="single" w:sz="4" w:space="0" w:color="auto"/>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Shapiro-Wilk</w:t>
            </w:r>
          </w:p>
        </w:tc>
      </w:tr>
      <w:tr w:rsidR="00A552C8" w:rsidRPr="00A552C8" w:rsidTr="00B73CCE">
        <w:trPr>
          <w:trHeight w:val="300"/>
        </w:trPr>
        <w:tc>
          <w:tcPr>
            <w:tcW w:w="960" w:type="dxa"/>
            <w:vMerge/>
            <w:tcBorders>
              <w:top w:val="nil"/>
              <w:bottom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b/>
                <w:color w:val="000000"/>
                <w:lang w:val="en-GB" w:eastAsia="en-GB"/>
              </w:rPr>
            </w:pPr>
          </w:p>
        </w:tc>
        <w:tc>
          <w:tcPr>
            <w:tcW w:w="2741" w:type="dxa"/>
            <w:vMerge/>
            <w:tcBorders>
              <w:top w:val="nil"/>
              <w:bottom w:val="single" w:sz="4" w:space="0" w:color="auto"/>
            </w:tcBorders>
            <w:vAlign w:val="center"/>
            <w:hideMark/>
          </w:tcPr>
          <w:p w:rsidR="00A552C8" w:rsidRPr="00A552C8" w:rsidRDefault="00A552C8" w:rsidP="00A552C8">
            <w:pPr>
              <w:spacing w:before="0" w:line="240" w:lineRule="auto"/>
              <w:jc w:val="center"/>
              <w:rPr>
                <w:rFonts w:eastAsia="Times New Roman"/>
                <w:b/>
                <w:color w:val="000000"/>
                <w:lang w:val="en-GB" w:eastAsia="en-GB"/>
              </w:rPr>
            </w:pPr>
          </w:p>
        </w:tc>
        <w:tc>
          <w:tcPr>
            <w:tcW w:w="992" w:type="dxa"/>
            <w:tcBorders>
              <w:top w:val="single" w:sz="4" w:space="0" w:color="auto"/>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statistic</w:t>
            </w:r>
          </w:p>
        </w:tc>
        <w:tc>
          <w:tcPr>
            <w:tcW w:w="567" w:type="dxa"/>
            <w:tcBorders>
              <w:top w:val="single" w:sz="4" w:space="0" w:color="auto"/>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df</w:t>
            </w:r>
          </w:p>
        </w:tc>
        <w:tc>
          <w:tcPr>
            <w:tcW w:w="992" w:type="dxa"/>
            <w:tcBorders>
              <w:top w:val="single" w:sz="4" w:space="0" w:color="auto"/>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sig.</w:t>
            </w:r>
          </w:p>
        </w:tc>
        <w:tc>
          <w:tcPr>
            <w:tcW w:w="993" w:type="dxa"/>
            <w:tcBorders>
              <w:top w:val="single" w:sz="4" w:space="0" w:color="auto"/>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statistic</w:t>
            </w:r>
          </w:p>
        </w:tc>
        <w:tc>
          <w:tcPr>
            <w:tcW w:w="708" w:type="dxa"/>
            <w:tcBorders>
              <w:top w:val="single" w:sz="4" w:space="0" w:color="auto"/>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df</w:t>
            </w:r>
          </w:p>
        </w:tc>
        <w:tc>
          <w:tcPr>
            <w:tcW w:w="993" w:type="dxa"/>
            <w:tcBorders>
              <w:top w:val="single" w:sz="4" w:space="0" w:color="auto"/>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b/>
                <w:color w:val="000000"/>
                <w:lang w:val="en-GB" w:eastAsia="en-GB"/>
              </w:rPr>
            </w:pPr>
            <w:r w:rsidRPr="00A552C8">
              <w:rPr>
                <w:rFonts w:eastAsia="Times New Roman"/>
                <w:b/>
                <w:color w:val="000000"/>
                <w:lang w:val="en-GB" w:eastAsia="en-GB"/>
              </w:rPr>
              <w:t>sig.</w:t>
            </w:r>
          </w:p>
        </w:tc>
      </w:tr>
      <w:tr w:rsidR="00A552C8" w:rsidRPr="00A552C8" w:rsidTr="00B73CCE">
        <w:trPr>
          <w:trHeight w:hRule="exact" w:val="284"/>
        </w:trPr>
        <w:tc>
          <w:tcPr>
            <w:tcW w:w="960" w:type="dxa"/>
            <w:vMerge w:val="restart"/>
            <w:tcBorders>
              <w:top w:val="single" w:sz="4" w:space="0" w:color="auto"/>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females</w:t>
            </w:r>
          </w:p>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single" w:sz="4" w:space="0" w:color="auto"/>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humerus</w:t>
            </w:r>
          </w:p>
        </w:tc>
        <w:tc>
          <w:tcPr>
            <w:tcW w:w="992" w:type="dxa"/>
            <w:tcBorders>
              <w:top w:val="single" w:sz="4" w:space="0" w:color="auto"/>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.171</w:t>
            </w:r>
          </w:p>
        </w:tc>
        <w:tc>
          <w:tcPr>
            <w:tcW w:w="567" w:type="dxa"/>
            <w:tcBorders>
              <w:top w:val="single" w:sz="4" w:space="0" w:color="auto"/>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21</w:t>
            </w:r>
          </w:p>
        </w:tc>
        <w:tc>
          <w:tcPr>
            <w:tcW w:w="992" w:type="dxa"/>
            <w:tcBorders>
              <w:top w:val="single" w:sz="4" w:space="0" w:color="auto"/>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.112</w:t>
            </w:r>
          </w:p>
        </w:tc>
        <w:tc>
          <w:tcPr>
            <w:tcW w:w="993" w:type="dxa"/>
            <w:tcBorders>
              <w:top w:val="single" w:sz="4" w:space="0" w:color="auto"/>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.936</w:t>
            </w:r>
          </w:p>
        </w:tc>
        <w:tc>
          <w:tcPr>
            <w:tcW w:w="708" w:type="dxa"/>
            <w:tcBorders>
              <w:top w:val="single" w:sz="4" w:space="0" w:color="auto"/>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21</w:t>
            </w:r>
          </w:p>
        </w:tc>
        <w:tc>
          <w:tcPr>
            <w:tcW w:w="993" w:type="dxa"/>
            <w:tcBorders>
              <w:top w:val="single" w:sz="4" w:space="0" w:color="auto"/>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.182</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humerus</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10</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.918</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.340</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humeral medial epicondyle</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.221</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.942</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.628</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radius</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.143</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12</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.939</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12</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.490</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radius</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.188</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17</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.111</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.902</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17</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.075</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ulna</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.234</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.916</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.476</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ulna</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.135</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22</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.950</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22</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.322</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femoral head</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.255</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11</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.044</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.855</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11</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.050</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greater trochanter</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.187</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11</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.907</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11</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.225</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lesser trochanter</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.166</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5</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.970</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5</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.873</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femur</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.097</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21</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.964</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21</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.603</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tibia</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.143</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21</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.949</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21</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.327</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tibia</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.143</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14</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.975</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14</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.938</w:t>
            </w:r>
          </w:p>
        </w:tc>
      </w:tr>
      <w:tr w:rsidR="00A552C8" w:rsidRPr="00A552C8" w:rsidTr="00B73CCE">
        <w:trPr>
          <w:trHeight w:hRule="exact" w:val="284"/>
        </w:trPr>
        <w:tc>
          <w:tcPr>
            <w:tcW w:w="960" w:type="dxa"/>
            <w:vMerge/>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nil"/>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fibula</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.118</w:t>
            </w:r>
          </w:p>
        </w:tc>
        <w:tc>
          <w:tcPr>
            <w:tcW w:w="567"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16</w:t>
            </w:r>
          </w:p>
        </w:tc>
        <w:tc>
          <w:tcPr>
            <w:tcW w:w="992"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.973</w:t>
            </w:r>
          </w:p>
        </w:tc>
        <w:tc>
          <w:tcPr>
            <w:tcW w:w="708"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16</w:t>
            </w:r>
          </w:p>
        </w:tc>
        <w:tc>
          <w:tcPr>
            <w:tcW w:w="993" w:type="dxa"/>
            <w:tcBorders>
              <w:top w:val="nil"/>
              <w:bottom w:val="nil"/>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.878</w:t>
            </w:r>
          </w:p>
        </w:tc>
      </w:tr>
      <w:tr w:rsidR="00A552C8" w:rsidRPr="00A552C8" w:rsidTr="00B73CCE">
        <w:trPr>
          <w:trHeight w:hRule="exact" w:val="284"/>
        </w:trPr>
        <w:tc>
          <w:tcPr>
            <w:tcW w:w="960" w:type="dxa"/>
            <w:vMerge/>
            <w:tcBorders>
              <w:top w:val="nil"/>
              <w:bottom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tcBorders>
              <w:top w:val="nil"/>
              <w:bottom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fibula</w:t>
            </w:r>
          </w:p>
        </w:tc>
        <w:tc>
          <w:tcPr>
            <w:tcW w:w="992" w:type="dxa"/>
            <w:tcBorders>
              <w:top w:val="nil"/>
              <w:bottom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.228</w:t>
            </w:r>
          </w:p>
        </w:tc>
        <w:tc>
          <w:tcPr>
            <w:tcW w:w="567" w:type="dxa"/>
            <w:tcBorders>
              <w:top w:val="nil"/>
              <w:bottom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10</w:t>
            </w:r>
          </w:p>
        </w:tc>
        <w:tc>
          <w:tcPr>
            <w:tcW w:w="992" w:type="dxa"/>
            <w:tcBorders>
              <w:top w:val="nil"/>
              <w:bottom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.150</w:t>
            </w:r>
          </w:p>
        </w:tc>
        <w:tc>
          <w:tcPr>
            <w:tcW w:w="993" w:type="dxa"/>
            <w:tcBorders>
              <w:top w:val="nil"/>
              <w:bottom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.955</w:t>
            </w:r>
          </w:p>
        </w:tc>
        <w:tc>
          <w:tcPr>
            <w:tcW w:w="708" w:type="dxa"/>
            <w:tcBorders>
              <w:top w:val="nil"/>
              <w:bottom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10</w:t>
            </w:r>
          </w:p>
        </w:tc>
        <w:tc>
          <w:tcPr>
            <w:tcW w:w="993" w:type="dxa"/>
            <w:tcBorders>
              <w:top w:val="nil"/>
              <w:bottom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.732</w:t>
            </w:r>
          </w:p>
        </w:tc>
      </w:tr>
      <w:tr w:rsidR="00A552C8" w:rsidRPr="00A552C8" w:rsidTr="00B73CCE">
        <w:trPr>
          <w:trHeight w:hRule="exact" w:val="284"/>
        </w:trPr>
        <w:tc>
          <w:tcPr>
            <w:tcW w:w="960" w:type="dxa"/>
            <w:vMerge w:val="restart"/>
            <w:tcBorders>
              <w:top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males</w:t>
            </w:r>
          </w:p>
        </w:tc>
        <w:tc>
          <w:tcPr>
            <w:tcW w:w="2741" w:type="dxa"/>
            <w:tcBorders>
              <w:top w:val="single" w:sz="4" w:space="0" w:color="auto"/>
            </w:tcBorders>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humerus</w:t>
            </w:r>
          </w:p>
        </w:tc>
        <w:tc>
          <w:tcPr>
            <w:tcW w:w="992" w:type="dxa"/>
            <w:tcBorders>
              <w:top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.178</w:t>
            </w:r>
          </w:p>
        </w:tc>
        <w:tc>
          <w:tcPr>
            <w:tcW w:w="567" w:type="dxa"/>
            <w:tcBorders>
              <w:top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2" w:type="dxa"/>
            <w:tcBorders>
              <w:top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tcBorders>
              <w:top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.977</w:t>
            </w:r>
          </w:p>
        </w:tc>
        <w:tc>
          <w:tcPr>
            <w:tcW w:w="708" w:type="dxa"/>
            <w:tcBorders>
              <w:top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3" w:type="dxa"/>
            <w:tcBorders>
              <w:top w:val="single" w:sz="4" w:space="0" w:color="auto"/>
            </w:tcBorders>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.935</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humerus</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.290</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5</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.198</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.866</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5</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.249</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humeral medial epicondyle</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.222</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.891</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.237</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radius</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.207</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.902</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.302</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radius</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.273</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4</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.860</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4</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.260</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ulna</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.319</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.056</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.843</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.138</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ulna</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.198</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.924</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.531</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femoral head</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.211</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5</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.890</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5</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.358</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greater trochanter</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.354</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.821</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3</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.165</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lesser trochanter</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.216</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4</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.954</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4</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.740</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femur</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.167</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.921</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.477</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tibia</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.233</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.950</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.732</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tibia</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.233</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.950</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.732</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proximal fibula</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.259</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.200</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.877</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6</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.255</w:t>
            </w:r>
          </w:p>
        </w:tc>
      </w:tr>
      <w:tr w:rsidR="00A552C8" w:rsidRPr="00A552C8" w:rsidTr="00B73CCE">
        <w:trPr>
          <w:trHeight w:hRule="exact" w:val="284"/>
        </w:trPr>
        <w:tc>
          <w:tcPr>
            <w:tcW w:w="960" w:type="dxa"/>
            <w:vMerge/>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p>
        </w:tc>
        <w:tc>
          <w:tcPr>
            <w:tcW w:w="2741" w:type="dxa"/>
            <w:shd w:val="clear" w:color="auto" w:fill="auto"/>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distal fibula</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.269</w:t>
            </w:r>
          </w:p>
        </w:tc>
        <w:tc>
          <w:tcPr>
            <w:tcW w:w="567"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w:t>
            </w:r>
          </w:p>
        </w:tc>
        <w:tc>
          <w:tcPr>
            <w:tcW w:w="992"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.092</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.888</w:t>
            </w:r>
          </w:p>
        </w:tc>
        <w:tc>
          <w:tcPr>
            <w:tcW w:w="708"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8</w:t>
            </w:r>
          </w:p>
        </w:tc>
        <w:tc>
          <w:tcPr>
            <w:tcW w:w="993" w:type="dxa"/>
            <w:shd w:val="clear" w:color="auto" w:fill="auto"/>
            <w:noWrap/>
            <w:vAlign w:val="center"/>
            <w:hideMark/>
          </w:tcPr>
          <w:p w:rsidR="00A552C8" w:rsidRPr="00A552C8" w:rsidRDefault="00A552C8" w:rsidP="00A552C8">
            <w:pPr>
              <w:spacing w:before="0" w:line="240" w:lineRule="auto"/>
              <w:jc w:val="center"/>
              <w:rPr>
                <w:rFonts w:eastAsia="Times New Roman"/>
                <w:color w:val="000000"/>
                <w:lang w:val="en-GB" w:eastAsia="en-GB"/>
              </w:rPr>
            </w:pPr>
            <w:r w:rsidRPr="00A552C8">
              <w:rPr>
                <w:rFonts w:eastAsia="Times New Roman"/>
                <w:color w:val="000000"/>
                <w:lang w:val="en-GB" w:eastAsia="en-GB"/>
              </w:rPr>
              <w:t>.225</w:t>
            </w:r>
          </w:p>
        </w:tc>
      </w:tr>
    </w:tbl>
    <w:p w:rsidR="00A552C8" w:rsidRPr="00A37842" w:rsidRDefault="00A552C8" w:rsidP="004828B2">
      <w:pPr>
        <w:rPr>
          <w:b/>
          <w:i/>
          <w:color w:val="000000"/>
        </w:rPr>
      </w:pPr>
    </w:p>
    <w:sectPr w:rsidR="00A552C8" w:rsidRPr="00A37842" w:rsidSect="00001B3B">
      <w:headerReference w:type="default" r:id="rId71"/>
      <w:pgSz w:w="12240" w:h="15840" w:code="1"/>
      <w:pgMar w:top="1418" w:right="1134"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375" w:rsidRDefault="00474375">
      <w:pPr>
        <w:spacing w:line="240" w:lineRule="auto"/>
      </w:pPr>
      <w:r>
        <w:separator/>
      </w:r>
    </w:p>
  </w:endnote>
  <w:endnote w:type="continuationSeparator" w:id="0">
    <w:p w:rsidR="00474375" w:rsidRDefault="004743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NewCenturySchlbk-Roman">
    <w:altName w:val="MS Gothic"/>
    <w:panose1 w:val="00000000000000000000"/>
    <w:charset w:val="80"/>
    <w:family w:val="auto"/>
    <w:notTrueType/>
    <w:pitch w:val="default"/>
    <w:sig w:usb0="00000003" w:usb1="08070000" w:usb2="00000010" w:usb3="00000000" w:csb0="00020001" w:csb1="00000000"/>
  </w:font>
  <w:font w:name="AdvTimes-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88C" w:rsidRDefault="00D4688C" w:rsidP="00281A8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375" w:rsidRDefault="00474375">
      <w:pPr>
        <w:spacing w:line="240" w:lineRule="auto"/>
      </w:pPr>
      <w:r>
        <w:separator/>
      </w:r>
    </w:p>
  </w:footnote>
  <w:footnote w:type="continuationSeparator" w:id="0">
    <w:p w:rsidR="00474375" w:rsidRDefault="004743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88C" w:rsidRPr="00E34B20" w:rsidRDefault="00D4688C">
    <w:pPr>
      <w:pStyle w:val="Header"/>
      <w:jc w:val="right"/>
    </w:pPr>
    <w:r>
      <w:fldChar w:fldCharType="begin"/>
    </w:r>
    <w:r>
      <w:instrText xml:space="preserve"> PAGE   \* MERGEFORMAT </w:instrText>
    </w:r>
    <w:r>
      <w:fldChar w:fldCharType="separate"/>
    </w:r>
    <w:r w:rsidR="00733544">
      <w:rPr>
        <w:noProof/>
      </w:rPr>
      <w:t>xiii</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88C" w:rsidRPr="00E34B20" w:rsidRDefault="00D4688C">
    <w:pPr>
      <w:pStyle w:val="Header"/>
      <w:jc w:val="right"/>
    </w:pPr>
    <w:r>
      <w:fldChar w:fldCharType="begin"/>
    </w:r>
    <w:r>
      <w:instrText xml:space="preserve"> PAGE   \* MERGEFORMAT </w:instrText>
    </w:r>
    <w:r>
      <w:fldChar w:fldCharType="separate"/>
    </w:r>
    <w:r w:rsidR="00CA7668">
      <w:rPr>
        <w:noProof/>
      </w:rPr>
      <w:t>249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A81"/>
    <w:multiLevelType w:val="hybridMultilevel"/>
    <w:tmpl w:val="3F0C1182"/>
    <w:lvl w:ilvl="0" w:tplc="D806F45E">
      <w:start w:val="1"/>
      <w:numFmt w:val="lowerLetter"/>
      <w:lvlText w:val="%1."/>
      <w:lvlJc w:val="left"/>
      <w:pPr>
        <w:ind w:left="720" w:hanging="360"/>
      </w:pPr>
      <w:rPr>
        <w:rFonts w:eastAsia="Calibr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873B8B"/>
    <w:multiLevelType w:val="hybridMultilevel"/>
    <w:tmpl w:val="663C7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B04470"/>
    <w:multiLevelType w:val="multilevel"/>
    <w:tmpl w:val="53D6A612"/>
    <w:lvl w:ilvl="0">
      <w:numFmt w:val="decimal"/>
      <w:pStyle w:val="1"/>
      <w:lvlText w:val="%1."/>
      <w:lvlJc w:val="left"/>
      <w:pPr>
        <w:ind w:left="720" w:hanging="360"/>
      </w:pPr>
      <w:rPr>
        <w:rFonts w:hint="default"/>
      </w:rPr>
    </w:lvl>
    <w:lvl w:ilvl="1">
      <w:start w:val="1"/>
      <w:numFmt w:val="decimal"/>
      <w:pStyle w:val="11"/>
      <w:isLgl/>
      <w:lvlText w:val="%1.%2"/>
      <w:lvlJc w:val="left"/>
      <w:pPr>
        <w:ind w:left="1080" w:hanging="360"/>
      </w:pPr>
      <w:rPr>
        <w:rFonts w:hint="default"/>
      </w:rPr>
    </w:lvl>
    <w:lvl w:ilvl="2">
      <w:start w:val="1"/>
      <w:numFmt w:val="decimal"/>
      <w:pStyle w:val="111"/>
      <w:isLgl/>
      <w:lvlText w:val="%1.%2.%3"/>
      <w:lvlJc w:val="left"/>
      <w:pPr>
        <w:ind w:left="1800" w:hanging="720"/>
      </w:pPr>
      <w:rPr>
        <w:rFonts w:hint="default"/>
        <w:b w:val="0"/>
        <w:i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nsid w:val="032D03E5"/>
    <w:multiLevelType w:val="hybridMultilevel"/>
    <w:tmpl w:val="52F4E8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ED30D6"/>
    <w:multiLevelType w:val="hybridMultilevel"/>
    <w:tmpl w:val="BEEC1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8E374B"/>
    <w:multiLevelType w:val="hybridMultilevel"/>
    <w:tmpl w:val="6CB033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354155"/>
    <w:multiLevelType w:val="hybridMultilevel"/>
    <w:tmpl w:val="CB6C8368"/>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nsid w:val="070A39C1"/>
    <w:multiLevelType w:val="hybridMultilevel"/>
    <w:tmpl w:val="5E9C1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70E5028"/>
    <w:multiLevelType w:val="hybridMultilevel"/>
    <w:tmpl w:val="A148D8D8"/>
    <w:lvl w:ilvl="0" w:tplc="976EE6C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8914B60"/>
    <w:multiLevelType w:val="hybridMultilevel"/>
    <w:tmpl w:val="CE1E0590"/>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0A0D58A8"/>
    <w:multiLevelType w:val="multilevel"/>
    <w:tmpl w:val="CF3E1AE4"/>
    <w:styleLink w:val="Style2"/>
    <w:lvl w:ilvl="0">
      <w:start w:val="1"/>
      <w:numFmt w:val="decimal"/>
      <w:lvlText w:val="Figure %1"/>
      <w:lvlJc w:val="left"/>
      <w:pPr>
        <w:ind w:left="360" w:hanging="360"/>
      </w:pPr>
      <w:rPr>
        <w:rFonts w:hint="eastAsia"/>
      </w:rPr>
    </w:lvl>
    <w:lvl w:ilvl="1">
      <w:start w:val="1"/>
      <w:numFmt w:val="decimal"/>
      <w:suff w:val="space"/>
      <w:lvlText w:val="Figure %2.%1"/>
      <w:lvlJc w:val="left"/>
      <w:pPr>
        <w:ind w:left="0" w:firstLine="0"/>
      </w:pPr>
      <w:rPr>
        <w:rFonts w:ascii="Times New Roman" w:hAnsi="Times New Roman" w:hint="default"/>
        <w:b/>
        <w:i w:val="0"/>
        <w:color w:val="auto"/>
        <w:sz w:val="22"/>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11">
    <w:nsid w:val="0A494ADA"/>
    <w:multiLevelType w:val="multilevel"/>
    <w:tmpl w:val="4EE05960"/>
    <w:styleLink w:val="Style1"/>
    <w:lvl w:ilvl="0">
      <w:start w:val="1"/>
      <w:numFmt w:val="decimal"/>
      <w:lvlText w:val="%1."/>
      <w:lvlJc w:val="left"/>
      <w:pPr>
        <w:ind w:left="360" w:hanging="360"/>
      </w:pPr>
      <w:rPr>
        <w:rFonts w:hint="default"/>
      </w:rPr>
    </w:lvl>
    <w:lvl w:ilvl="1">
      <w:start w:val="1"/>
      <w:numFmt w:val="decimal"/>
      <w:suff w:val="nothing"/>
      <w:lvlText w:val="Figure %1.%2"/>
      <w:lvlJc w:val="left"/>
      <w:pPr>
        <w:ind w:left="0" w:firstLine="0"/>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D12170E"/>
    <w:multiLevelType w:val="multilevel"/>
    <w:tmpl w:val="E5B0377A"/>
    <w:lvl w:ilvl="0">
      <w:start w:val="1"/>
      <w:numFmt w:val="decimal"/>
      <w:lvlText w:val="Chapter %1."/>
      <w:lvlJc w:val="left"/>
      <w:pPr>
        <w:ind w:left="0" w:firstLine="0"/>
      </w:pPr>
      <w:rPr>
        <w:rFonts w:hint="eastAsia"/>
      </w:rPr>
    </w:lvl>
    <w:lvl w:ilvl="1">
      <w:start w:val="1"/>
      <w:numFmt w:val="decimal"/>
      <w:suff w:val="space"/>
      <w:lvlText w:val="%1.%2"/>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
    <w:nsid w:val="0E0E5063"/>
    <w:multiLevelType w:val="hybridMultilevel"/>
    <w:tmpl w:val="39F270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E297BC4"/>
    <w:multiLevelType w:val="multilevel"/>
    <w:tmpl w:val="4EE05960"/>
    <w:numStyleLink w:val="Style1"/>
  </w:abstractNum>
  <w:abstractNum w:abstractNumId="15">
    <w:nsid w:val="0E4F0D12"/>
    <w:multiLevelType w:val="hybridMultilevel"/>
    <w:tmpl w:val="B1629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E9C2924"/>
    <w:multiLevelType w:val="multilevel"/>
    <w:tmpl w:val="CF3E1AE4"/>
    <w:numStyleLink w:val="Style2"/>
  </w:abstractNum>
  <w:abstractNum w:abstractNumId="17">
    <w:nsid w:val="0FC233B7"/>
    <w:multiLevelType w:val="hybridMultilevel"/>
    <w:tmpl w:val="41E0BA36"/>
    <w:lvl w:ilvl="0" w:tplc="298EB43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0A82C89"/>
    <w:multiLevelType w:val="hybridMultilevel"/>
    <w:tmpl w:val="E0CCA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A770A2A"/>
    <w:multiLevelType w:val="hybridMultilevel"/>
    <w:tmpl w:val="DDDE4512"/>
    <w:lvl w:ilvl="0" w:tplc="1CE4A63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AF96AE3"/>
    <w:multiLevelType w:val="multilevel"/>
    <w:tmpl w:val="4DDC650E"/>
    <w:lvl w:ilvl="0">
      <w:start w:val="1"/>
      <w:numFmt w:val="decimal"/>
      <w:lvlText w:val="%1."/>
      <w:lvlJc w:val="left"/>
      <w:pPr>
        <w:ind w:left="720" w:hanging="360"/>
      </w:pPr>
      <w:rPr>
        <w:rFonts w:hint="default"/>
      </w:rPr>
    </w:lvl>
    <w:lvl w:ilvl="1">
      <w:start w:val="4"/>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1B0411E3"/>
    <w:multiLevelType w:val="multilevel"/>
    <w:tmpl w:val="EAC404B6"/>
    <w:lvl w:ilvl="0">
      <w:start w:val="1"/>
      <w:numFmt w:val="decimal"/>
      <w:lvlText w:val="%1."/>
      <w:lvlJc w:val="left"/>
      <w:pPr>
        <w:ind w:left="720" w:hanging="360"/>
      </w:pPr>
      <w:rPr>
        <w:rFonts w:hint="default"/>
      </w:rPr>
    </w:lvl>
    <w:lvl w:ilvl="1">
      <w:start w:val="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1B8E3AA8"/>
    <w:multiLevelType w:val="multilevel"/>
    <w:tmpl w:val="D9AC2244"/>
    <w:lvl w:ilvl="0">
      <w:start w:val="1"/>
      <w:numFmt w:val="decimal"/>
      <w:pStyle w:val="Figurelegend"/>
      <w:lvlText w:val="Figure %1"/>
      <w:lvlJc w:val="left"/>
      <w:pPr>
        <w:ind w:left="360" w:hanging="360"/>
      </w:pPr>
      <w:rPr>
        <w:rFonts w:hint="eastAsia"/>
      </w:rPr>
    </w:lvl>
    <w:lvl w:ilvl="1">
      <w:start w:val="1"/>
      <w:numFmt w:val="decimal"/>
      <w:pStyle w:val="Figure"/>
      <w:suff w:val="space"/>
      <w:lvlText w:val="Figure %2.%1"/>
      <w:lvlJc w:val="left"/>
      <w:pPr>
        <w:ind w:left="0" w:firstLine="0"/>
      </w:pPr>
      <w:rPr>
        <w:rFonts w:ascii="Times New Roman" w:hAnsi="Times New Roman" w:hint="default"/>
        <w:b/>
        <w:i w:val="0"/>
        <w:color w:val="auto"/>
        <w:sz w:val="22"/>
      </w:rPr>
    </w:lvl>
    <w:lvl w:ilvl="2">
      <w:start w:val="1"/>
      <w:numFmt w:val="lowerRoman"/>
      <w:lvlText w:val="%3)"/>
      <w:lvlJc w:val="left"/>
      <w:pPr>
        <w:ind w:left="1080" w:hanging="360"/>
      </w:pPr>
      <w:rPr>
        <w:rFonts w:hint="eastAsia"/>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23">
    <w:nsid w:val="1E10128E"/>
    <w:multiLevelType w:val="hybridMultilevel"/>
    <w:tmpl w:val="698C9630"/>
    <w:lvl w:ilvl="0" w:tplc="8320EE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217D71D7"/>
    <w:multiLevelType w:val="hybridMultilevel"/>
    <w:tmpl w:val="AF12E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4103F14"/>
    <w:multiLevelType w:val="multilevel"/>
    <w:tmpl w:val="CF3E1AE4"/>
    <w:numStyleLink w:val="Style2"/>
  </w:abstractNum>
  <w:abstractNum w:abstractNumId="26">
    <w:nsid w:val="24F329E6"/>
    <w:multiLevelType w:val="multilevel"/>
    <w:tmpl w:val="996AE7BC"/>
    <w:lvl w:ilvl="0">
      <w:start w:val="3"/>
      <w:numFmt w:val="decimal"/>
      <w:lvlText w:val="%1."/>
      <w:lvlJc w:val="left"/>
      <w:pPr>
        <w:ind w:left="360" w:hanging="360"/>
      </w:pPr>
      <w:rPr>
        <w:rFonts w:hint="default"/>
      </w:rPr>
    </w:lvl>
    <w:lvl w:ilvl="1">
      <w:start w:val="1"/>
      <w:numFmt w:val="decimal"/>
      <w:suff w:val="nothing"/>
      <w:lvlText w:val="Table %1.%2"/>
      <w:lvlJc w:val="left"/>
      <w:pPr>
        <w:ind w:left="0" w:firstLine="0"/>
      </w:pPr>
      <w:rPr>
        <w:rFonts w:hint="default"/>
        <w:b/>
        <w:i w:val="0"/>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61655AE"/>
    <w:multiLevelType w:val="hybridMultilevel"/>
    <w:tmpl w:val="ACA81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9764817"/>
    <w:multiLevelType w:val="multilevel"/>
    <w:tmpl w:val="CF3E1AE4"/>
    <w:numStyleLink w:val="Style2"/>
  </w:abstractNum>
  <w:abstractNum w:abstractNumId="29">
    <w:nsid w:val="2A9A13B0"/>
    <w:multiLevelType w:val="hybridMultilevel"/>
    <w:tmpl w:val="AE487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C394DFF"/>
    <w:multiLevelType w:val="hybridMultilevel"/>
    <w:tmpl w:val="CA745DAA"/>
    <w:lvl w:ilvl="0" w:tplc="8E18BB82">
      <w:start w:val="1"/>
      <w:numFmt w:val="decimal"/>
      <w:lvlText w:val="%1."/>
      <w:lvlJc w:val="left"/>
      <w:pPr>
        <w:ind w:left="720" w:hanging="360"/>
      </w:pPr>
      <w:rPr>
        <w:rFonts w:hint="default"/>
      </w:rPr>
    </w:lvl>
    <w:lvl w:ilvl="1" w:tplc="E442363E" w:tentative="1">
      <w:start w:val="1"/>
      <w:numFmt w:val="lowerLetter"/>
      <w:lvlText w:val="%2."/>
      <w:lvlJc w:val="left"/>
      <w:pPr>
        <w:ind w:left="1440" w:hanging="360"/>
      </w:pPr>
    </w:lvl>
    <w:lvl w:ilvl="2" w:tplc="4B847D12" w:tentative="1">
      <w:start w:val="1"/>
      <w:numFmt w:val="lowerRoman"/>
      <w:lvlText w:val="%3."/>
      <w:lvlJc w:val="right"/>
      <w:pPr>
        <w:ind w:left="2160" w:hanging="180"/>
      </w:pPr>
    </w:lvl>
    <w:lvl w:ilvl="3" w:tplc="B97C4110" w:tentative="1">
      <w:start w:val="1"/>
      <w:numFmt w:val="decimal"/>
      <w:lvlText w:val="%4."/>
      <w:lvlJc w:val="left"/>
      <w:pPr>
        <w:ind w:left="2880" w:hanging="360"/>
      </w:pPr>
    </w:lvl>
    <w:lvl w:ilvl="4" w:tplc="705C0B3C" w:tentative="1">
      <w:start w:val="1"/>
      <w:numFmt w:val="lowerLetter"/>
      <w:lvlText w:val="%5."/>
      <w:lvlJc w:val="left"/>
      <w:pPr>
        <w:ind w:left="3600" w:hanging="360"/>
      </w:pPr>
    </w:lvl>
    <w:lvl w:ilvl="5" w:tplc="526C9492" w:tentative="1">
      <w:start w:val="1"/>
      <w:numFmt w:val="lowerRoman"/>
      <w:lvlText w:val="%6."/>
      <w:lvlJc w:val="right"/>
      <w:pPr>
        <w:ind w:left="4320" w:hanging="180"/>
      </w:pPr>
    </w:lvl>
    <w:lvl w:ilvl="6" w:tplc="2398C0A4" w:tentative="1">
      <w:start w:val="1"/>
      <w:numFmt w:val="decimal"/>
      <w:lvlText w:val="%7."/>
      <w:lvlJc w:val="left"/>
      <w:pPr>
        <w:ind w:left="5040" w:hanging="360"/>
      </w:pPr>
    </w:lvl>
    <w:lvl w:ilvl="7" w:tplc="E620DD7A" w:tentative="1">
      <w:start w:val="1"/>
      <w:numFmt w:val="lowerLetter"/>
      <w:lvlText w:val="%8."/>
      <w:lvlJc w:val="left"/>
      <w:pPr>
        <w:ind w:left="5760" w:hanging="360"/>
      </w:pPr>
    </w:lvl>
    <w:lvl w:ilvl="8" w:tplc="46DCD6CE" w:tentative="1">
      <w:start w:val="1"/>
      <w:numFmt w:val="lowerRoman"/>
      <w:lvlText w:val="%9."/>
      <w:lvlJc w:val="right"/>
      <w:pPr>
        <w:ind w:left="6480" w:hanging="180"/>
      </w:pPr>
    </w:lvl>
  </w:abstractNum>
  <w:abstractNum w:abstractNumId="31">
    <w:nsid w:val="2D7065A5"/>
    <w:multiLevelType w:val="multilevel"/>
    <w:tmpl w:val="1334279A"/>
    <w:lvl w:ilvl="0">
      <w:start w:val="1"/>
      <w:numFmt w:val="decimal"/>
      <w:lvlText w:val="%1."/>
      <w:lvlJc w:val="left"/>
      <w:pPr>
        <w:ind w:left="720" w:hanging="360"/>
      </w:pPr>
    </w:lvl>
    <w:lvl w:ilvl="1">
      <w:start w:val="2"/>
      <w:numFmt w:val="decimal"/>
      <w:isLgl/>
      <w:lvlText w:val="%1.%2."/>
      <w:lvlJc w:val="left"/>
      <w:pPr>
        <w:ind w:left="1275" w:hanging="555"/>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2">
    <w:nsid w:val="2D832924"/>
    <w:multiLevelType w:val="hybridMultilevel"/>
    <w:tmpl w:val="963631A4"/>
    <w:lvl w:ilvl="0" w:tplc="3896204C">
      <w:start w:val="1"/>
      <w:numFmt w:val="decimal"/>
      <w:lvlText w:val="%1."/>
      <w:lvlJc w:val="left"/>
      <w:pPr>
        <w:ind w:left="720" w:hanging="360"/>
      </w:pPr>
      <w:rPr>
        <w:rFonts w:hint="default"/>
      </w:rPr>
    </w:lvl>
    <w:lvl w:ilvl="1" w:tplc="70587334" w:tentative="1">
      <w:start w:val="1"/>
      <w:numFmt w:val="lowerLetter"/>
      <w:lvlText w:val="%2."/>
      <w:lvlJc w:val="left"/>
      <w:pPr>
        <w:ind w:left="1440" w:hanging="360"/>
      </w:pPr>
    </w:lvl>
    <w:lvl w:ilvl="2" w:tplc="021A1F9C" w:tentative="1">
      <w:start w:val="1"/>
      <w:numFmt w:val="lowerRoman"/>
      <w:lvlText w:val="%3."/>
      <w:lvlJc w:val="right"/>
      <w:pPr>
        <w:ind w:left="2160" w:hanging="180"/>
      </w:pPr>
    </w:lvl>
    <w:lvl w:ilvl="3" w:tplc="1C682BEA" w:tentative="1">
      <w:start w:val="1"/>
      <w:numFmt w:val="decimal"/>
      <w:lvlText w:val="%4."/>
      <w:lvlJc w:val="left"/>
      <w:pPr>
        <w:ind w:left="2880" w:hanging="360"/>
      </w:pPr>
    </w:lvl>
    <w:lvl w:ilvl="4" w:tplc="3A5C437C" w:tentative="1">
      <w:start w:val="1"/>
      <w:numFmt w:val="lowerLetter"/>
      <w:lvlText w:val="%5."/>
      <w:lvlJc w:val="left"/>
      <w:pPr>
        <w:ind w:left="3600" w:hanging="360"/>
      </w:pPr>
    </w:lvl>
    <w:lvl w:ilvl="5" w:tplc="5EFA1198" w:tentative="1">
      <w:start w:val="1"/>
      <w:numFmt w:val="lowerRoman"/>
      <w:lvlText w:val="%6."/>
      <w:lvlJc w:val="right"/>
      <w:pPr>
        <w:ind w:left="4320" w:hanging="180"/>
      </w:pPr>
    </w:lvl>
    <w:lvl w:ilvl="6" w:tplc="40A4425A" w:tentative="1">
      <w:start w:val="1"/>
      <w:numFmt w:val="decimal"/>
      <w:lvlText w:val="%7."/>
      <w:lvlJc w:val="left"/>
      <w:pPr>
        <w:ind w:left="5040" w:hanging="360"/>
      </w:pPr>
    </w:lvl>
    <w:lvl w:ilvl="7" w:tplc="01B6E458" w:tentative="1">
      <w:start w:val="1"/>
      <w:numFmt w:val="lowerLetter"/>
      <w:lvlText w:val="%8."/>
      <w:lvlJc w:val="left"/>
      <w:pPr>
        <w:ind w:left="5760" w:hanging="360"/>
      </w:pPr>
    </w:lvl>
    <w:lvl w:ilvl="8" w:tplc="BD04BE8A" w:tentative="1">
      <w:start w:val="1"/>
      <w:numFmt w:val="lowerRoman"/>
      <w:lvlText w:val="%9."/>
      <w:lvlJc w:val="right"/>
      <w:pPr>
        <w:ind w:left="6480" w:hanging="180"/>
      </w:pPr>
    </w:lvl>
  </w:abstractNum>
  <w:abstractNum w:abstractNumId="33">
    <w:nsid w:val="2FC01495"/>
    <w:multiLevelType w:val="multilevel"/>
    <w:tmpl w:val="4EE05960"/>
    <w:numStyleLink w:val="Style1"/>
  </w:abstractNum>
  <w:abstractNum w:abstractNumId="34">
    <w:nsid w:val="2FC84C0D"/>
    <w:multiLevelType w:val="hybridMultilevel"/>
    <w:tmpl w:val="EADC9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0C23CB4"/>
    <w:multiLevelType w:val="hybridMultilevel"/>
    <w:tmpl w:val="7472B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0DA6762"/>
    <w:multiLevelType w:val="hybridMultilevel"/>
    <w:tmpl w:val="8FF65750"/>
    <w:lvl w:ilvl="0" w:tplc="0809000F">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7">
    <w:nsid w:val="32A47533"/>
    <w:multiLevelType w:val="hybridMultilevel"/>
    <w:tmpl w:val="375AC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6DA178B"/>
    <w:multiLevelType w:val="hybridMultilevel"/>
    <w:tmpl w:val="0DA83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7A85A32"/>
    <w:multiLevelType w:val="multilevel"/>
    <w:tmpl w:val="04FED058"/>
    <w:lvl w:ilvl="0">
      <w:start w:val="6"/>
      <w:numFmt w:val="decimal"/>
      <w:lvlText w:val="%1"/>
      <w:lvlJc w:val="left"/>
      <w:pPr>
        <w:ind w:left="480" w:hanging="480"/>
      </w:pPr>
    </w:lvl>
    <w:lvl w:ilvl="1">
      <w:start w:val="2"/>
      <w:numFmt w:val="decimal"/>
      <w:lvlText w:val="%1.%2"/>
      <w:lvlJc w:val="left"/>
      <w:pPr>
        <w:ind w:left="840" w:hanging="480"/>
      </w:pPr>
    </w:lvl>
    <w:lvl w:ilvl="2">
      <w:start w:val="5"/>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0">
    <w:nsid w:val="38170F0F"/>
    <w:multiLevelType w:val="hybridMultilevel"/>
    <w:tmpl w:val="F5D6C818"/>
    <w:lvl w:ilvl="0" w:tplc="08090019">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967531C"/>
    <w:multiLevelType w:val="hybridMultilevel"/>
    <w:tmpl w:val="B2DE96A2"/>
    <w:lvl w:ilvl="0" w:tplc="55D8D346">
      <w:start w:val="2"/>
      <w:numFmt w:val="bullet"/>
      <w:lvlText w:val=""/>
      <w:lvlJc w:val="left"/>
      <w:pPr>
        <w:ind w:left="420" w:hanging="360"/>
      </w:pPr>
      <w:rPr>
        <w:rFonts w:ascii="Wingdings" w:eastAsia="Calibri" w:hAnsi="Wingdings" w:cs="Times New Roman" w:hint="default"/>
      </w:rPr>
    </w:lvl>
    <w:lvl w:ilvl="1" w:tplc="C1F68C64" w:tentative="1">
      <w:start w:val="1"/>
      <w:numFmt w:val="bullet"/>
      <w:lvlText w:val="o"/>
      <w:lvlJc w:val="left"/>
      <w:pPr>
        <w:ind w:left="1140" w:hanging="360"/>
      </w:pPr>
      <w:rPr>
        <w:rFonts w:ascii="Courier New" w:hAnsi="Courier New" w:cs="Courier New" w:hint="default"/>
      </w:rPr>
    </w:lvl>
    <w:lvl w:ilvl="2" w:tplc="6BDE8F72" w:tentative="1">
      <w:start w:val="1"/>
      <w:numFmt w:val="bullet"/>
      <w:lvlText w:val=""/>
      <w:lvlJc w:val="left"/>
      <w:pPr>
        <w:ind w:left="1860" w:hanging="360"/>
      </w:pPr>
      <w:rPr>
        <w:rFonts w:ascii="Wingdings" w:hAnsi="Wingdings" w:hint="default"/>
      </w:rPr>
    </w:lvl>
    <w:lvl w:ilvl="3" w:tplc="A81014E4" w:tentative="1">
      <w:start w:val="1"/>
      <w:numFmt w:val="bullet"/>
      <w:lvlText w:val=""/>
      <w:lvlJc w:val="left"/>
      <w:pPr>
        <w:ind w:left="2580" w:hanging="360"/>
      </w:pPr>
      <w:rPr>
        <w:rFonts w:ascii="Symbol" w:hAnsi="Symbol" w:hint="default"/>
      </w:rPr>
    </w:lvl>
    <w:lvl w:ilvl="4" w:tplc="CB421CC4" w:tentative="1">
      <w:start w:val="1"/>
      <w:numFmt w:val="bullet"/>
      <w:lvlText w:val="o"/>
      <w:lvlJc w:val="left"/>
      <w:pPr>
        <w:ind w:left="3300" w:hanging="360"/>
      </w:pPr>
      <w:rPr>
        <w:rFonts w:ascii="Courier New" w:hAnsi="Courier New" w:cs="Courier New" w:hint="default"/>
      </w:rPr>
    </w:lvl>
    <w:lvl w:ilvl="5" w:tplc="F976E60E" w:tentative="1">
      <w:start w:val="1"/>
      <w:numFmt w:val="bullet"/>
      <w:lvlText w:val=""/>
      <w:lvlJc w:val="left"/>
      <w:pPr>
        <w:ind w:left="4020" w:hanging="360"/>
      </w:pPr>
      <w:rPr>
        <w:rFonts w:ascii="Wingdings" w:hAnsi="Wingdings" w:hint="default"/>
      </w:rPr>
    </w:lvl>
    <w:lvl w:ilvl="6" w:tplc="340AED24" w:tentative="1">
      <w:start w:val="1"/>
      <w:numFmt w:val="bullet"/>
      <w:lvlText w:val=""/>
      <w:lvlJc w:val="left"/>
      <w:pPr>
        <w:ind w:left="4740" w:hanging="360"/>
      </w:pPr>
      <w:rPr>
        <w:rFonts w:ascii="Symbol" w:hAnsi="Symbol" w:hint="default"/>
      </w:rPr>
    </w:lvl>
    <w:lvl w:ilvl="7" w:tplc="2EB06944" w:tentative="1">
      <w:start w:val="1"/>
      <w:numFmt w:val="bullet"/>
      <w:lvlText w:val="o"/>
      <w:lvlJc w:val="left"/>
      <w:pPr>
        <w:ind w:left="5460" w:hanging="360"/>
      </w:pPr>
      <w:rPr>
        <w:rFonts w:ascii="Courier New" w:hAnsi="Courier New" w:cs="Courier New" w:hint="default"/>
      </w:rPr>
    </w:lvl>
    <w:lvl w:ilvl="8" w:tplc="B1FED126" w:tentative="1">
      <w:start w:val="1"/>
      <w:numFmt w:val="bullet"/>
      <w:lvlText w:val=""/>
      <w:lvlJc w:val="left"/>
      <w:pPr>
        <w:ind w:left="6180" w:hanging="360"/>
      </w:pPr>
      <w:rPr>
        <w:rFonts w:ascii="Wingdings" w:hAnsi="Wingdings" w:hint="default"/>
      </w:rPr>
    </w:lvl>
  </w:abstractNum>
  <w:abstractNum w:abstractNumId="42">
    <w:nsid w:val="397F0778"/>
    <w:multiLevelType w:val="hybridMultilevel"/>
    <w:tmpl w:val="1AFEC62A"/>
    <w:lvl w:ilvl="0" w:tplc="BEA095C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3">
    <w:nsid w:val="3AD001E0"/>
    <w:multiLevelType w:val="hybridMultilevel"/>
    <w:tmpl w:val="8D1E4B50"/>
    <w:lvl w:ilvl="0" w:tplc="0809000F">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4">
    <w:nsid w:val="3B01450E"/>
    <w:multiLevelType w:val="hybridMultilevel"/>
    <w:tmpl w:val="7FC2D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BE867D2"/>
    <w:multiLevelType w:val="hybridMultilevel"/>
    <w:tmpl w:val="783AC1C4"/>
    <w:lvl w:ilvl="0" w:tplc="E552F828">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6">
    <w:nsid w:val="3CAF4E0A"/>
    <w:multiLevelType w:val="hybridMultilevel"/>
    <w:tmpl w:val="9490E19C"/>
    <w:lvl w:ilvl="0" w:tplc="331AF736">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E2E37E4"/>
    <w:multiLevelType w:val="hybridMultilevel"/>
    <w:tmpl w:val="5642B5BE"/>
    <w:lvl w:ilvl="0" w:tplc="0BB6AC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FC23FB4"/>
    <w:multiLevelType w:val="hybridMultilevel"/>
    <w:tmpl w:val="AE487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36C4FC5"/>
    <w:multiLevelType w:val="hybridMultilevel"/>
    <w:tmpl w:val="FF8413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nsid w:val="43D92E13"/>
    <w:multiLevelType w:val="hybridMultilevel"/>
    <w:tmpl w:val="87566758"/>
    <w:lvl w:ilvl="0" w:tplc="0809000F">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1">
    <w:nsid w:val="45EF1ECA"/>
    <w:multiLevelType w:val="multilevel"/>
    <w:tmpl w:val="4E6E5A30"/>
    <w:lvl w:ilvl="0">
      <w:start w:val="1"/>
      <w:numFmt w:val="decimal"/>
      <w:pStyle w:val="Heading1"/>
      <w:lvlText w:val="Chapter %1"/>
      <w:lvlJc w:val="left"/>
      <w:pPr>
        <w:ind w:left="432" w:hanging="432"/>
      </w:pPr>
      <w:rPr>
        <w:rFonts w:hint="default"/>
        <w:b/>
      </w:rPr>
    </w:lvl>
    <w:lvl w:ilvl="1">
      <w:start w:val="1"/>
      <w:numFmt w:val="decimal"/>
      <w:pStyle w:val="Heading2"/>
      <w:lvlText w:val="%1.%2"/>
      <w:lvlJc w:val="left"/>
      <w:pPr>
        <w:ind w:left="576" w:hanging="576"/>
      </w:pPr>
      <w:rPr>
        <w:rFonts w:hint="default"/>
        <w:b/>
        <w:i/>
      </w:rPr>
    </w:lvl>
    <w:lvl w:ilvl="2">
      <w:start w:val="1"/>
      <w:numFmt w:val="decimal"/>
      <w:pStyle w:val="Heading3"/>
      <w:lvlText w:val="%1.%2.%3"/>
      <w:lvlJc w:val="left"/>
      <w:pPr>
        <w:ind w:left="720" w:hanging="720"/>
      </w:pPr>
      <w:rPr>
        <w:rFonts w:hint="default"/>
        <w:b/>
        <w:i/>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nsid w:val="465C6F5A"/>
    <w:multiLevelType w:val="singleLevel"/>
    <w:tmpl w:val="3D763D62"/>
    <w:lvl w:ilvl="0">
      <w:start w:val="1"/>
      <w:numFmt w:val="decimal"/>
      <w:lvlText w:val="Figure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abstractNum>
  <w:abstractNum w:abstractNumId="53">
    <w:nsid w:val="4FC16178"/>
    <w:multiLevelType w:val="multilevel"/>
    <w:tmpl w:val="1E8A100A"/>
    <w:lvl w:ilvl="0">
      <w:start w:val="1"/>
      <w:numFmt w:val="decimal"/>
      <w:lvlText w:val="Chapter %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ind w:left="576" w:hanging="576"/>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52832780"/>
    <w:multiLevelType w:val="hybridMultilevel"/>
    <w:tmpl w:val="9A263190"/>
    <w:lvl w:ilvl="0" w:tplc="19D0C2D2">
      <w:start w:val="1"/>
      <w:numFmt w:val="decimal"/>
      <w:lvlText w:val="%1."/>
      <w:lvlJc w:val="left"/>
      <w:pPr>
        <w:ind w:left="720" w:hanging="360"/>
      </w:pPr>
      <w:rPr>
        <w:rFonts w:hint="default"/>
      </w:rPr>
    </w:lvl>
    <w:lvl w:ilvl="1" w:tplc="9710B9B8" w:tentative="1">
      <w:start w:val="1"/>
      <w:numFmt w:val="lowerLetter"/>
      <w:lvlText w:val="%2."/>
      <w:lvlJc w:val="left"/>
      <w:pPr>
        <w:ind w:left="1440" w:hanging="360"/>
      </w:pPr>
    </w:lvl>
    <w:lvl w:ilvl="2" w:tplc="4D60AC10" w:tentative="1">
      <w:start w:val="1"/>
      <w:numFmt w:val="lowerRoman"/>
      <w:lvlText w:val="%3."/>
      <w:lvlJc w:val="right"/>
      <w:pPr>
        <w:ind w:left="2160" w:hanging="180"/>
      </w:pPr>
    </w:lvl>
    <w:lvl w:ilvl="3" w:tplc="614C2C26" w:tentative="1">
      <w:start w:val="1"/>
      <w:numFmt w:val="decimal"/>
      <w:lvlText w:val="%4."/>
      <w:lvlJc w:val="left"/>
      <w:pPr>
        <w:ind w:left="2880" w:hanging="360"/>
      </w:pPr>
    </w:lvl>
    <w:lvl w:ilvl="4" w:tplc="FA4A9B9A" w:tentative="1">
      <w:start w:val="1"/>
      <w:numFmt w:val="lowerLetter"/>
      <w:lvlText w:val="%5."/>
      <w:lvlJc w:val="left"/>
      <w:pPr>
        <w:ind w:left="3600" w:hanging="360"/>
      </w:pPr>
    </w:lvl>
    <w:lvl w:ilvl="5" w:tplc="08E46EF8" w:tentative="1">
      <w:start w:val="1"/>
      <w:numFmt w:val="lowerRoman"/>
      <w:lvlText w:val="%6."/>
      <w:lvlJc w:val="right"/>
      <w:pPr>
        <w:ind w:left="4320" w:hanging="180"/>
      </w:pPr>
    </w:lvl>
    <w:lvl w:ilvl="6" w:tplc="88AE22EC" w:tentative="1">
      <w:start w:val="1"/>
      <w:numFmt w:val="decimal"/>
      <w:lvlText w:val="%7."/>
      <w:lvlJc w:val="left"/>
      <w:pPr>
        <w:ind w:left="5040" w:hanging="360"/>
      </w:pPr>
    </w:lvl>
    <w:lvl w:ilvl="7" w:tplc="21A64526" w:tentative="1">
      <w:start w:val="1"/>
      <w:numFmt w:val="lowerLetter"/>
      <w:lvlText w:val="%8."/>
      <w:lvlJc w:val="left"/>
      <w:pPr>
        <w:ind w:left="5760" w:hanging="360"/>
      </w:pPr>
    </w:lvl>
    <w:lvl w:ilvl="8" w:tplc="1AE2C470" w:tentative="1">
      <w:start w:val="1"/>
      <w:numFmt w:val="lowerRoman"/>
      <w:lvlText w:val="%9."/>
      <w:lvlJc w:val="right"/>
      <w:pPr>
        <w:ind w:left="6480" w:hanging="180"/>
      </w:pPr>
    </w:lvl>
  </w:abstractNum>
  <w:abstractNum w:abstractNumId="55">
    <w:nsid w:val="53437A73"/>
    <w:multiLevelType w:val="hybridMultilevel"/>
    <w:tmpl w:val="E0E68426"/>
    <w:lvl w:ilvl="0" w:tplc="0809000F">
      <w:start w:val="1"/>
      <w:numFmt w:val="decimal"/>
      <w:lvlText w:val="%1."/>
      <w:lvlJc w:val="left"/>
      <w:pPr>
        <w:ind w:left="720" w:hanging="360"/>
      </w:pPr>
      <w:rPr>
        <w:rFonts w:eastAsia="Times New Roman" w:hint="default"/>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3856C9B"/>
    <w:multiLevelType w:val="hybridMultilevel"/>
    <w:tmpl w:val="83FCD3A8"/>
    <w:lvl w:ilvl="0" w:tplc="953498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3B50B25"/>
    <w:multiLevelType w:val="multilevel"/>
    <w:tmpl w:val="CF3E1AE4"/>
    <w:numStyleLink w:val="Style2"/>
  </w:abstractNum>
  <w:abstractNum w:abstractNumId="58">
    <w:nsid w:val="56193E71"/>
    <w:multiLevelType w:val="hybridMultilevel"/>
    <w:tmpl w:val="FA8A2504"/>
    <w:lvl w:ilvl="0" w:tplc="0809000F">
      <w:start w:val="5"/>
      <w:numFmt w:val="bullet"/>
      <w:lvlText w:val=""/>
      <w:lvlJc w:val="left"/>
      <w:pPr>
        <w:ind w:left="720" w:hanging="360"/>
      </w:pPr>
      <w:rPr>
        <w:rFonts w:ascii="Wingdings" w:eastAsia="Calibri" w:hAnsi="Wingdings"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9">
    <w:nsid w:val="5C502E15"/>
    <w:multiLevelType w:val="hybridMultilevel"/>
    <w:tmpl w:val="4CB8A7A4"/>
    <w:lvl w:ilvl="0" w:tplc="99CCABA2">
      <w:start w:val="1"/>
      <w:numFmt w:val="decimal"/>
      <w:lvlText w:val="%1."/>
      <w:lvlJc w:val="left"/>
      <w:pPr>
        <w:ind w:left="1353" w:hanging="360"/>
      </w:pPr>
      <w:rPr>
        <w:rFonts w:hint="default"/>
      </w:rPr>
    </w:lvl>
    <w:lvl w:ilvl="1" w:tplc="08090003" w:tentative="1">
      <w:start w:val="1"/>
      <w:numFmt w:val="lowerLetter"/>
      <w:lvlText w:val="%2."/>
      <w:lvlJc w:val="left"/>
      <w:pPr>
        <w:ind w:left="2073" w:hanging="360"/>
      </w:pPr>
    </w:lvl>
    <w:lvl w:ilvl="2" w:tplc="08090005" w:tentative="1">
      <w:start w:val="1"/>
      <w:numFmt w:val="lowerRoman"/>
      <w:lvlText w:val="%3."/>
      <w:lvlJc w:val="right"/>
      <w:pPr>
        <w:ind w:left="2793" w:hanging="180"/>
      </w:pPr>
    </w:lvl>
    <w:lvl w:ilvl="3" w:tplc="08090001" w:tentative="1">
      <w:start w:val="1"/>
      <w:numFmt w:val="decimal"/>
      <w:lvlText w:val="%4."/>
      <w:lvlJc w:val="left"/>
      <w:pPr>
        <w:ind w:left="3513" w:hanging="360"/>
      </w:pPr>
    </w:lvl>
    <w:lvl w:ilvl="4" w:tplc="08090003" w:tentative="1">
      <w:start w:val="1"/>
      <w:numFmt w:val="lowerLetter"/>
      <w:lvlText w:val="%5."/>
      <w:lvlJc w:val="left"/>
      <w:pPr>
        <w:ind w:left="4233" w:hanging="360"/>
      </w:pPr>
    </w:lvl>
    <w:lvl w:ilvl="5" w:tplc="08090005" w:tentative="1">
      <w:start w:val="1"/>
      <w:numFmt w:val="lowerRoman"/>
      <w:lvlText w:val="%6."/>
      <w:lvlJc w:val="right"/>
      <w:pPr>
        <w:ind w:left="4953" w:hanging="180"/>
      </w:pPr>
    </w:lvl>
    <w:lvl w:ilvl="6" w:tplc="08090001" w:tentative="1">
      <w:start w:val="1"/>
      <w:numFmt w:val="decimal"/>
      <w:lvlText w:val="%7."/>
      <w:lvlJc w:val="left"/>
      <w:pPr>
        <w:ind w:left="5673" w:hanging="360"/>
      </w:pPr>
    </w:lvl>
    <w:lvl w:ilvl="7" w:tplc="08090003" w:tentative="1">
      <w:start w:val="1"/>
      <w:numFmt w:val="lowerLetter"/>
      <w:lvlText w:val="%8."/>
      <w:lvlJc w:val="left"/>
      <w:pPr>
        <w:ind w:left="6393" w:hanging="360"/>
      </w:pPr>
    </w:lvl>
    <w:lvl w:ilvl="8" w:tplc="08090005" w:tentative="1">
      <w:start w:val="1"/>
      <w:numFmt w:val="lowerRoman"/>
      <w:lvlText w:val="%9."/>
      <w:lvlJc w:val="right"/>
      <w:pPr>
        <w:ind w:left="7113" w:hanging="180"/>
      </w:pPr>
    </w:lvl>
  </w:abstractNum>
  <w:abstractNum w:abstractNumId="60">
    <w:nsid w:val="5E63367F"/>
    <w:multiLevelType w:val="multilevel"/>
    <w:tmpl w:val="C374E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E6E7528"/>
    <w:multiLevelType w:val="hybridMultilevel"/>
    <w:tmpl w:val="AE487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0946034"/>
    <w:multiLevelType w:val="multilevel"/>
    <w:tmpl w:val="2BA852C2"/>
    <w:lvl w:ilvl="0">
      <w:start w:val="1"/>
      <w:numFmt w:val="decimal"/>
      <w:lvlText w:val="%1."/>
      <w:lvlJc w:val="left"/>
      <w:pPr>
        <w:ind w:left="720" w:hanging="360"/>
      </w:pPr>
      <w:rPr>
        <w:rFonts w:hint="default"/>
      </w:rPr>
    </w:lvl>
    <w:lvl w:ilvl="1">
      <w:start w:val="3"/>
      <w:numFmt w:val="decimal"/>
      <w:isLgl/>
      <w:lvlText w:val="%1.%2"/>
      <w:lvlJc w:val="left"/>
      <w:pPr>
        <w:ind w:left="1800" w:hanging="1440"/>
      </w:pPr>
      <w:rPr>
        <w:rFonts w:hint="default"/>
      </w:rPr>
    </w:lvl>
    <w:lvl w:ilvl="2">
      <w:start w:val="2"/>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60AB52A0"/>
    <w:multiLevelType w:val="hybridMultilevel"/>
    <w:tmpl w:val="3F8C3776"/>
    <w:lvl w:ilvl="0" w:tplc="93300078">
      <w:start w:val="1"/>
      <w:numFmt w:val="decimal"/>
      <w:lvlText w:val="%1."/>
      <w:lvlJc w:val="left"/>
      <w:pPr>
        <w:ind w:left="720" w:hanging="360"/>
      </w:pPr>
      <w:rPr>
        <w:rFonts w:hint="default"/>
      </w:rPr>
    </w:lvl>
    <w:lvl w:ilvl="1" w:tplc="56F6ACA2" w:tentative="1">
      <w:start w:val="1"/>
      <w:numFmt w:val="lowerLetter"/>
      <w:lvlText w:val="%2."/>
      <w:lvlJc w:val="left"/>
      <w:pPr>
        <w:ind w:left="1440" w:hanging="360"/>
      </w:pPr>
    </w:lvl>
    <w:lvl w:ilvl="2" w:tplc="67602DD6" w:tentative="1">
      <w:start w:val="1"/>
      <w:numFmt w:val="lowerRoman"/>
      <w:lvlText w:val="%3."/>
      <w:lvlJc w:val="right"/>
      <w:pPr>
        <w:ind w:left="2160" w:hanging="180"/>
      </w:pPr>
    </w:lvl>
    <w:lvl w:ilvl="3" w:tplc="F3908D9E" w:tentative="1">
      <w:start w:val="1"/>
      <w:numFmt w:val="decimal"/>
      <w:lvlText w:val="%4."/>
      <w:lvlJc w:val="left"/>
      <w:pPr>
        <w:ind w:left="2880" w:hanging="360"/>
      </w:pPr>
    </w:lvl>
    <w:lvl w:ilvl="4" w:tplc="847AB782" w:tentative="1">
      <w:start w:val="1"/>
      <w:numFmt w:val="lowerLetter"/>
      <w:lvlText w:val="%5."/>
      <w:lvlJc w:val="left"/>
      <w:pPr>
        <w:ind w:left="3600" w:hanging="360"/>
      </w:pPr>
    </w:lvl>
    <w:lvl w:ilvl="5" w:tplc="68B43CC6" w:tentative="1">
      <w:start w:val="1"/>
      <w:numFmt w:val="lowerRoman"/>
      <w:lvlText w:val="%6."/>
      <w:lvlJc w:val="right"/>
      <w:pPr>
        <w:ind w:left="4320" w:hanging="180"/>
      </w:pPr>
    </w:lvl>
    <w:lvl w:ilvl="6" w:tplc="C6008986" w:tentative="1">
      <w:start w:val="1"/>
      <w:numFmt w:val="decimal"/>
      <w:lvlText w:val="%7."/>
      <w:lvlJc w:val="left"/>
      <w:pPr>
        <w:ind w:left="5040" w:hanging="360"/>
      </w:pPr>
    </w:lvl>
    <w:lvl w:ilvl="7" w:tplc="81229076" w:tentative="1">
      <w:start w:val="1"/>
      <w:numFmt w:val="lowerLetter"/>
      <w:lvlText w:val="%8."/>
      <w:lvlJc w:val="left"/>
      <w:pPr>
        <w:ind w:left="5760" w:hanging="360"/>
      </w:pPr>
    </w:lvl>
    <w:lvl w:ilvl="8" w:tplc="8B3C0B6A" w:tentative="1">
      <w:start w:val="1"/>
      <w:numFmt w:val="lowerRoman"/>
      <w:lvlText w:val="%9."/>
      <w:lvlJc w:val="right"/>
      <w:pPr>
        <w:ind w:left="6480" w:hanging="180"/>
      </w:pPr>
    </w:lvl>
  </w:abstractNum>
  <w:abstractNum w:abstractNumId="64">
    <w:nsid w:val="63BC79F1"/>
    <w:multiLevelType w:val="hybridMultilevel"/>
    <w:tmpl w:val="9612C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51B10F5"/>
    <w:multiLevelType w:val="hybridMultilevel"/>
    <w:tmpl w:val="0BD42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88B6E5B"/>
    <w:multiLevelType w:val="hybridMultilevel"/>
    <w:tmpl w:val="12349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9DE295F"/>
    <w:multiLevelType w:val="hybridMultilevel"/>
    <w:tmpl w:val="69A40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9F81CF0"/>
    <w:multiLevelType w:val="multilevel"/>
    <w:tmpl w:val="5ED6CF4E"/>
    <w:lvl w:ilvl="0">
      <w:start w:val="8"/>
      <w:numFmt w:val="decimal"/>
      <w:lvlText w:val="%1."/>
      <w:lvlJc w:val="left"/>
      <w:pPr>
        <w:ind w:left="360" w:hanging="360"/>
      </w:pPr>
      <w:rPr>
        <w:rFonts w:hint="default"/>
      </w:rPr>
    </w:lvl>
    <w:lvl w:ilvl="1">
      <w:start w:val="1"/>
      <w:numFmt w:val="decimal"/>
      <w:suff w:val="nothing"/>
      <w:lvlText w:val="Table %1.%2"/>
      <w:lvlJc w:val="left"/>
      <w:pPr>
        <w:ind w:left="8648" w:firstLine="0"/>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E493DD7"/>
    <w:multiLevelType w:val="hybridMultilevel"/>
    <w:tmpl w:val="3A14779A"/>
    <w:lvl w:ilvl="0" w:tplc="00B0D58E">
      <w:start w:val="1"/>
      <w:numFmt w:val="decimal"/>
      <w:lvlText w:val="%1."/>
      <w:lvlJc w:val="left"/>
      <w:pPr>
        <w:ind w:left="720" w:hanging="360"/>
      </w:pPr>
      <w:rPr>
        <w:rFonts w:hint="default"/>
      </w:rPr>
    </w:lvl>
    <w:lvl w:ilvl="1" w:tplc="2A6E02CC" w:tentative="1">
      <w:start w:val="1"/>
      <w:numFmt w:val="lowerLetter"/>
      <w:lvlText w:val="%2."/>
      <w:lvlJc w:val="left"/>
      <w:pPr>
        <w:ind w:left="1440" w:hanging="360"/>
      </w:pPr>
    </w:lvl>
    <w:lvl w:ilvl="2" w:tplc="AD6A713E" w:tentative="1">
      <w:start w:val="1"/>
      <w:numFmt w:val="lowerRoman"/>
      <w:lvlText w:val="%3."/>
      <w:lvlJc w:val="right"/>
      <w:pPr>
        <w:ind w:left="2160" w:hanging="180"/>
      </w:pPr>
    </w:lvl>
    <w:lvl w:ilvl="3" w:tplc="CFCA27FA" w:tentative="1">
      <w:start w:val="1"/>
      <w:numFmt w:val="decimal"/>
      <w:lvlText w:val="%4."/>
      <w:lvlJc w:val="left"/>
      <w:pPr>
        <w:ind w:left="2880" w:hanging="360"/>
      </w:pPr>
    </w:lvl>
    <w:lvl w:ilvl="4" w:tplc="1EEC8838" w:tentative="1">
      <w:start w:val="1"/>
      <w:numFmt w:val="lowerLetter"/>
      <w:lvlText w:val="%5."/>
      <w:lvlJc w:val="left"/>
      <w:pPr>
        <w:ind w:left="3600" w:hanging="360"/>
      </w:pPr>
    </w:lvl>
    <w:lvl w:ilvl="5" w:tplc="37AC2FD2" w:tentative="1">
      <w:start w:val="1"/>
      <w:numFmt w:val="lowerRoman"/>
      <w:lvlText w:val="%6."/>
      <w:lvlJc w:val="right"/>
      <w:pPr>
        <w:ind w:left="4320" w:hanging="180"/>
      </w:pPr>
    </w:lvl>
    <w:lvl w:ilvl="6" w:tplc="18FA8F5C" w:tentative="1">
      <w:start w:val="1"/>
      <w:numFmt w:val="decimal"/>
      <w:lvlText w:val="%7."/>
      <w:lvlJc w:val="left"/>
      <w:pPr>
        <w:ind w:left="5040" w:hanging="360"/>
      </w:pPr>
    </w:lvl>
    <w:lvl w:ilvl="7" w:tplc="544EC514" w:tentative="1">
      <w:start w:val="1"/>
      <w:numFmt w:val="lowerLetter"/>
      <w:lvlText w:val="%8."/>
      <w:lvlJc w:val="left"/>
      <w:pPr>
        <w:ind w:left="5760" w:hanging="360"/>
      </w:pPr>
    </w:lvl>
    <w:lvl w:ilvl="8" w:tplc="3AB24AF0" w:tentative="1">
      <w:start w:val="1"/>
      <w:numFmt w:val="lowerRoman"/>
      <w:lvlText w:val="%9."/>
      <w:lvlJc w:val="right"/>
      <w:pPr>
        <w:ind w:left="6480" w:hanging="180"/>
      </w:pPr>
    </w:lvl>
  </w:abstractNum>
  <w:abstractNum w:abstractNumId="70">
    <w:nsid w:val="75D958A6"/>
    <w:multiLevelType w:val="hybridMultilevel"/>
    <w:tmpl w:val="AE487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A5148CB"/>
    <w:multiLevelType w:val="hybridMultilevel"/>
    <w:tmpl w:val="FF8413CA"/>
    <w:lvl w:ilvl="0" w:tplc="3148DD16">
      <w:start w:val="1"/>
      <w:numFmt w:val="decimal"/>
      <w:lvlText w:val="%1."/>
      <w:lvlJc w:val="left"/>
      <w:pPr>
        <w:ind w:left="720" w:hanging="360"/>
      </w:pPr>
    </w:lvl>
    <w:lvl w:ilvl="1" w:tplc="19F2A9AC">
      <w:start w:val="1"/>
      <w:numFmt w:val="lowerLetter"/>
      <w:lvlText w:val="%2."/>
      <w:lvlJc w:val="left"/>
      <w:pPr>
        <w:ind w:left="1440" w:hanging="360"/>
      </w:pPr>
    </w:lvl>
    <w:lvl w:ilvl="2" w:tplc="B194E7E4">
      <w:start w:val="1"/>
      <w:numFmt w:val="lowerRoman"/>
      <w:lvlText w:val="%3."/>
      <w:lvlJc w:val="right"/>
      <w:pPr>
        <w:ind w:left="2160" w:hanging="180"/>
      </w:pPr>
    </w:lvl>
    <w:lvl w:ilvl="3" w:tplc="C19ADC78">
      <w:start w:val="1"/>
      <w:numFmt w:val="decimal"/>
      <w:lvlText w:val="%4."/>
      <w:lvlJc w:val="left"/>
      <w:pPr>
        <w:ind w:left="2880" w:hanging="360"/>
      </w:pPr>
    </w:lvl>
    <w:lvl w:ilvl="4" w:tplc="897841C8">
      <w:start w:val="1"/>
      <w:numFmt w:val="lowerLetter"/>
      <w:lvlText w:val="%5."/>
      <w:lvlJc w:val="left"/>
      <w:pPr>
        <w:ind w:left="3600" w:hanging="360"/>
      </w:pPr>
    </w:lvl>
    <w:lvl w:ilvl="5" w:tplc="142C3410">
      <w:start w:val="1"/>
      <w:numFmt w:val="lowerRoman"/>
      <w:lvlText w:val="%6."/>
      <w:lvlJc w:val="right"/>
      <w:pPr>
        <w:ind w:left="4320" w:hanging="180"/>
      </w:pPr>
    </w:lvl>
    <w:lvl w:ilvl="6" w:tplc="9104AC76">
      <w:start w:val="1"/>
      <w:numFmt w:val="decimal"/>
      <w:lvlText w:val="%7."/>
      <w:lvlJc w:val="left"/>
      <w:pPr>
        <w:ind w:left="5040" w:hanging="360"/>
      </w:pPr>
    </w:lvl>
    <w:lvl w:ilvl="7" w:tplc="9728634A">
      <w:start w:val="1"/>
      <w:numFmt w:val="lowerLetter"/>
      <w:lvlText w:val="%8."/>
      <w:lvlJc w:val="left"/>
      <w:pPr>
        <w:ind w:left="5760" w:hanging="360"/>
      </w:pPr>
    </w:lvl>
    <w:lvl w:ilvl="8" w:tplc="ABBAAD34">
      <w:start w:val="1"/>
      <w:numFmt w:val="lowerRoman"/>
      <w:lvlText w:val="%9."/>
      <w:lvlJc w:val="right"/>
      <w:pPr>
        <w:ind w:left="6480" w:hanging="180"/>
      </w:pPr>
    </w:lvl>
  </w:abstractNum>
  <w:abstractNum w:abstractNumId="72">
    <w:nsid w:val="7A5C5B26"/>
    <w:multiLevelType w:val="hybridMultilevel"/>
    <w:tmpl w:val="67187E1A"/>
    <w:lvl w:ilvl="0" w:tplc="0809000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7C076D9C"/>
    <w:multiLevelType w:val="hybridMultilevel"/>
    <w:tmpl w:val="F5D6C818"/>
    <w:lvl w:ilvl="0" w:tplc="08090019">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DB54B15"/>
    <w:multiLevelType w:val="hybridMultilevel"/>
    <w:tmpl w:val="618CB948"/>
    <w:lvl w:ilvl="0" w:tplc="0809000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DB5556D"/>
    <w:multiLevelType w:val="hybridMultilevel"/>
    <w:tmpl w:val="43663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E6529CD"/>
    <w:multiLevelType w:val="hybridMultilevel"/>
    <w:tmpl w:val="BABEA91A"/>
    <w:lvl w:ilvl="0" w:tplc="1A5A37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3"/>
  </w:num>
  <w:num w:numId="3">
    <w:abstractNumId w:val="2"/>
  </w:num>
  <w:num w:numId="4">
    <w:abstractNumId w:val="27"/>
  </w:num>
  <w:num w:numId="5">
    <w:abstractNumId w:val="74"/>
  </w:num>
  <w:num w:numId="6">
    <w:abstractNumId w:val="59"/>
  </w:num>
  <w:num w:numId="7">
    <w:abstractNumId w:val="35"/>
  </w:num>
  <w:num w:numId="8">
    <w:abstractNumId w:val="62"/>
  </w:num>
  <w:num w:numId="9">
    <w:abstractNumId w:val="69"/>
  </w:num>
  <w:num w:numId="10">
    <w:abstractNumId w:val="56"/>
  </w:num>
  <w:num w:numId="11">
    <w:abstractNumId w:val="44"/>
  </w:num>
  <w:num w:numId="12">
    <w:abstractNumId w:val="45"/>
  </w:num>
  <w:num w:numId="13">
    <w:abstractNumId w:val="50"/>
  </w:num>
  <w:num w:numId="14">
    <w:abstractNumId w:val="20"/>
  </w:num>
  <w:num w:numId="15">
    <w:abstractNumId w:val="15"/>
  </w:num>
  <w:num w:numId="16">
    <w:abstractNumId w:val="67"/>
  </w:num>
  <w:num w:numId="17">
    <w:abstractNumId w:val="73"/>
  </w:num>
  <w:num w:numId="18">
    <w:abstractNumId w:val="43"/>
  </w:num>
  <w:num w:numId="19">
    <w:abstractNumId w:val="24"/>
  </w:num>
  <w:num w:numId="20">
    <w:abstractNumId w:val="72"/>
  </w:num>
  <w:num w:numId="21">
    <w:abstractNumId w:val="3"/>
  </w:num>
  <w:num w:numId="22">
    <w:abstractNumId w:val="58"/>
  </w:num>
  <w:num w:numId="23">
    <w:abstractNumId w:val="1"/>
  </w:num>
  <w:num w:numId="24">
    <w:abstractNumId w:val="48"/>
  </w:num>
  <w:num w:numId="25">
    <w:abstractNumId w:val="30"/>
  </w:num>
  <w:num w:numId="26">
    <w:abstractNumId w:val="18"/>
  </w:num>
  <w:num w:numId="27">
    <w:abstractNumId w:val="21"/>
  </w:num>
  <w:num w:numId="28">
    <w:abstractNumId w:val="47"/>
  </w:num>
  <w:num w:numId="29">
    <w:abstractNumId w:val="76"/>
  </w:num>
  <w:num w:numId="30">
    <w:abstractNumId w:val="6"/>
  </w:num>
  <w:num w:numId="31">
    <w:abstractNumId w:val="32"/>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6"/>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num>
  <w:num w:numId="37">
    <w:abstractNumId w:val="65"/>
  </w:num>
  <w:num w:numId="38">
    <w:abstractNumId w:val="54"/>
  </w:num>
  <w:num w:numId="39">
    <w:abstractNumId w:val="34"/>
  </w:num>
  <w:num w:numId="40">
    <w:abstractNumId w:val="64"/>
  </w:num>
  <w:num w:numId="41">
    <w:abstractNumId w:val="41"/>
  </w:num>
  <w:num w:numId="42">
    <w:abstractNumId w:val="9"/>
  </w:num>
  <w:num w:numId="43">
    <w:abstractNumId w:val="36"/>
  </w:num>
  <w:num w:numId="44">
    <w:abstractNumId w:val="0"/>
  </w:num>
  <w:num w:numId="45">
    <w:abstractNumId w:val="42"/>
  </w:num>
  <w:num w:numId="46">
    <w:abstractNumId w:val="5"/>
  </w:num>
  <w:num w:numId="47">
    <w:abstractNumId w:val="26"/>
  </w:num>
  <w:num w:numId="48">
    <w:abstractNumId w:val="17"/>
  </w:num>
  <w:num w:numId="49">
    <w:abstractNumId w:val="46"/>
  </w:num>
  <w:num w:numId="50">
    <w:abstractNumId w:val="11"/>
  </w:num>
  <w:num w:numId="51">
    <w:abstractNumId w:val="52"/>
  </w:num>
  <w:num w:numId="52">
    <w:abstractNumId w:val="14"/>
  </w:num>
  <w:num w:numId="53">
    <w:abstractNumId w:val="12"/>
  </w:num>
  <w:num w:numId="54">
    <w:abstractNumId w:val="19"/>
  </w:num>
  <w:num w:numId="55">
    <w:abstractNumId w:val="25"/>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num>
  <w:num w:numId="58">
    <w:abstractNumId w:val="16"/>
  </w:num>
  <w:num w:numId="59">
    <w:abstractNumId w:val="33"/>
  </w:num>
  <w:num w:numId="60">
    <w:abstractNumId w:val="57"/>
  </w:num>
  <w:num w:numId="61">
    <w:abstractNumId w:val="28"/>
    <w:lvlOverride w:ilvl="0">
      <w:lvl w:ilvl="0">
        <w:start w:val="1"/>
        <w:numFmt w:val="decimal"/>
        <w:lvlText w:val="Figure %1"/>
        <w:lvlJc w:val="left"/>
        <w:pPr>
          <w:ind w:left="360" w:hanging="360"/>
        </w:pPr>
        <w:rPr>
          <w:rFonts w:hint="eastAsia"/>
        </w:rPr>
      </w:lvl>
    </w:lvlOverride>
    <w:lvlOverride w:ilvl="1">
      <w:lvl w:ilvl="1">
        <w:start w:val="1"/>
        <w:numFmt w:val="decimal"/>
        <w:suff w:val="space"/>
        <w:lvlText w:val="Figure %2.%1"/>
        <w:lvlJc w:val="left"/>
        <w:pPr>
          <w:ind w:left="0" w:firstLine="0"/>
        </w:pPr>
        <w:rPr>
          <w:rFonts w:ascii="Times New Roman" w:hAnsi="Times New Roman" w:hint="default"/>
          <w:b/>
          <w:i w:val="0"/>
          <w:color w:val="auto"/>
          <w:sz w:val="22"/>
        </w:rPr>
      </w:lvl>
    </w:lvlOverride>
  </w:num>
  <w:num w:numId="62">
    <w:abstractNumId w:val="22"/>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7"/>
  </w:num>
  <w:num w:numId="66">
    <w:abstractNumId w:val="37"/>
  </w:num>
  <w:num w:numId="67">
    <w:abstractNumId w:val="75"/>
  </w:num>
  <w:num w:numId="68">
    <w:abstractNumId w:val="13"/>
  </w:num>
  <w:num w:numId="69">
    <w:abstractNumId w:val="38"/>
  </w:num>
  <w:num w:numId="70">
    <w:abstractNumId w:val="23"/>
  </w:num>
  <w:num w:numId="71">
    <w:abstractNumId w:val="66"/>
  </w:num>
  <w:num w:numId="72">
    <w:abstractNumId w:val="60"/>
  </w:num>
  <w:num w:numId="73">
    <w:abstractNumId w:val="53"/>
  </w:num>
  <w:num w:numId="74">
    <w:abstractNumId w:val="51"/>
  </w:num>
  <w:num w:numId="75">
    <w:abstractNumId w:val="51"/>
  </w:num>
  <w:num w:numId="76">
    <w:abstractNumId w:val="51"/>
  </w:num>
  <w:num w:numId="77">
    <w:abstractNumId w:val="40"/>
  </w:num>
  <w:num w:numId="78">
    <w:abstractNumId w:val="29"/>
  </w:num>
  <w:num w:numId="79">
    <w:abstractNumId w:val="70"/>
  </w:num>
  <w:num w:numId="80">
    <w:abstractNumId w:val="61"/>
  </w:num>
  <w:num w:numId="81">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57AD7"/>
    <w:rsid w:val="0000012A"/>
    <w:rsid w:val="000001B6"/>
    <w:rsid w:val="00000443"/>
    <w:rsid w:val="000004CA"/>
    <w:rsid w:val="000009D2"/>
    <w:rsid w:val="00000A92"/>
    <w:rsid w:val="00000AF8"/>
    <w:rsid w:val="00001438"/>
    <w:rsid w:val="00001531"/>
    <w:rsid w:val="00001A9C"/>
    <w:rsid w:val="00001B3B"/>
    <w:rsid w:val="000024C7"/>
    <w:rsid w:val="000025D3"/>
    <w:rsid w:val="00002F11"/>
    <w:rsid w:val="000030CE"/>
    <w:rsid w:val="0000378F"/>
    <w:rsid w:val="00003F54"/>
    <w:rsid w:val="00003F6C"/>
    <w:rsid w:val="00004503"/>
    <w:rsid w:val="0000456E"/>
    <w:rsid w:val="00004F97"/>
    <w:rsid w:val="00005084"/>
    <w:rsid w:val="00005C17"/>
    <w:rsid w:val="0000610F"/>
    <w:rsid w:val="00006290"/>
    <w:rsid w:val="00006540"/>
    <w:rsid w:val="00007689"/>
    <w:rsid w:val="000077FD"/>
    <w:rsid w:val="00007B32"/>
    <w:rsid w:val="00007CB4"/>
    <w:rsid w:val="00010586"/>
    <w:rsid w:val="000108B4"/>
    <w:rsid w:val="000112DA"/>
    <w:rsid w:val="00011623"/>
    <w:rsid w:val="00011BC0"/>
    <w:rsid w:val="00011E3B"/>
    <w:rsid w:val="000128EE"/>
    <w:rsid w:val="00012BCB"/>
    <w:rsid w:val="00013142"/>
    <w:rsid w:val="00013890"/>
    <w:rsid w:val="00013988"/>
    <w:rsid w:val="00013A62"/>
    <w:rsid w:val="00014379"/>
    <w:rsid w:val="000143F8"/>
    <w:rsid w:val="00014602"/>
    <w:rsid w:val="00014832"/>
    <w:rsid w:val="00014E3E"/>
    <w:rsid w:val="00015023"/>
    <w:rsid w:val="00015AF6"/>
    <w:rsid w:val="00015C7B"/>
    <w:rsid w:val="00015F99"/>
    <w:rsid w:val="00016026"/>
    <w:rsid w:val="00016627"/>
    <w:rsid w:val="00016663"/>
    <w:rsid w:val="00016CF7"/>
    <w:rsid w:val="0001745C"/>
    <w:rsid w:val="00017A39"/>
    <w:rsid w:val="00017B6E"/>
    <w:rsid w:val="0002022A"/>
    <w:rsid w:val="0002028B"/>
    <w:rsid w:val="0002038F"/>
    <w:rsid w:val="000204C4"/>
    <w:rsid w:val="00020C31"/>
    <w:rsid w:val="00020D00"/>
    <w:rsid w:val="00020E59"/>
    <w:rsid w:val="00021010"/>
    <w:rsid w:val="00021685"/>
    <w:rsid w:val="00022488"/>
    <w:rsid w:val="00022E30"/>
    <w:rsid w:val="00023A14"/>
    <w:rsid w:val="00023B51"/>
    <w:rsid w:val="00024D2E"/>
    <w:rsid w:val="00024EBA"/>
    <w:rsid w:val="00025974"/>
    <w:rsid w:val="000266AF"/>
    <w:rsid w:val="000266FF"/>
    <w:rsid w:val="00026920"/>
    <w:rsid w:val="00026F6B"/>
    <w:rsid w:val="00027323"/>
    <w:rsid w:val="000273F9"/>
    <w:rsid w:val="0002764E"/>
    <w:rsid w:val="00027B39"/>
    <w:rsid w:val="00027F47"/>
    <w:rsid w:val="0003096F"/>
    <w:rsid w:val="00030CA3"/>
    <w:rsid w:val="0003121B"/>
    <w:rsid w:val="000317D5"/>
    <w:rsid w:val="000320DB"/>
    <w:rsid w:val="00032366"/>
    <w:rsid w:val="00032487"/>
    <w:rsid w:val="00032F8E"/>
    <w:rsid w:val="00033B47"/>
    <w:rsid w:val="00033F77"/>
    <w:rsid w:val="00034CF2"/>
    <w:rsid w:val="00035CDD"/>
    <w:rsid w:val="00035E40"/>
    <w:rsid w:val="00036B31"/>
    <w:rsid w:val="00036EDD"/>
    <w:rsid w:val="000377CB"/>
    <w:rsid w:val="00037A21"/>
    <w:rsid w:val="00037BD9"/>
    <w:rsid w:val="0004044F"/>
    <w:rsid w:val="00040D6A"/>
    <w:rsid w:val="00040D7F"/>
    <w:rsid w:val="000425E8"/>
    <w:rsid w:val="00042923"/>
    <w:rsid w:val="00043476"/>
    <w:rsid w:val="00043714"/>
    <w:rsid w:val="00043A04"/>
    <w:rsid w:val="000441E6"/>
    <w:rsid w:val="000446CE"/>
    <w:rsid w:val="00044A86"/>
    <w:rsid w:val="00045139"/>
    <w:rsid w:val="0004566A"/>
    <w:rsid w:val="00045771"/>
    <w:rsid w:val="00045B39"/>
    <w:rsid w:val="000462F5"/>
    <w:rsid w:val="00046771"/>
    <w:rsid w:val="000469BB"/>
    <w:rsid w:val="00046C61"/>
    <w:rsid w:val="00046F64"/>
    <w:rsid w:val="000474DD"/>
    <w:rsid w:val="000476DE"/>
    <w:rsid w:val="00047E5B"/>
    <w:rsid w:val="000504D9"/>
    <w:rsid w:val="00050831"/>
    <w:rsid w:val="00050BA1"/>
    <w:rsid w:val="00050DDB"/>
    <w:rsid w:val="00050E0C"/>
    <w:rsid w:val="000510DD"/>
    <w:rsid w:val="00051586"/>
    <w:rsid w:val="00051A6C"/>
    <w:rsid w:val="000524D5"/>
    <w:rsid w:val="00052A5F"/>
    <w:rsid w:val="000534D4"/>
    <w:rsid w:val="00053C21"/>
    <w:rsid w:val="00053D07"/>
    <w:rsid w:val="00053E76"/>
    <w:rsid w:val="0005463B"/>
    <w:rsid w:val="00055F60"/>
    <w:rsid w:val="00056213"/>
    <w:rsid w:val="00056317"/>
    <w:rsid w:val="00056495"/>
    <w:rsid w:val="000567D4"/>
    <w:rsid w:val="000569A9"/>
    <w:rsid w:val="00056BF5"/>
    <w:rsid w:val="00056EE2"/>
    <w:rsid w:val="0005701C"/>
    <w:rsid w:val="00057D49"/>
    <w:rsid w:val="00057FED"/>
    <w:rsid w:val="0006057D"/>
    <w:rsid w:val="000609B5"/>
    <w:rsid w:val="00060D18"/>
    <w:rsid w:val="000612C9"/>
    <w:rsid w:val="00061DF0"/>
    <w:rsid w:val="00062097"/>
    <w:rsid w:val="00062387"/>
    <w:rsid w:val="000625A8"/>
    <w:rsid w:val="00062A88"/>
    <w:rsid w:val="00062CAF"/>
    <w:rsid w:val="00062E9E"/>
    <w:rsid w:val="000635AB"/>
    <w:rsid w:val="00063718"/>
    <w:rsid w:val="00063D6C"/>
    <w:rsid w:val="00063F71"/>
    <w:rsid w:val="00064330"/>
    <w:rsid w:val="000648D2"/>
    <w:rsid w:val="00065111"/>
    <w:rsid w:val="00065170"/>
    <w:rsid w:val="00065AC1"/>
    <w:rsid w:val="00066427"/>
    <w:rsid w:val="00066634"/>
    <w:rsid w:val="00066876"/>
    <w:rsid w:val="00066BDC"/>
    <w:rsid w:val="00066DD5"/>
    <w:rsid w:val="00066F02"/>
    <w:rsid w:val="00067929"/>
    <w:rsid w:val="00067A0B"/>
    <w:rsid w:val="00067F4C"/>
    <w:rsid w:val="0007005F"/>
    <w:rsid w:val="0007019F"/>
    <w:rsid w:val="0007067F"/>
    <w:rsid w:val="000708CF"/>
    <w:rsid w:val="00070DA7"/>
    <w:rsid w:val="00070FC5"/>
    <w:rsid w:val="000713AD"/>
    <w:rsid w:val="000718A7"/>
    <w:rsid w:val="00071EF2"/>
    <w:rsid w:val="000723A2"/>
    <w:rsid w:val="000724BB"/>
    <w:rsid w:val="00072AE7"/>
    <w:rsid w:val="00072B62"/>
    <w:rsid w:val="00072F68"/>
    <w:rsid w:val="0007368E"/>
    <w:rsid w:val="000738FB"/>
    <w:rsid w:val="00073D20"/>
    <w:rsid w:val="00073F0D"/>
    <w:rsid w:val="0007410B"/>
    <w:rsid w:val="0007428D"/>
    <w:rsid w:val="000742E6"/>
    <w:rsid w:val="00074922"/>
    <w:rsid w:val="000749A0"/>
    <w:rsid w:val="0007528C"/>
    <w:rsid w:val="00075918"/>
    <w:rsid w:val="00075922"/>
    <w:rsid w:val="00075A40"/>
    <w:rsid w:val="00076200"/>
    <w:rsid w:val="000762F5"/>
    <w:rsid w:val="00076B5E"/>
    <w:rsid w:val="00076EB6"/>
    <w:rsid w:val="000770D9"/>
    <w:rsid w:val="0007716B"/>
    <w:rsid w:val="0007793E"/>
    <w:rsid w:val="00077B72"/>
    <w:rsid w:val="00077CF0"/>
    <w:rsid w:val="000802D7"/>
    <w:rsid w:val="0008189D"/>
    <w:rsid w:val="00081A47"/>
    <w:rsid w:val="00081C70"/>
    <w:rsid w:val="0008235A"/>
    <w:rsid w:val="00082388"/>
    <w:rsid w:val="0008284A"/>
    <w:rsid w:val="00082B3D"/>
    <w:rsid w:val="00083308"/>
    <w:rsid w:val="000836D9"/>
    <w:rsid w:val="0008420C"/>
    <w:rsid w:val="000844A6"/>
    <w:rsid w:val="000844B4"/>
    <w:rsid w:val="000849BF"/>
    <w:rsid w:val="00084BF4"/>
    <w:rsid w:val="00084E0E"/>
    <w:rsid w:val="0008519F"/>
    <w:rsid w:val="0008541F"/>
    <w:rsid w:val="00085BAC"/>
    <w:rsid w:val="00085F70"/>
    <w:rsid w:val="00085FD8"/>
    <w:rsid w:val="00086AF0"/>
    <w:rsid w:val="00086B09"/>
    <w:rsid w:val="00087153"/>
    <w:rsid w:val="00087240"/>
    <w:rsid w:val="000875BB"/>
    <w:rsid w:val="000876B6"/>
    <w:rsid w:val="000879A1"/>
    <w:rsid w:val="00087A3D"/>
    <w:rsid w:val="00087FA2"/>
    <w:rsid w:val="00090C49"/>
    <w:rsid w:val="00090CBF"/>
    <w:rsid w:val="00090F40"/>
    <w:rsid w:val="00091078"/>
    <w:rsid w:val="000910BE"/>
    <w:rsid w:val="0009186B"/>
    <w:rsid w:val="00091A99"/>
    <w:rsid w:val="00092949"/>
    <w:rsid w:val="00092B0D"/>
    <w:rsid w:val="00092B9D"/>
    <w:rsid w:val="00093389"/>
    <w:rsid w:val="0009343A"/>
    <w:rsid w:val="00093ADA"/>
    <w:rsid w:val="00093F7A"/>
    <w:rsid w:val="00093F98"/>
    <w:rsid w:val="0009404C"/>
    <w:rsid w:val="00094161"/>
    <w:rsid w:val="000959E1"/>
    <w:rsid w:val="00095DBA"/>
    <w:rsid w:val="00095E97"/>
    <w:rsid w:val="00096DCD"/>
    <w:rsid w:val="00097017"/>
    <w:rsid w:val="00097275"/>
    <w:rsid w:val="000973C0"/>
    <w:rsid w:val="00097971"/>
    <w:rsid w:val="00097A3E"/>
    <w:rsid w:val="00097DE8"/>
    <w:rsid w:val="000A04B8"/>
    <w:rsid w:val="000A10F1"/>
    <w:rsid w:val="000A17C2"/>
    <w:rsid w:val="000A18BE"/>
    <w:rsid w:val="000A1A1B"/>
    <w:rsid w:val="000A22EC"/>
    <w:rsid w:val="000A22EF"/>
    <w:rsid w:val="000A2B9C"/>
    <w:rsid w:val="000A2C4C"/>
    <w:rsid w:val="000A313D"/>
    <w:rsid w:val="000A3442"/>
    <w:rsid w:val="000A3E6F"/>
    <w:rsid w:val="000A41B6"/>
    <w:rsid w:val="000A4576"/>
    <w:rsid w:val="000A46A6"/>
    <w:rsid w:val="000A498C"/>
    <w:rsid w:val="000A53EA"/>
    <w:rsid w:val="000A56FB"/>
    <w:rsid w:val="000A5922"/>
    <w:rsid w:val="000A5FCB"/>
    <w:rsid w:val="000A62D9"/>
    <w:rsid w:val="000A67DD"/>
    <w:rsid w:val="000A7383"/>
    <w:rsid w:val="000A74A4"/>
    <w:rsid w:val="000A756C"/>
    <w:rsid w:val="000A76CC"/>
    <w:rsid w:val="000A76F7"/>
    <w:rsid w:val="000A7FD6"/>
    <w:rsid w:val="000B00F0"/>
    <w:rsid w:val="000B01B3"/>
    <w:rsid w:val="000B0CAB"/>
    <w:rsid w:val="000B0E7A"/>
    <w:rsid w:val="000B106D"/>
    <w:rsid w:val="000B11DC"/>
    <w:rsid w:val="000B125D"/>
    <w:rsid w:val="000B1841"/>
    <w:rsid w:val="000B1E06"/>
    <w:rsid w:val="000B209A"/>
    <w:rsid w:val="000B2321"/>
    <w:rsid w:val="000B26C0"/>
    <w:rsid w:val="000B2C32"/>
    <w:rsid w:val="000B3038"/>
    <w:rsid w:val="000B359F"/>
    <w:rsid w:val="000B3D28"/>
    <w:rsid w:val="000B4787"/>
    <w:rsid w:val="000B4BAC"/>
    <w:rsid w:val="000B4DD6"/>
    <w:rsid w:val="000B4FFA"/>
    <w:rsid w:val="000B5120"/>
    <w:rsid w:val="000B5B24"/>
    <w:rsid w:val="000B5E51"/>
    <w:rsid w:val="000B635A"/>
    <w:rsid w:val="000B6E8E"/>
    <w:rsid w:val="000B7098"/>
    <w:rsid w:val="000B712A"/>
    <w:rsid w:val="000B7A78"/>
    <w:rsid w:val="000B7B0C"/>
    <w:rsid w:val="000C045E"/>
    <w:rsid w:val="000C04DF"/>
    <w:rsid w:val="000C0CB7"/>
    <w:rsid w:val="000C0D78"/>
    <w:rsid w:val="000C11FE"/>
    <w:rsid w:val="000C121F"/>
    <w:rsid w:val="000C1398"/>
    <w:rsid w:val="000C1585"/>
    <w:rsid w:val="000C15BF"/>
    <w:rsid w:val="000C225D"/>
    <w:rsid w:val="000C24CB"/>
    <w:rsid w:val="000C2A31"/>
    <w:rsid w:val="000C2BD3"/>
    <w:rsid w:val="000C38AB"/>
    <w:rsid w:val="000C3A31"/>
    <w:rsid w:val="000C3A3A"/>
    <w:rsid w:val="000C3B95"/>
    <w:rsid w:val="000C4167"/>
    <w:rsid w:val="000C4486"/>
    <w:rsid w:val="000C4640"/>
    <w:rsid w:val="000C466C"/>
    <w:rsid w:val="000C48A6"/>
    <w:rsid w:val="000C49A4"/>
    <w:rsid w:val="000C4EB4"/>
    <w:rsid w:val="000C5615"/>
    <w:rsid w:val="000C5AFF"/>
    <w:rsid w:val="000C6104"/>
    <w:rsid w:val="000C612C"/>
    <w:rsid w:val="000C61C4"/>
    <w:rsid w:val="000C624B"/>
    <w:rsid w:val="000C6DC5"/>
    <w:rsid w:val="000C7195"/>
    <w:rsid w:val="000C72A1"/>
    <w:rsid w:val="000C783B"/>
    <w:rsid w:val="000C7CD4"/>
    <w:rsid w:val="000D02BC"/>
    <w:rsid w:val="000D0319"/>
    <w:rsid w:val="000D0868"/>
    <w:rsid w:val="000D15B0"/>
    <w:rsid w:val="000D19B0"/>
    <w:rsid w:val="000D25C8"/>
    <w:rsid w:val="000D28F8"/>
    <w:rsid w:val="000D2AE7"/>
    <w:rsid w:val="000D2BDD"/>
    <w:rsid w:val="000D2DA8"/>
    <w:rsid w:val="000D3CBB"/>
    <w:rsid w:val="000D3DAD"/>
    <w:rsid w:val="000D4601"/>
    <w:rsid w:val="000D4970"/>
    <w:rsid w:val="000D4B9D"/>
    <w:rsid w:val="000D4E6A"/>
    <w:rsid w:val="000D513D"/>
    <w:rsid w:val="000D553B"/>
    <w:rsid w:val="000D5847"/>
    <w:rsid w:val="000D60AE"/>
    <w:rsid w:val="000D6894"/>
    <w:rsid w:val="000D6A56"/>
    <w:rsid w:val="000D73B2"/>
    <w:rsid w:val="000D7B80"/>
    <w:rsid w:val="000D7FD0"/>
    <w:rsid w:val="000E049A"/>
    <w:rsid w:val="000E0541"/>
    <w:rsid w:val="000E0AAC"/>
    <w:rsid w:val="000E0BDD"/>
    <w:rsid w:val="000E0F47"/>
    <w:rsid w:val="000E0FE1"/>
    <w:rsid w:val="000E198A"/>
    <w:rsid w:val="000E1F43"/>
    <w:rsid w:val="000E1FAA"/>
    <w:rsid w:val="000E2247"/>
    <w:rsid w:val="000E25D6"/>
    <w:rsid w:val="000E3297"/>
    <w:rsid w:val="000E33EB"/>
    <w:rsid w:val="000E37DA"/>
    <w:rsid w:val="000E3F77"/>
    <w:rsid w:val="000E471E"/>
    <w:rsid w:val="000E5F28"/>
    <w:rsid w:val="000E632F"/>
    <w:rsid w:val="000E6E16"/>
    <w:rsid w:val="000E6F28"/>
    <w:rsid w:val="000E6F34"/>
    <w:rsid w:val="000E75D0"/>
    <w:rsid w:val="000E7B4E"/>
    <w:rsid w:val="000F0199"/>
    <w:rsid w:val="000F0D87"/>
    <w:rsid w:val="000F0F44"/>
    <w:rsid w:val="000F21FA"/>
    <w:rsid w:val="000F2616"/>
    <w:rsid w:val="000F377D"/>
    <w:rsid w:val="000F3AF3"/>
    <w:rsid w:val="000F3CA4"/>
    <w:rsid w:val="000F421B"/>
    <w:rsid w:val="000F5488"/>
    <w:rsid w:val="000F60B1"/>
    <w:rsid w:val="000F61E2"/>
    <w:rsid w:val="000F6332"/>
    <w:rsid w:val="000F6CE9"/>
    <w:rsid w:val="000F750A"/>
    <w:rsid w:val="000F7CDD"/>
    <w:rsid w:val="001001EE"/>
    <w:rsid w:val="00100697"/>
    <w:rsid w:val="00100C93"/>
    <w:rsid w:val="00100EAF"/>
    <w:rsid w:val="001010E4"/>
    <w:rsid w:val="001014FE"/>
    <w:rsid w:val="00101840"/>
    <w:rsid w:val="00101DCB"/>
    <w:rsid w:val="0010269C"/>
    <w:rsid w:val="00102876"/>
    <w:rsid w:val="00102DC5"/>
    <w:rsid w:val="0010326A"/>
    <w:rsid w:val="001033EE"/>
    <w:rsid w:val="001034B0"/>
    <w:rsid w:val="00103756"/>
    <w:rsid w:val="00103BA9"/>
    <w:rsid w:val="00103F70"/>
    <w:rsid w:val="001045E6"/>
    <w:rsid w:val="00104BE0"/>
    <w:rsid w:val="00104D73"/>
    <w:rsid w:val="00105415"/>
    <w:rsid w:val="0010587B"/>
    <w:rsid w:val="00105B00"/>
    <w:rsid w:val="00106054"/>
    <w:rsid w:val="0010605C"/>
    <w:rsid w:val="001065C2"/>
    <w:rsid w:val="00106808"/>
    <w:rsid w:val="00106CAA"/>
    <w:rsid w:val="00107700"/>
    <w:rsid w:val="00107B62"/>
    <w:rsid w:val="00107C19"/>
    <w:rsid w:val="0011007C"/>
    <w:rsid w:val="001106B5"/>
    <w:rsid w:val="00110BD1"/>
    <w:rsid w:val="00110FDC"/>
    <w:rsid w:val="00111FF8"/>
    <w:rsid w:val="0011215A"/>
    <w:rsid w:val="001129B1"/>
    <w:rsid w:val="0011359B"/>
    <w:rsid w:val="001136EA"/>
    <w:rsid w:val="001139E0"/>
    <w:rsid w:val="00113D02"/>
    <w:rsid w:val="00113E37"/>
    <w:rsid w:val="001140BC"/>
    <w:rsid w:val="00115006"/>
    <w:rsid w:val="00115898"/>
    <w:rsid w:val="00116279"/>
    <w:rsid w:val="00116368"/>
    <w:rsid w:val="0011695B"/>
    <w:rsid w:val="00116C7A"/>
    <w:rsid w:val="001170D4"/>
    <w:rsid w:val="0011725B"/>
    <w:rsid w:val="0011743F"/>
    <w:rsid w:val="00117C01"/>
    <w:rsid w:val="001200DD"/>
    <w:rsid w:val="0012055A"/>
    <w:rsid w:val="001208A4"/>
    <w:rsid w:val="00120912"/>
    <w:rsid w:val="00121040"/>
    <w:rsid w:val="001219B4"/>
    <w:rsid w:val="00121A25"/>
    <w:rsid w:val="00121C9D"/>
    <w:rsid w:val="00121D85"/>
    <w:rsid w:val="00121ED2"/>
    <w:rsid w:val="00122147"/>
    <w:rsid w:val="001221A0"/>
    <w:rsid w:val="001222BD"/>
    <w:rsid w:val="00122426"/>
    <w:rsid w:val="00122502"/>
    <w:rsid w:val="00122808"/>
    <w:rsid w:val="00122851"/>
    <w:rsid w:val="001229DD"/>
    <w:rsid w:val="00122C9C"/>
    <w:rsid w:val="001234A1"/>
    <w:rsid w:val="001236A1"/>
    <w:rsid w:val="001236E1"/>
    <w:rsid w:val="00123CA4"/>
    <w:rsid w:val="0012406B"/>
    <w:rsid w:val="0012412B"/>
    <w:rsid w:val="00124518"/>
    <w:rsid w:val="00124822"/>
    <w:rsid w:val="001248FF"/>
    <w:rsid w:val="0012527A"/>
    <w:rsid w:val="001253D6"/>
    <w:rsid w:val="00125847"/>
    <w:rsid w:val="0012634B"/>
    <w:rsid w:val="00126BD7"/>
    <w:rsid w:val="00126CD5"/>
    <w:rsid w:val="00127107"/>
    <w:rsid w:val="00127721"/>
    <w:rsid w:val="0012781F"/>
    <w:rsid w:val="00127D76"/>
    <w:rsid w:val="00127F93"/>
    <w:rsid w:val="0013010A"/>
    <w:rsid w:val="0013087E"/>
    <w:rsid w:val="001309B6"/>
    <w:rsid w:val="00130EAA"/>
    <w:rsid w:val="00131000"/>
    <w:rsid w:val="001311A0"/>
    <w:rsid w:val="001312F4"/>
    <w:rsid w:val="001317ED"/>
    <w:rsid w:val="00131F13"/>
    <w:rsid w:val="0013243D"/>
    <w:rsid w:val="00132832"/>
    <w:rsid w:val="00132A8A"/>
    <w:rsid w:val="00132F3C"/>
    <w:rsid w:val="00133068"/>
    <w:rsid w:val="001332D9"/>
    <w:rsid w:val="0013360B"/>
    <w:rsid w:val="0013415E"/>
    <w:rsid w:val="001344CC"/>
    <w:rsid w:val="00134827"/>
    <w:rsid w:val="00135849"/>
    <w:rsid w:val="00135E89"/>
    <w:rsid w:val="0013648E"/>
    <w:rsid w:val="00136537"/>
    <w:rsid w:val="00136A0E"/>
    <w:rsid w:val="00136F89"/>
    <w:rsid w:val="001379A0"/>
    <w:rsid w:val="00140045"/>
    <w:rsid w:val="00140766"/>
    <w:rsid w:val="00141D4E"/>
    <w:rsid w:val="00141F6B"/>
    <w:rsid w:val="001420A9"/>
    <w:rsid w:val="00142533"/>
    <w:rsid w:val="00142716"/>
    <w:rsid w:val="001429C1"/>
    <w:rsid w:val="0014312B"/>
    <w:rsid w:val="001431F3"/>
    <w:rsid w:val="0014361C"/>
    <w:rsid w:val="00143703"/>
    <w:rsid w:val="00143FE4"/>
    <w:rsid w:val="001442CD"/>
    <w:rsid w:val="00144949"/>
    <w:rsid w:val="00145333"/>
    <w:rsid w:val="0014663F"/>
    <w:rsid w:val="00146750"/>
    <w:rsid w:val="00146E5E"/>
    <w:rsid w:val="00146FB9"/>
    <w:rsid w:val="00147044"/>
    <w:rsid w:val="001501D4"/>
    <w:rsid w:val="00150A70"/>
    <w:rsid w:val="00150EED"/>
    <w:rsid w:val="001510F1"/>
    <w:rsid w:val="00151139"/>
    <w:rsid w:val="00151A3D"/>
    <w:rsid w:val="00151B60"/>
    <w:rsid w:val="00152F1B"/>
    <w:rsid w:val="00153113"/>
    <w:rsid w:val="00154285"/>
    <w:rsid w:val="001545D2"/>
    <w:rsid w:val="00154E16"/>
    <w:rsid w:val="00155048"/>
    <w:rsid w:val="0015538C"/>
    <w:rsid w:val="0015579E"/>
    <w:rsid w:val="00155CE3"/>
    <w:rsid w:val="00155FB1"/>
    <w:rsid w:val="00156E58"/>
    <w:rsid w:val="00156E95"/>
    <w:rsid w:val="00156F85"/>
    <w:rsid w:val="00157309"/>
    <w:rsid w:val="00157ADF"/>
    <w:rsid w:val="00157E73"/>
    <w:rsid w:val="0016084B"/>
    <w:rsid w:val="00160D5E"/>
    <w:rsid w:val="00160FAD"/>
    <w:rsid w:val="00161199"/>
    <w:rsid w:val="0016178A"/>
    <w:rsid w:val="0016180A"/>
    <w:rsid w:val="00161965"/>
    <w:rsid w:val="00161AB8"/>
    <w:rsid w:val="00161E2B"/>
    <w:rsid w:val="00161E6E"/>
    <w:rsid w:val="00161FB2"/>
    <w:rsid w:val="00161FB8"/>
    <w:rsid w:val="001621CD"/>
    <w:rsid w:val="0016254B"/>
    <w:rsid w:val="00162563"/>
    <w:rsid w:val="0016269D"/>
    <w:rsid w:val="001626CF"/>
    <w:rsid w:val="00162DB6"/>
    <w:rsid w:val="00162FB5"/>
    <w:rsid w:val="00163085"/>
    <w:rsid w:val="00163527"/>
    <w:rsid w:val="001636C5"/>
    <w:rsid w:val="00163C8D"/>
    <w:rsid w:val="001646F4"/>
    <w:rsid w:val="00164B0B"/>
    <w:rsid w:val="00164E9E"/>
    <w:rsid w:val="00165025"/>
    <w:rsid w:val="001651C3"/>
    <w:rsid w:val="00165333"/>
    <w:rsid w:val="00165556"/>
    <w:rsid w:val="001655AE"/>
    <w:rsid w:val="00166558"/>
    <w:rsid w:val="00167AB7"/>
    <w:rsid w:val="001705CB"/>
    <w:rsid w:val="00170794"/>
    <w:rsid w:val="001708C0"/>
    <w:rsid w:val="00171411"/>
    <w:rsid w:val="0017192A"/>
    <w:rsid w:val="00171AF3"/>
    <w:rsid w:val="00172070"/>
    <w:rsid w:val="0017247E"/>
    <w:rsid w:val="001728EA"/>
    <w:rsid w:val="001728FB"/>
    <w:rsid w:val="00172F32"/>
    <w:rsid w:val="0017317F"/>
    <w:rsid w:val="0017378D"/>
    <w:rsid w:val="00173F90"/>
    <w:rsid w:val="001742BA"/>
    <w:rsid w:val="001746EA"/>
    <w:rsid w:val="001747F5"/>
    <w:rsid w:val="0017491E"/>
    <w:rsid w:val="00174935"/>
    <w:rsid w:val="001749D8"/>
    <w:rsid w:val="00175CA8"/>
    <w:rsid w:val="0017683F"/>
    <w:rsid w:val="00176B52"/>
    <w:rsid w:val="00176CC2"/>
    <w:rsid w:val="00176FA3"/>
    <w:rsid w:val="0017711E"/>
    <w:rsid w:val="001771A3"/>
    <w:rsid w:val="00177A5F"/>
    <w:rsid w:val="00177E97"/>
    <w:rsid w:val="00177F60"/>
    <w:rsid w:val="00177FBD"/>
    <w:rsid w:val="001802B4"/>
    <w:rsid w:val="001808B5"/>
    <w:rsid w:val="001809BE"/>
    <w:rsid w:val="00180E43"/>
    <w:rsid w:val="00181072"/>
    <w:rsid w:val="00181188"/>
    <w:rsid w:val="001812A7"/>
    <w:rsid w:val="0018165F"/>
    <w:rsid w:val="00181B89"/>
    <w:rsid w:val="00182583"/>
    <w:rsid w:val="001825B5"/>
    <w:rsid w:val="001825E3"/>
    <w:rsid w:val="001834AA"/>
    <w:rsid w:val="00183580"/>
    <w:rsid w:val="001839B0"/>
    <w:rsid w:val="00183AA5"/>
    <w:rsid w:val="0018448E"/>
    <w:rsid w:val="001848D0"/>
    <w:rsid w:val="00184BBE"/>
    <w:rsid w:val="00184CC6"/>
    <w:rsid w:val="00185461"/>
    <w:rsid w:val="00185A5A"/>
    <w:rsid w:val="00186521"/>
    <w:rsid w:val="00186922"/>
    <w:rsid w:val="00186961"/>
    <w:rsid w:val="00186A0B"/>
    <w:rsid w:val="00186A63"/>
    <w:rsid w:val="00186EB4"/>
    <w:rsid w:val="00186F98"/>
    <w:rsid w:val="0018708A"/>
    <w:rsid w:val="001877E5"/>
    <w:rsid w:val="001904E5"/>
    <w:rsid w:val="00190534"/>
    <w:rsid w:val="00190AC8"/>
    <w:rsid w:val="00190B04"/>
    <w:rsid w:val="00190E61"/>
    <w:rsid w:val="00191339"/>
    <w:rsid w:val="00191756"/>
    <w:rsid w:val="001919C6"/>
    <w:rsid w:val="00191E8E"/>
    <w:rsid w:val="00192219"/>
    <w:rsid w:val="00192620"/>
    <w:rsid w:val="001926ED"/>
    <w:rsid w:val="00192C2B"/>
    <w:rsid w:val="00192E0E"/>
    <w:rsid w:val="00192E26"/>
    <w:rsid w:val="0019324A"/>
    <w:rsid w:val="001935AE"/>
    <w:rsid w:val="0019364A"/>
    <w:rsid w:val="001936A9"/>
    <w:rsid w:val="00193ECD"/>
    <w:rsid w:val="00194074"/>
    <w:rsid w:val="0019497C"/>
    <w:rsid w:val="00195A63"/>
    <w:rsid w:val="00195D91"/>
    <w:rsid w:val="001962CD"/>
    <w:rsid w:val="001962F4"/>
    <w:rsid w:val="00196789"/>
    <w:rsid w:val="00196A19"/>
    <w:rsid w:val="00197D66"/>
    <w:rsid w:val="001A0079"/>
    <w:rsid w:val="001A01BD"/>
    <w:rsid w:val="001A028E"/>
    <w:rsid w:val="001A0471"/>
    <w:rsid w:val="001A0934"/>
    <w:rsid w:val="001A0A5C"/>
    <w:rsid w:val="001A0BAE"/>
    <w:rsid w:val="001A1115"/>
    <w:rsid w:val="001A14C6"/>
    <w:rsid w:val="001A1BFD"/>
    <w:rsid w:val="001A1CFE"/>
    <w:rsid w:val="001A1DE1"/>
    <w:rsid w:val="001A1F5E"/>
    <w:rsid w:val="001A206A"/>
    <w:rsid w:val="001A2363"/>
    <w:rsid w:val="001A4264"/>
    <w:rsid w:val="001A4314"/>
    <w:rsid w:val="001A470F"/>
    <w:rsid w:val="001A4EB6"/>
    <w:rsid w:val="001A5166"/>
    <w:rsid w:val="001A52D3"/>
    <w:rsid w:val="001A5450"/>
    <w:rsid w:val="001A610B"/>
    <w:rsid w:val="001A614A"/>
    <w:rsid w:val="001A641D"/>
    <w:rsid w:val="001A6463"/>
    <w:rsid w:val="001A6681"/>
    <w:rsid w:val="001A6722"/>
    <w:rsid w:val="001A6791"/>
    <w:rsid w:val="001A6B7E"/>
    <w:rsid w:val="001A746B"/>
    <w:rsid w:val="001A7956"/>
    <w:rsid w:val="001A7E22"/>
    <w:rsid w:val="001B04FA"/>
    <w:rsid w:val="001B0860"/>
    <w:rsid w:val="001B0E5A"/>
    <w:rsid w:val="001B1009"/>
    <w:rsid w:val="001B14FF"/>
    <w:rsid w:val="001B15B7"/>
    <w:rsid w:val="001B166E"/>
    <w:rsid w:val="001B1AEA"/>
    <w:rsid w:val="001B1C52"/>
    <w:rsid w:val="001B1C5E"/>
    <w:rsid w:val="001B1D5A"/>
    <w:rsid w:val="001B216F"/>
    <w:rsid w:val="001B27C2"/>
    <w:rsid w:val="001B2E69"/>
    <w:rsid w:val="001B3028"/>
    <w:rsid w:val="001B31C9"/>
    <w:rsid w:val="001B38BC"/>
    <w:rsid w:val="001B3CB8"/>
    <w:rsid w:val="001B4096"/>
    <w:rsid w:val="001B49A8"/>
    <w:rsid w:val="001B4CAB"/>
    <w:rsid w:val="001B526E"/>
    <w:rsid w:val="001B5C41"/>
    <w:rsid w:val="001B5F65"/>
    <w:rsid w:val="001B6BA7"/>
    <w:rsid w:val="001B6C90"/>
    <w:rsid w:val="001B6F6C"/>
    <w:rsid w:val="001B718A"/>
    <w:rsid w:val="001B747A"/>
    <w:rsid w:val="001B7F79"/>
    <w:rsid w:val="001C0107"/>
    <w:rsid w:val="001C075E"/>
    <w:rsid w:val="001C17E3"/>
    <w:rsid w:val="001C2354"/>
    <w:rsid w:val="001C2437"/>
    <w:rsid w:val="001C2688"/>
    <w:rsid w:val="001C27BD"/>
    <w:rsid w:val="001C2BE8"/>
    <w:rsid w:val="001C2C55"/>
    <w:rsid w:val="001C2E94"/>
    <w:rsid w:val="001C3168"/>
    <w:rsid w:val="001C3355"/>
    <w:rsid w:val="001C36F3"/>
    <w:rsid w:val="001C3CC2"/>
    <w:rsid w:val="001C477B"/>
    <w:rsid w:val="001C49A0"/>
    <w:rsid w:val="001C4A6C"/>
    <w:rsid w:val="001C4CD9"/>
    <w:rsid w:val="001C51C9"/>
    <w:rsid w:val="001C54AF"/>
    <w:rsid w:val="001C5658"/>
    <w:rsid w:val="001C572E"/>
    <w:rsid w:val="001C57F0"/>
    <w:rsid w:val="001C58CE"/>
    <w:rsid w:val="001C5958"/>
    <w:rsid w:val="001C5C4B"/>
    <w:rsid w:val="001C6164"/>
    <w:rsid w:val="001C6311"/>
    <w:rsid w:val="001C65C1"/>
    <w:rsid w:val="001C6AC0"/>
    <w:rsid w:val="001C6D56"/>
    <w:rsid w:val="001C7142"/>
    <w:rsid w:val="001C71F9"/>
    <w:rsid w:val="001C7343"/>
    <w:rsid w:val="001C73C8"/>
    <w:rsid w:val="001C7C50"/>
    <w:rsid w:val="001D05CE"/>
    <w:rsid w:val="001D0B9B"/>
    <w:rsid w:val="001D0C6A"/>
    <w:rsid w:val="001D0D63"/>
    <w:rsid w:val="001D11EA"/>
    <w:rsid w:val="001D1449"/>
    <w:rsid w:val="001D2471"/>
    <w:rsid w:val="001D3525"/>
    <w:rsid w:val="001D353C"/>
    <w:rsid w:val="001D394A"/>
    <w:rsid w:val="001D3AAE"/>
    <w:rsid w:val="001D41EE"/>
    <w:rsid w:val="001D430A"/>
    <w:rsid w:val="001D43DD"/>
    <w:rsid w:val="001D44D2"/>
    <w:rsid w:val="001D4EC1"/>
    <w:rsid w:val="001D4EEF"/>
    <w:rsid w:val="001D50F6"/>
    <w:rsid w:val="001D5281"/>
    <w:rsid w:val="001D5485"/>
    <w:rsid w:val="001D5A62"/>
    <w:rsid w:val="001D5F25"/>
    <w:rsid w:val="001D5FD0"/>
    <w:rsid w:val="001D734B"/>
    <w:rsid w:val="001D7FA0"/>
    <w:rsid w:val="001E0B40"/>
    <w:rsid w:val="001E17D5"/>
    <w:rsid w:val="001E189B"/>
    <w:rsid w:val="001E18C4"/>
    <w:rsid w:val="001E217A"/>
    <w:rsid w:val="001E2299"/>
    <w:rsid w:val="001E2543"/>
    <w:rsid w:val="001E2612"/>
    <w:rsid w:val="001E26AC"/>
    <w:rsid w:val="001E2A9E"/>
    <w:rsid w:val="001E2AD2"/>
    <w:rsid w:val="001E30BA"/>
    <w:rsid w:val="001E32CD"/>
    <w:rsid w:val="001E3738"/>
    <w:rsid w:val="001E3759"/>
    <w:rsid w:val="001E3A39"/>
    <w:rsid w:val="001E40BA"/>
    <w:rsid w:val="001E4633"/>
    <w:rsid w:val="001E490B"/>
    <w:rsid w:val="001E4A00"/>
    <w:rsid w:val="001E4DA5"/>
    <w:rsid w:val="001E4E78"/>
    <w:rsid w:val="001E5109"/>
    <w:rsid w:val="001E5313"/>
    <w:rsid w:val="001E5412"/>
    <w:rsid w:val="001E59DE"/>
    <w:rsid w:val="001E5E36"/>
    <w:rsid w:val="001E5E54"/>
    <w:rsid w:val="001E5E87"/>
    <w:rsid w:val="001E5F64"/>
    <w:rsid w:val="001E67DA"/>
    <w:rsid w:val="001E6AB2"/>
    <w:rsid w:val="001E6E4D"/>
    <w:rsid w:val="001E6E5D"/>
    <w:rsid w:val="001E6EAB"/>
    <w:rsid w:val="001E7116"/>
    <w:rsid w:val="001E741A"/>
    <w:rsid w:val="001E7D7F"/>
    <w:rsid w:val="001F0230"/>
    <w:rsid w:val="001F05B2"/>
    <w:rsid w:val="001F0952"/>
    <w:rsid w:val="001F11B8"/>
    <w:rsid w:val="001F124E"/>
    <w:rsid w:val="001F14A9"/>
    <w:rsid w:val="001F1647"/>
    <w:rsid w:val="001F1A61"/>
    <w:rsid w:val="001F20C0"/>
    <w:rsid w:val="001F2880"/>
    <w:rsid w:val="001F2CA7"/>
    <w:rsid w:val="001F2EB9"/>
    <w:rsid w:val="001F302E"/>
    <w:rsid w:val="001F33A5"/>
    <w:rsid w:val="001F3547"/>
    <w:rsid w:val="001F3A13"/>
    <w:rsid w:val="001F3F84"/>
    <w:rsid w:val="001F3F9F"/>
    <w:rsid w:val="001F4C31"/>
    <w:rsid w:val="001F51E4"/>
    <w:rsid w:val="001F528E"/>
    <w:rsid w:val="001F53B6"/>
    <w:rsid w:val="001F56A8"/>
    <w:rsid w:val="001F57F0"/>
    <w:rsid w:val="001F5DA5"/>
    <w:rsid w:val="001F5FA5"/>
    <w:rsid w:val="001F63BF"/>
    <w:rsid w:val="001F6F56"/>
    <w:rsid w:val="001F7482"/>
    <w:rsid w:val="00200166"/>
    <w:rsid w:val="00200633"/>
    <w:rsid w:val="002011DC"/>
    <w:rsid w:val="00202014"/>
    <w:rsid w:val="0020224C"/>
    <w:rsid w:val="00202624"/>
    <w:rsid w:val="002026C0"/>
    <w:rsid w:val="0020271E"/>
    <w:rsid w:val="002029E9"/>
    <w:rsid w:val="00202C96"/>
    <w:rsid w:val="002045F5"/>
    <w:rsid w:val="00204BEE"/>
    <w:rsid w:val="00205050"/>
    <w:rsid w:val="00205756"/>
    <w:rsid w:val="00206020"/>
    <w:rsid w:val="0020607A"/>
    <w:rsid w:val="00206565"/>
    <w:rsid w:val="00206585"/>
    <w:rsid w:val="00206B85"/>
    <w:rsid w:val="00206D0B"/>
    <w:rsid w:val="00207367"/>
    <w:rsid w:val="00207617"/>
    <w:rsid w:val="002077F4"/>
    <w:rsid w:val="002078EB"/>
    <w:rsid w:val="00207A2A"/>
    <w:rsid w:val="0021024E"/>
    <w:rsid w:val="00210EAB"/>
    <w:rsid w:val="00211A94"/>
    <w:rsid w:val="00211FC6"/>
    <w:rsid w:val="002127D4"/>
    <w:rsid w:val="00212897"/>
    <w:rsid w:val="002128B4"/>
    <w:rsid w:val="0021292A"/>
    <w:rsid w:val="002135E9"/>
    <w:rsid w:val="00213996"/>
    <w:rsid w:val="00214550"/>
    <w:rsid w:val="002145B1"/>
    <w:rsid w:val="0021461B"/>
    <w:rsid w:val="00214807"/>
    <w:rsid w:val="00214859"/>
    <w:rsid w:val="00214EAB"/>
    <w:rsid w:val="00214EFC"/>
    <w:rsid w:val="002152B2"/>
    <w:rsid w:val="00215581"/>
    <w:rsid w:val="002155F0"/>
    <w:rsid w:val="002159ED"/>
    <w:rsid w:val="00215C51"/>
    <w:rsid w:val="00215F0A"/>
    <w:rsid w:val="002162D1"/>
    <w:rsid w:val="00216910"/>
    <w:rsid w:val="00216935"/>
    <w:rsid w:val="00216A23"/>
    <w:rsid w:val="00216E9E"/>
    <w:rsid w:val="00217D23"/>
    <w:rsid w:val="002204CC"/>
    <w:rsid w:val="00220B06"/>
    <w:rsid w:val="00220FA9"/>
    <w:rsid w:val="002210DF"/>
    <w:rsid w:val="00221314"/>
    <w:rsid w:val="00221CCB"/>
    <w:rsid w:val="0022224A"/>
    <w:rsid w:val="00222951"/>
    <w:rsid w:val="00222978"/>
    <w:rsid w:val="00222E99"/>
    <w:rsid w:val="00223999"/>
    <w:rsid w:val="00223F60"/>
    <w:rsid w:val="0022403D"/>
    <w:rsid w:val="002243F1"/>
    <w:rsid w:val="0022448C"/>
    <w:rsid w:val="00224D0F"/>
    <w:rsid w:val="002265E0"/>
    <w:rsid w:val="00226718"/>
    <w:rsid w:val="002267BA"/>
    <w:rsid w:val="002269AD"/>
    <w:rsid w:val="00226AF2"/>
    <w:rsid w:val="0022729E"/>
    <w:rsid w:val="00227A9D"/>
    <w:rsid w:val="00227AB1"/>
    <w:rsid w:val="00227ADD"/>
    <w:rsid w:val="00230654"/>
    <w:rsid w:val="00230675"/>
    <w:rsid w:val="00230C4E"/>
    <w:rsid w:val="00230E90"/>
    <w:rsid w:val="00231295"/>
    <w:rsid w:val="00232259"/>
    <w:rsid w:val="00233720"/>
    <w:rsid w:val="00233E7D"/>
    <w:rsid w:val="00234B65"/>
    <w:rsid w:val="00235349"/>
    <w:rsid w:val="00235572"/>
    <w:rsid w:val="00235AED"/>
    <w:rsid w:val="00236634"/>
    <w:rsid w:val="00236E7F"/>
    <w:rsid w:val="00236F12"/>
    <w:rsid w:val="002377A8"/>
    <w:rsid w:val="00240346"/>
    <w:rsid w:val="00240837"/>
    <w:rsid w:val="00240856"/>
    <w:rsid w:val="00240B9F"/>
    <w:rsid w:val="00240BD4"/>
    <w:rsid w:val="002410A6"/>
    <w:rsid w:val="002410E9"/>
    <w:rsid w:val="00241132"/>
    <w:rsid w:val="00241215"/>
    <w:rsid w:val="0024137C"/>
    <w:rsid w:val="00241627"/>
    <w:rsid w:val="00242337"/>
    <w:rsid w:val="002426FA"/>
    <w:rsid w:val="002427AC"/>
    <w:rsid w:val="002427DD"/>
    <w:rsid w:val="00242923"/>
    <w:rsid w:val="00242F18"/>
    <w:rsid w:val="00243D33"/>
    <w:rsid w:val="00244097"/>
    <w:rsid w:val="00244348"/>
    <w:rsid w:val="002446E3"/>
    <w:rsid w:val="0024472A"/>
    <w:rsid w:val="00244E74"/>
    <w:rsid w:val="00245291"/>
    <w:rsid w:val="00245334"/>
    <w:rsid w:val="002456A0"/>
    <w:rsid w:val="002459C9"/>
    <w:rsid w:val="00246AF9"/>
    <w:rsid w:val="0024776E"/>
    <w:rsid w:val="00250113"/>
    <w:rsid w:val="0025059E"/>
    <w:rsid w:val="00250B38"/>
    <w:rsid w:val="00250D3E"/>
    <w:rsid w:val="00250D51"/>
    <w:rsid w:val="00250EDF"/>
    <w:rsid w:val="00251282"/>
    <w:rsid w:val="0025144A"/>
    <w:rsid w:val="002514A6"/>
    <w:rsid w:val="0025178F"/>
    <w:rsid w:val="002520CD"/>
    <w:rsid w:val="002523B8"/>
    <w:rsid w:val="0025246F"/>
    <w:rsid w:val="00252B42"/>
    <w:rsid w:val="00252E0B"/>
    <w:rsid w:val="0025326C"/>
    <w:rsid w:val="00253506"/>
    <w:rsid w:val="00253A6D"/>
    <w:rsid w:val="00254A3F"/>
    <w:rsid w:val="00254C53"/>
    <w:rsid w:val="00255001"/>
    <w:rsid w:val="002555AD"/>
    <w:rsid w:val="00255836"/>
    <w:rsid w:val="00255E44"/>
    <w:rsid w:val="00257068"/>
    <w:rsid w:val="00257180"/>
    <w:rsid w:val="00257E92"/>
    <w:rsid w:val="0026029E"/>
    <w:rsid w:val="002603E3"/>
    <w:rsid w:val="0026040F"/>
    <w:rsid w:val="002605DD"/>
    <w:rsid w:val="00260604"/>
    <w:rsid w:val="002606D4"/>
    <w:rsid w:val="00260FEB"/>
    <w:rsid w:val="0026129C"/>
    <w:rsid w:val="002618FD"/>
    <w:rsid w:val="00261976"/>
    <w:rsid w:val="00261CBF"/>
    <w:rsid w:val="00261D72"/>
    <w:rsid w:val="00262217"/>
    <w:rsid w:val="0026245E"/>
    <w:rsid w:val="002624E3"/>
    <w:rsid w:val="00262ACC"/>
    <w:rsid w:val="00262D27"/>
    <w:rsid w:val="00262EEC"/>
    <w:rsid w:val="002638D9"/>
    <w:rsid w:val="00263F27"/>
    <w:rsid w:val="00264150"/>
    <w:rsid w:val="002647B5"/>
    <w:rsid w:val="00264BDF"/>
    <w:rsid w:val="0026534C"/>
    <w:rsid w:val="002657F7"/>
    <w:rsid w:val="00266843"/>
    <w:rsid w:val="00266B5B"/>
    <w:rsid w:val="002678C1"/>
    <w:rsid w:val="00270575"/>
    <w:rsid w:val="00270996"/>
    <w:rsid w:val="002709C1"/>
    <w:rsid w:val="00270FEE"/>
    <w:rsid w:val="002710CE"/>
    <w:rsid w:val="0027185B"/>
    <w:rsid w:val="00272082"/>
    <w:rsid w:val="00272C9C"/>
    <w:rsid w:val="0027305B"/>
    <w:rsid w:val="00273227"/>
    <w:rsid w:val="002732B7"/>
    <w:rsid w:val="00273D06"/>
    <w:rsid w:val="0027412E"/>
    <w:rsid w:val="00274693"/>
    <w:rsid w:val="002748A9"/>
    <w:rsid w:val="00274979"/>
    <w:rsid w:val="00274BCA"/>
    <w:rsid w:val="0027521B"/>
    <w:rsid w:val="0027574E"/>
    <w:rsid w:val="00275CA2"/>
    <w:rsid w:val="002762B6"/>
    <w:rsid w:val="00276752"/>
    <w:rsid w:val="0027698D"/>
    <w:rsid w:val="0027714F"/>
    <w:rsid w:val="00277164"/>
    <w:rsid w:val="00277304"/>
    <w:rsid w:val="00277347"/>
    <w:rsid w:val="00277E1F"/>
    <w:rsid w:val="002808D0"/>
    <w:rsid w:val="00280A55"/>
    <w:rsid w:val="00280D04"/>
    <w:rsid w:val="0028118D"/>
    <w:rsid w:val="0028189A"/>
    <w:rsid w:val="00281A87"/>
    <w:rsid w:val="00281EDF"/>
    <w:rsid w:val="0028200C"/>
    <w:rsid w:val="00282282"/>
    <w:rsid w:val="0028247C"/>
    <w:rsid w:val="002825F1"/>
    <w:rsid w:val="00282AB9"/>
    <w:rsid w:val="0028308B"/>
    <w:rsid w:val="00283439"/>
    <w:rsid w:val="00283821"/>
    <w:rsid w:val="00283D8F"/>
    <w:rsid w:val="002845B1"/>
    <w:rsid w:val="00284611"/>
    <w:rsid w:val="00284D14"/>
    <w:rsid w:val="002852E1"/>
    <w:rsid w:val="002855DD"/>
    <w:rsid w:val="002859EE"/>
    <w:rsid w:val="00285B8D"/>
    <w:rsid w:val="00285CC1"/>
    <w:rsid w:val="002863D7"/>
    <w:rsid w:val="00286DF2"/>
    <w:rsid w:val="00286ECE"/>
    <w:rsid w:val="00287722"/>
    <w:rsid w:val="00287A24"/>
    <w:rsid w:val="00287F68"/>
    <w:rsid w:val="00290449"/>
    <w:rsid w:val="0029044A"/>
    <w:rsid w:val="00290B2C"/>
    <w:rsid w:val="00290F1D"/>
    <w:rsid w:val="00291235"/>
    <w:rsid w:val="0029132E"/>
    <w:rsid w:val="0029154F"/>
    <w:rsid w:val="00291AF1"/>
    <w:rsid w:val="00291D19"/>
    <w:rsid w:val="002920FE"/>
    <w:rsid w:val="00292381"/>
    <w:rsid w:val="00292D28"/>
    <w:rsid w:val="00293364"/>
    <w:rsid w:val="002933E4"/>
    <w:rsid w:val="00293783"/>
    <w:rsid w:val="00294077"/>
    <w:rsid w:val="002946A5"/>
    <w:rsid w:val="002946CE"/>
    <w:rsid w:val="00294E02"/>
    <w:rsid w:val="00295605"/>
    <w:rsid w:val="00295A96"/>
    <w:rsid w:val="00295D19"/>
    <w:rsid w:val="002960E7"/>
    <w:rsid w:val="002961C9"/>
    <w:rsid w:val="00296D63"/>
    <w:rsid w:val="00297603"/>
    <w:rsid w:val="00297BD5"/>
    <w:rsid w:val="002A0B23"/>
    <w:rsid w:val="002A0BD2"/>
    <w:rsid w:val="002A0DF5"/>
    <w:rsid w:val="002A1913"/>
    <w:rsid w:val="002A208D"/>
    <w:rsid w:val="002A240F"/>
    <w:rsid w:val="002A244A"/>
    <w:rsid w:val="002A2A2A"/>
    <w:rsid w:val="002A2B71"/>
    <w:rsid w:val="002A2C70"/>
    <w:rsid w:val="002A2E48"/>
    <w:rsid w:val="002A2F25"/>
    <w:rsid w:val="002A2FC4"/>
    <w:rsid w:val="002A2FFC"/>
    <w:rsid w:val="002A37A0"/>
    <w:rsid w:val="002A37ED"/>
    <w:rsid w:val="002A3C2F"/>
    <w:rsid w:val="002A3C8F"/>
    <w:rsid w:val="002A45B6"/>
    <w:rsid w:val="002A4A54"/>
    <w:rsid w:val="002A55C8"/>
    <w:rsid w:val="002A5D37"/>
    <w:rsid w:val="002A5F67"/>
    <w:rsid w:val="002A609F"/>
    <w:rsid w:val="002A611B"/>
    <w:rsid w:val="002A6160"/>
    <w:rsid w:val="002A6708"/>
    <w:rsid w:val="002A675D"/>
    <w:rsid w:val="002A69DD"/>
    <w:rsid w:val="002A6F22"/>
    <w:rsid w:val="002A749A"/>
    <w:rsid w:val="002A7844"/>
    <w:rsid w:val="002A7A46"/>
    <w:rsid w:val="002A7FCE"/>
    <w:rsid w:val="002B071D"/>
    <w:rsid w:val="002B0B1B"/>
    <w:rsid w:val="002B188A"/>
    <w:rsid w:val="002B1DA0"/>
    <w:rsid w:val="002B1E68"/>
    <w:rsid w:val="002B1EFF"/>
    <w:rsid w:val="002B29F8"/>
    <w:rsid w:val="002B2BC0"/>
    <w:rsid w:val="002B2BCE"/>
    <w:rsid w:val="002B2C96"/>
    <w:rsid w:val="002B2EBE"/>
    <w:rsid w:val="002B3E33"/>
    <w:rsid w:val="002B47D3"/>
    <w:rsid w:val="002B4C82"/>
    <w:rsid w:val="002B4E26"/>
    <w:rsid w:val="002B55F6"/>
    <w:rsid w:val="002B5CB9"/>
    <w:rsid w:val="002B5ED8"/>
    <w:rsid w:val="002B77FE"/>
    <w:rsid w:val="002B7846"/>
    <w:rsid w:val="002B7AC6"/>
    <w:rsid w:val="002C0037"/>
    <w:rsid w:val="002C0043"/>
    <w:rsid w:val="002C01D1"/>
    <w:rsid w:val="002C04FF"/>
    <w:rsid w:val="002C0866"/>
    <w:rsid w:val="002C094A"/>
    <w:rsid w:val="002C0FFF"/>
    <w:rsid w:val="002C1141"/>
    <w:rsid w:val="002C133E"/>
    <w:rsid w:val="002C1917"/>
    <w:rsid w:val="002C1F6A"/>
    <w:rsid w:val="002C2094"/>
    <w:rsid w:val="002C256B"/>
    <w:rsid w:val="002C2E66"/>
    <w:rsid w:val="002C2F54"/>
    <w:rsid w:val="002C300A"/>
    <w:rsid w:val="002C3063"/>
    <w:rsid w:val="002C366B"/>
    <w:rsid w:val="002C3A4C"/>
    <w:rsid w:val="002C4017"/>
    <w:rsid w:val="002C4204"/>
    <w:rsid w:val="002C465A"/>
    <w:rsid w:val="002C47F4"/>
    <w:rsid w:val="002C4F4D"/>
    <w:rsid w:val="002C5058"/>
    <w:rsid w:val="002C5480"/>
    <w:rsid w:val="002C56EC"/>
    <w:rsid w:val="002C672E"/>
    <w:rsid w:val="002C6A88"/>
    <w:rsid w:val="002C72E6"/>
    <w:rsid w:val="002C7897"/>
    <w:rsid w:val="002C79B1"/>
    <w:rsid w:val="002C7B06"/>
    <w:rsid w:val="002D086D"/>
    <w:rsid w:val="002D0C88"/>
    <w:rsid w:val="002D1583"/>
    <w:rsid w:val="002D1821"/>
    <w:rsid w:val="002D2226"/>
    <w:rsid w:val="002D3007"/>
    <w:rsid w:val="002D31B6"/>
    <w:rsid w:val="002D3720"/>
    <w:rsid w:val="002D4184"/>
    <w:rsid w:val="002D43DC"/>
    <w:rsid w:val="002D489E"/>
    <w:rsid w:val="002D4A38"/>
    <w:rsid w:val="002D4A5F"/>
    <w:rsid w:val="002D53FB"/>
    <w:rsid w:val="002D5685"/>
    <w:rsid w:val="002D6CE5"/>
    <w:rsid w:val="002D742C"/>
    <w:rsid w:val="002D7C1C"/>
    <w:rsid w:val="002D7CAA"/>
    <w:rsid w:val="002E0531"/>
    <w:rsid w:val="002E0BC8"/>
    <w:rsid w:val="002E0C50"/>
    <w:rsid w:val="002E0D3D"/>
    <w:rsid w:val="002E1044"/>
    <w:rsid w:val="002E1755"/>
    <w:rsid w:val="002E17E6"/>
    <w:rsid w:val="002E1B11"/>
    <w:rsid w:val="002E226B"/>
    <w:rsid w:val="002E238A"/>
    <w:rsid w:val="002E24AE"/>
    <w:rsid w:val="002E2747"/>
    <w:rsid w:val="002E2CFF"/>
    <w:rsid w:val="002E317C"/>
    <w:rsid w:val="002E31D3"/>
    <w:rsid w:val="002E37E1"/>
    <w:rsid w:val="002E39D5"/>
    <w:rsid w:val="002E3BA9"/>
    <w:rsid w:val="002E3DF4"/>
    <w:rsid w:val="002E401C"/>
    <w:rsid w:val="002E409A"/>
    <w:rsid w:val="002E4956"/>
    <w:rsid w:val="002E4B97"/>
    <w:rsid w:val="002E4F97"/>
    <w:rsid w:val="002E577E"/>
    <w:rsid w:val="002E586A"/>
    <w:rsid w:val="002E5ED7"/>
    <w:rsid w:val="002E60BA"/>
    <w:rsid w:val="002E7889"/>
    <w:rsid w:val="002E7A39"/>
    <w:rsid w:val="002E7C16"/>
    <w:rsid w:val="002F05EB"/>
    <w:rsid w:val="002F0602"/>
    <w:rsid w:val="002F1307"/>
    <w:rsid w:val="002F13DF"/>
    <w:rsid w:val="002F17E9"/>
    <w:rsid w:val="002F230D"/>
    <w:rsid w:val="002F23A0"/>
    <w:rsid w:val="002F2792"/>
    <w:rsid w:val="002F2C4E"/>
    <w:rsid w:val="002F33F1"/>
    <w:rsid w:val="002F4E23"/>
    <w:rsid w:val="002F5215"/>
    <w:rsid w:val="002F5744"/>
    <w:rsid w:val="002F58EF"/>
    <w:rsid w:val="002F5E7D"/>
    <w:rsid w:val="002F655F"/>
    <w:rsid w:val="002F6B2C"/>
    <w:rsid w:val="002F6BDA"/>
    <w:rsid w:val="002F6E9D"/>
    <w:rsid w:val="002F7A87"/>
    <w:rsid w:val="00300743"/>
    <w:rsid w:val="0030083D"/>
    <w:rsid w:val="00300CFC"/>
    <w:rsid w:val="00301B4E"/>
    <w:rsid w:val="00301C00"/>
    <w:rsid w:val="00301D08"/>
    <w:rsid w:val="00301E8D"/>
    <w:rsid w:val="0030211E"/>
    <w:rsid w:val="003027E5"/>
    <w:rsid w:val="00302DDC"/>
    <w:rsid w:val="00302E00"/>
    <w:rsid w:val="00304209"/>
    <w:rsid w:val="00304C47"/>
    <w:rsid w:val="00304DA9"/>
    <w:rsid w:val="00304E53"/>
    <w:rsid w:val="00305071"/>
    <w:rsid w:val="0030535C"/>
    <w:rsid w:val="003061C1"/>
    <w:rsid w:val="0030655B"/>
    <w:rsid w:val="00306D11"/>
    <w:rsid w:val="00306FA4"/>
    <w:rsid w:val="0030701D"/>
    <w:rsid w:val="00307135"/>
    <w:rsid w:val="0030761F"/>
    <w:rsid w:val="00310883"/>
    <w:rsid w:val="0031090E"/>
    <w:rsid w:val="003111F3"/>
    <w:rsid w:val="00311548"/>
    <w:rsid w:val="00311924"/>
    <w:rsid w:val="00311A4D"/>
    <w:rsid w:val="00312076"/>
    <w:rsid w:val="0031245A"/>
    <w:rsid w:val="0031264C"/>
    <w:rsid w:val="00312C3C"/>
    <w:rsid w:val="003135A1"/>
    <w:rsid w:val="00313701"/>
    <w:rsid w:val="00313A2F"/>
    <w:rsid w:val="00313C55"/>
    <w:rsid w:val="00313DFF"/>
    <w:rsid w:val="00314238"/>
    <w:rsid w:val="0031461C"/>
    <w:rsid w:val="003150E8"/>
    <w:rsid w:val="00315288"/>
    <w:rsid w:val="0031552D"/>
    <w:rsid w:val="003158DB"/>
    <w:rsid w:val="00315945"/>
    <w:rsid w:val="00316281"/>
    <w:rsid w:val="00316820"/>
    <w:rsid w:val="00316867"/>
    <w:rsid w:val="0031706F"/>
    <w:rsid w:val="00317720"/>
    <w:rsid w:val="00317B8F"/>
    <w:rsid w:val="00317DF3"/>
    <w:rsid w:val="00317FF1"/>
    <w:rsid w:val="003204C4"/>
    <w:rsid w:val="0032067A"/>
    <w:rsid w:val="0032077D"/>
    <w:rsid w:val="00320D0E"/>
    <w:rsid w:val="00321689"/>
    <w:rsid w:val="00321F5C"/>
    <w:rsid w:val="00322BC6"/>
    <w:rsid w:val="00322E03"/>
    <w:rsid w:val="00322EDC"/>
    <w:rsid w:val="00323486"/>
    <w:rsid w:val="00323639"/>
    <w:rsid w:val="00323CFD"/>
    <w:rsid w:val="0032434A"/>
    <w:rsid w:val="0032476F"/>
    <w:rsid w:val="00324874"/>
    <w:rsid w:val="00324D4A"/>
    <w:rsid w:val="00324E1B"/>
    <w:rsid w:val="0032566D"/>
    <w:rsid w:val="00325732"/>
    <w:rsid w:val="003257C7"/>
    <w:rsid w:val="00325D0B"/>
    <w:rsid w:val="00325E61"/>
    <w:rsid w:val="003262C4"/>
    <w:rsid w:val="00326356"/>
    <w:rsid w:val="003263D8"/>
    <w:rsid w:val="00326413"/>
    <w:rsid w:val="00326815"/>
    <w:rsid w:val="00326C17"/>
    <w:rsid w:val="00326E0C"/>
    <w:rsid w:val="00327BC8"/>
    <w:rsid w:val="00327DFB"/>
    <w:rsid w:val="00330194"/>
    <w:rsid w:val="0033085A"/>
    <w:rsid w:val="0033127C"/>
    <w:rsid w:val="00331286"/>
    <w:rsid w:val="00331EFD"/>
    <w:rsid w:val="00332579"/>
    <w:rsid w:val="003326BF"/>
    <w:rsid w:val="003327DA"/>
    <w:rsid w:val="00333548"/>
    <w:rsid w:val="003335A0"/>
    <w:rsid w:val="003336ED"/>
    <w:rsid w:val="00333F84"/>
    <w:rsid w:val="00334126"/>
    <w:rsid w:val="0033430D"/>
    <w:rsid w:val="003347AD"/>
    <w:rsid w:val="00334BE0"/>
    <w:rsid w:val="00334F00"/>
    <w:rsid w:val="0033585F"/>
    <w:rsid w:val="00336333"/>
    <w:rsid w:val="0033720B"/>
    <w:rsid w:val="00337684"/>
    <w:rsid w:val="00337B55"/>
    <w:rsid w:val="00337BB9"/>
    <w:rsid w:val="00337E93"/>
    <w:rsid w:val="00340329"/>
    <w:rsid w:val="00340413"/>
    <w:rsid w:val="003405D8"/>
    <w:rsid w:val="00340802"/>
    <w:rsid w:val="00340E9E"/>
    <w:rsid w:val="00340F3B"/>
    <w:rsid w:val="003417D0"/>
    <w:rsid w:val="0034198C"/>
    <w:rsid w:val="00341E41"/>
    <w:rsid w:val="003420B6"/>
    <w:rsid w:val="0034214B"/>
    <w:rsid w:val="0034337C"/>
    <w:rsid w:val="003433DC"/>
    <w:rsid w:val="0034344C"/>
    <w:rsid w:val="00343520"/>
    <w:rsid w:val="00343B57"/>
    <w:rsid w:val="00343C25"/>
    <w:rsid w:val="00343C41"/>
    <w:rsid w:val="0034458E"/>
    <w:rsid w:val="00344BD2"/>
    <w:rsid w:val="003452DF"/>
    <w:rsid w:val="0034550E"/>
    <w:rsid w:val="0034578C"/>
    <w:rsid w:val="00345E2D"/>
    <w:rsid w:val="00345F59"/>
    <w:rsid w:val="00346789"/>
    <w:rsid w:val="0034683C"/>
    <w:rsid w:val="00346E57"/>
    <w:rsid w:val="00347683"/>
    <w:rsid w:val="003477D5"/>
    <w:rsid w:val="003479C1"/>
    <w:rsid w:val="00347F88"/>
    <w:rsid w:val="003508FD"/>
    <w:rsid w:val="00350CEB"/>
    <w:rsid w:val="00350D73"/>
    <w:rsid w:val="00350DE4"/>
    <w:rsid w:val="00351250"/>
    <w:rsid w:val="003517A3"/>
    <w:rsid w:val="00351FBC"/>
    <w:rsid w:val="0035225C"/>
    <w:rsid w:val="00352599"/>
    <w:rsid w:val="00352691"/>
    <w:rsid w:val="0035295B"/>
    <w:rsid w:val="00353271"/>
    <w:rsid w:val="003533CE"/>
    <w:rsid w:val="00353EB1"/>
    <w:rsid w:val="003542BE"/>
    <w:rsid w:val="00354603"/>
    <w:rsid w:val="00354818"/>
    <w:rsid w:val="00355023"/>
    <w:rsid w:val="00355EEA"/>
    <w:rsid w:val="003564FD"/>
    <w:rsid w:val="00356886"/>
    <w:rsid w:val="003570E2"/>
    <w:rsid w:val="0035762C"/>
    <w:rsid w:val="00357C3C"/>
    <w:rsid w:val="00360948"/>
    <w:rsid w:val="00360BA1"/>
    <w:rsid w:val="003611FD"/>
    <w:rsid w:val="00361275"/>
    <w:rsid w:val="003617E6"/>
    <w:rsid w:val="00361913"/>
    <w:rsid w:val="003619B8"/>
    <w:rsid w:val="003623C2"/>
    <w:rsid w:val="0036261B"/>
    <w:rsid w:val="00363277"/>
    <w:rsid w:val="003634C0"/>
    <w:rsid w:val="0036354F"/>
    <w:rsid w:val="00363E13"/>
    <w:rsid w:val="00363FB7"/>
    <w:rsid w:val="0036475A"/>
    <w:rsid w:val="00364C2E"/>
    <w:rsid w:val="00364E71"/>
    <w:rsid w:val="00365140"/>
    <w:rsid w:val="0036525D"/>
    <w:rsid w:val="00365BC0"/>
    <w:rsid w:val="00365D12"/>
    <w:rsid w:val="003660EF"/>
    <w:rsid w:val="003662F0"/>
    <w:rsid w:val="0036651D"/>
    <w:rsid w:val="003671B2"/>
    <w:rsid w:val="003673AD"/>
    <w:rsid w:val="003679A3"/>
    <w:rsid w:val="00367E56"/>
    <w:rsid w:val="00370576"/>
    <w:rsid w:val="00370CEB"/>
    <w:rsid w:val="003714D8"/>
    <w:rsid w:val="00371936"/>
    <w:rsid w:val="00371E4C"/>
    <w:rsid w:val="003723EE"/>
    <w:rsid w:val="003726F5"/>
    <w:rsid w:val="00372C44"/>
    <w:rsid w:val="0037323B"/>
    <w:rsid w:val="00373321"/>
    <w:rsid w:val="0037343E"/>
    <w:rsid w:val="003741F0"/>
    <w:rsid w:val="00374333"/>
    <w:rsid w:val="003743F2"/>
    <w:rsid w:val="00374A1D"/>
    <w:rsid w:val="00374B78"/>
    <w:rsid w:val="00374C52"/>
    <w:rsid w:val="00374C6E"/>
    <w:rsid w:val="00374DE6"/>
    <w:rsid w:val="0037534D"/>
    <w:rsid w:val="0037559C"/>
    <w:rsid w:val="003759E8"/>
    <w:rsid w:val="00376D6D"/>
    <w:rsid w:val="00376D86"/>
    <w:rsid w:val="0037717A"/>
    <w:rsid w:val="003772B7"/>
    <w:rsid w:val="0037772A"/>
    <w:rsid w:val="00377A9F"/>
    <w:rsid w:val="00380C03"/>
    <w:rsid w:val="003816DE"/>
    <w:rsid w:val="0038183D"/>
    <w:rsid w:val="00381B65"/>
    <w:rsid w:val="003821AD"/>
    <w:rsid w:val="003827D9"/>
    <w:rsid w:val="00382824"/>
    <w:rsid w:val="00382FB2"/>
    <w:rsid w:val="003831C5"/>
    <w:rsid w:val="00383718"/>
    <w:rsid w:val="00383EF4"/>
    <w:rsid w:val="003841AE"/>
    <w:rsid w:val="00384E4D"/>
    <w:rsid w:val="00385F47"/>
    <w:rsid w:val="0038665B"/>
    <w:rsid w:val="003867AE"/>
    <w:rsid w:val="0038689A"/>
    <w:rsid w:val="00386A06"/>
    <w:rsid w:val="00386E29"/>
    <w:rsid w:val="00387082"/>
    <w:rsid w:val="0038714A"/>
    <w:rsid w:val="0038714F"/>
    <w:rsid w:val="00387886"/>
    <w:rsid w:val="00387915"/>
    <w:rsid w:val="00390835"/>
    <w:rsid w:val="00390891"/>
    <w:rsid w:val="00390D71"/>
    <w:rsid w:val="00390ED8"/>
    <w:rsid w:val="00391368"/>
    <w:rsid w:val="0039155F"/>
    <w:rsid w:val="003917D2"/>
    <w:rsid w:val="00391F96"/>
    <w:rsid w:val="0039209A"/>
    <w:rsid w:val="00392CDB"/>
    <w:rsid w:val="00392F7F"/>
    <w:rsid w:val="00393122"/>
    <w:rsid w:val="00393D08"/>
    <w:rsid w:val="00393F99"/>
    <w:rsid w:val="00394286"/>
    <w:rsid w:val="00394522"/>
    <w:rsid w:val="0039462F"/>
    <w:rsid w:val="0039471B"/>
    <w:rsid w:val="00394BC5"/>
    <w:rsid w:val="00394BC7"/>
    <w:rsid w:val="00394D22"/>
    <w:rsid w:val="00394DE6"/>
    <w:rsid w:val="00394E0C"/>
    <w:rsid w:val="003950C8"/>
    <w:rsid w:val="00395546"/>
    <w:rsid w:val="00395582"/>
    <w:rsid w:val="003957E0"/>
    <w:rsid w:val="00395B74"/>
    <w:rsid w:val="00395D9B"/>
    <w:rsid w:val="00396563"/>
    <w:rsid w:val="00396FA0"/>
    <w:rsid w:val="00397997"/>
    <w:rsid w:val="003A0A90"/>
    <w:rsid w:val="003A1632"/>
    <w:rsid w:val="003A1885"/>
    <w:rsid w:val="003A19C7"/>
    <w:rsid w:val="003A1A4F"/>
    <w:rsid w:val="003A2314"/>
    <w:rsid w:val="003A2317"/>
    <w:rsid w:val="003A24C9"/>
    <w:rsid w:val="003A25A2"/>
    <w:rsid w:val="003A286F"/>
    <w:rsid w:val="003A2AEE"/>
    <w:rsid w:val="003A2F0D"/>
    <w:rsid w:val="003A34BF"/>
    <w:rsid w:val="003A3B88"/>
    <w:rsid w:val="003A4063"/>
    <w:rsid w:val="003A44C7"/>
    <w:rsid w:val="003A47C4"/>
    <w:rsid w:val="003A4D2E"/>
    <w:rsid w:val="003A4E6B"/>
    <w:rsid w:val="003A5AED"/>
    <w:rsid w:val="003A5EB9"/>
    <w:rsid w:val="003A7DE3"/>
    <w:rsid w:val="003A7F6E"/>
    <w:rsid w:val="003B0191"/>
    <w:rsid w:val="003B0556"/>
    <w:rsid w:val="003B098B"/>
    <w:rsid w:val="003B0EED"/>
    <w:rsid w:val="003B128E"/>
    <w:rsid w:val="003B21DF"/>
    <w:rsid w:val="003B3374"/>
    <w:rsid w:val="003B3409"/>
    <w:rsid w:val="003B35A8"/>
    <w:rsid w:val="003B3BB0"/>
    <w:rsid w:val="003B3E20"/>
    <w:rsid w:val="003B4921"/>
    <w:rsid w:val="003B4A26"/>
    <w:rsid w:val="003B4A85"/>
    <w:rsid w:val="003B4ABE"/>
    <w:rsid w:val="003B59AB"/>
    <w:rsid w:val="003B6202"/>
    <w:rsid w:val="003B65C3"/>
    <w:rsid w:val="003B6724"/>
    <w:rsid w:val="003B6962"/>
    <w:rsid w:val="003B6F2D"/>
    <w:rsid w:val="003B72B6"/>
    <w:rsid w:val="003B75F3"/>
    <w:rsid w:val="003B7BE6"/>
    <w:rsid w:val="003B7F8A"/>
    <w:rsid w:val="003B7FCA"/>
    <w:rsid w:val="003C0199"/>
    <w:rsid w:val="003C041D"/>
    <w:rsid w:val="003C04FF"/>
    <w:rsid w:val="003C05C1"/>
    <w:rsid w:val="003C0854"/>
    <w:rsid w:val="003C11F5"/>
    <w:rsid w:val="003C16D4"/>
    <w:rsid w:val="003C188F"/>
    <w:rsid w:val="003C1BFF"/>
    <w:rsid w:val="003C2018"/>
    <w:rsid w:val="003C2170"/>
    <w:rsid w:val="003C27EC"/>
    <w:rsid w:val="003C29F6"/>
    <w:rsid w:val="003C36C9"/>
    <w:rsid w:val="003C3D6C"/>
    <w:rsid w:val="003C4478"/>
    <w:rsid w:val="003C47D9"/>
    <w:rsid w:val="003C4CC4"/>
    <w:rsid w:val="003C51A0"/>
    <w:rsid w:val="003C5261"/>
    <w:rsid w:val="003C5433"/>
    <w:rsid w:val="003C55F2"/>
    <w:rsid w:val="003C5DE9"/>
    <w:rsid w:val="003C5DEE"/>
    <w:rsid w:val="003C6B51"/>
    <w:rsid w:val="003C6B7B"/>
    <w:rsid w:val="003C6F1B"/>
    <w:rsid w:val="003C70A8"/>
    <w:rsid w:val="003C7682"/>
    <w:rsid w:val="003C7EA3"/>
    <w:rsid w:val="003D0BEB"/>
    <w:rsid w:val="003D0EC1"/>
    <w:rsid w:val="003D0F75"/>
    <w:rsid w:val="003D0FC2"/>
    <w:rsid w:val="003D12BF"/>
    <w:rsid w:val="003D1535"/>
    <w:rsid w:val="003D179F"/>
    <w:rsid w:val="003D1C7F"/>
    <w:rsid w:val="003D256A"/>
    <w:rsid w:val="003D3227"/>
    <w:rsid w:val="003D3285"/>
    <w:rsid w:val="003D34C8"/>
    <w:rsid w:val="003D3B1C"/>
    <w:rsid w:val="003D4790"/>
    <w:rsid w:val="003D4A8F"/>
    <w:rsid w:val="003D4C13"/>
    <w:rsid w:val="003D5474"/>
    <w:rsid w:val="003D58BC"/>
    <w:rsid w:val="003D5AC4"/>
    <w:rsid w:val="003D5EC3"/>
    <w:rsid w:val="003D60A7"/>
    <w:rsid w:val="003D6495"/>
    <w:rsid w:val="003D6CCA"/>
    <w:rsid w:val="003D71E2"/>
    <w:rsid w:val="003D7967"/>
    <w:rsid w:val="003E0BF8"/>
    <w:rsid w:val="003E0D7A"/>
    <w:rsid w:val="003E0F3C"/>
    <w:rsid w:val="003E10DE"/>
    <w:rsid w:val="003E13BF"/>
    <w:rsid w:val="003E145A"/>
    <w:rsid w:val="003E1AF9"/>
    <w:rsid w:val="003E2397"/>
    <w:rsid w:val="003E27BB"/>
    <w:rsid w:val="003E2CFD"/>
    <w:rsid w:val="003E300D"/>
    <w:rsid w:val="003E324E"/>
    <w:rsid w:val="003E3357"/>
    <w:rsid w:val="003E4BDD"/>
    <w:rsid w:val="003E4C6E"/>
    <w:rsid w:val="003E561A"/>
    <w:rsid w:val="003E59F8"/>
    <w:rsid w:val="003E5E7B"/>
    <w:rsid w:val="003E6511"/>
    <w:rsid w:val="003E75BB"/>
    <w:rsid w:val="003F075A"/>
    <w:rsid w:val="003F080A"/>
    <w:rsid w:val="003F0ABB"/>
    <w:rsid w:val="003F1141"/>
    <w:rsid w:val="003F156D"/>
    <w:rsid w:val="003F18F6"/>
    <w:rsid w:val="003F2054"/>
    <w:rsid w:val="003F21B9"/>
    <w:rsid w:val="003F245B"/>
    <w:rsid w:val="003F2B41"/>
    <w:rsid w:val="003F2CED"/>
    <w:rsid w:val="003F3002"/>
    <w:rsid w:val="003F3160"/>
    <w:rsid w:val="003F328B"/>
    <w:rsid w:val="003F3469"/>
    <w:rsid w:val="003F35E6"/>
    <w:rsid w:val="003F35E8"/>
    <w:rsid w:val="003F370C"/>
    <w:rsid w:val="003F3BD1"/>
    <w:rsid w:val="003F3FAF"/>
    <w:rsid w:val="003F413B"/>
    <w:rsid w:val="003F430C"/>
    <w:rsid w:val="003F443E"/>
    <w:rsid w:val="003F494E"/>
    <w:rsid w:val="003F5040"/>
    <w:rsid w:val="003F54F7"/>
    <w:rsid w:val="003F5767"/>
    <w:rsid w:val="003F59F0"/>
    <w:rsid w:val="003F5B36"/>
    <w:rsid w:val="003F5DC2"/>
    <w:rsid w:val="003F6FF4"/>
    <w:rsid w:val="003F78FF"/>
    <w:rsid w:val="00400054"/>
    <w:rsid w:val="0040006C"/>
    <w:rsid w:val="004001DB"/>
    <w:rsid w:val="004001F5"/>
    <w:rsid w:val="00400224"/>
    <w:rsid w:val="004005B8"/>
    <w:rsid w:val="004006B8"/>
    <w:rsid w:val="00400765"/>
    <w:rsid w:val="00401486"/>
    <w:rsid w:val="0040151B"/>
    <w:rsid w:val="00401769"/>
    <w:rsid w:val="004019B6"/>
    <w:rsid w:val="00401A19"/>
    <w:rsid w:val="0040237D"/>
    <w:rsid w:val="00402BE2"/>
    <w:rsid w:val="00402D61"/>
    <w:rsid w:val="00402FA2"/>
    <w:rsid w:val="004041A2"/>
    <w:rsid w:val="0040425E"/>
    <w:rsid w:val="004047CF"/>
    <w:rsid w:val="004048D4"/>
    <w:rsid w:val="00404907"/>
    <w:rsid w:val="00404EC7"/>
    <w:rsid w:val="00405DA0"/>
    <w:rsid w:val="00405FEA"/>
    <w:rsid w:val="00406050"/>
    <w:rsid w:val="00406336"/>
    <w:rsid w:val="004069E3"/>
    <w:rsid w:val="00406B8C"/>
    <w:rsid w:val="00410B08"/>
    <w:rsid w:val="00410FAF"/>
    <w:rsid w:val="00411079"/>
    <w:rsid w:val="004110C3"/>
    <w:rsid w:val="004112B1"/>
    <w:rsid w:val="004120A1"/>
    <w:rsid w:val="00413747"/>
    <w:rsid w:val="00413855"/>
    <w:rsid w:val="00413E4C"/>
    <w:rsid w:val="00413F34"/>
    <w:rsid w:val="00414CC1"/>
    <w:rsid w:val="00414E5C"/>
    <w:rsid w:val="004155C5"/>
    <w:rsid w:val="00415B62"/>
    <w:rsid w:val="00415DD0"/>
    <w:rsid w:val="004161E1"/>
    <w:rsid w:val="00416E53"/>
    <w:rsid w:val="004171F3"/>
    <w:rsid w:val="00417429"/>
    <w:rsid w:val="004175B7"/>
    <w:rsid w:val="004177C5"/>
    <w:rsid w:val="00417B67"/>
    <w:rsid w:val="004207CA"/>
    <w:rsid w:val="004219CA"/>
    <w:rsid w:val="00422206"/>
    <w:rsid w:val="0042222E"/>
    <w:rsid w:val="004227E7"/>
    <w:rsid w:val="00422910"/>
    <w:rsid w:val="00423082"/>
    <w:rsid w:val="00423405"/>
    <w:rsid w:val="00423557"/>
    <w:rsid w:val="004237E2"/>
    <w:rsid w:val="0042387B"/>
    <w:rsid w:val="00423AF3"/>
    <w:rsid w:val="00423D47"/>
    <w:rsid w:val="004242F6"/>
    <w:rsid w:val="00424454"/>
    <w:rsid w:val="004245E5"/>
    <w:rsid w:val="00425205"/>
    <w:rsid w:val="004254A8"/>
    <w:rsid w:val="00425B27"/>
    <w:rsid w:val="00425E9A"/>
    <w:rsid w:val="00426CB1"/>
    <w:rsid w:val="00426ED2"/>
    <w:rsid w:val="00427136"/>
    <w:rsid w:val="004272C9"/>
    <w:rsid w:val="0042733A"/>
    <w:rsid w:val="00427D59"/>
    <w:rsid w:val="00427DEA"/>
    <w:rsid w:val="00430046"/>
    <w:rsid w:val="0043019E"/>
    <w:rsid w:val="00430B01"/>
    <w:rsid w:val="0043271E"/>
    <w:rsid w:val="00432EEF"/>
    <w:rsid w:val="004330BE"/>
    <w:rsid w:val="00433161"/>
    <w:rsid w:val="004337E3"/>
    <w:rsid w:val="004338EC"/>
    <w:rsid w:val="00433E91"/>
    <w:rsid w:val="00433F4B"/>
    <w:rsid w:val="004342AE"/>
    <w:rsid w:val="0043474E"/>
    <w:rsid w:val="00434807"/>
    <w:rsid w:val="00434989"/>
    <w:rsid w:val="00434F10"/>
    <w:rsid w:val="00435376"/>
    <w:rsid w:val="004353A0"/>
    <w:rsid w:val="004358A5"/>
    <w:rsid w:val="00435CB0"/>
    <w:rsid w:val="00435CBF"/>
    <w:rsid w:val="00436194"/>
    <w:rsid w:val="004363D9"/>
    <w:rsid w:val="0043664F"/>
    <w:rsid w:val="00436BD7"/>
    <w:rsid w:val="00436C38"/>
    <w:rsid w:val="00436C98"/>
    <w:rsid w:val="00436CCB"/>
    <w:rsid w:val="00436D5F"/>
    <w:rsid w:val="00436E06"/>
    <w:rsid w:val="00437074"/>
    <w:rsid w:val="00437669"/>
    <w:rsid w:val="004377E2"/>
    <w:rsid w:val="00437A18"/>
    <w:rsid w:val="00440495"/>
    <w:rsid w:val="00440579"/>
    <w:rsid w:val="00440A22"/>
    <w:rsid w:val="00440FC5"/>
    <w:rsid w:val="00441B53"/>
    <w:rsid w:val="004421C4"/>
    <w:rsid w:val="00442CFE"/>
    <w:rsid w:val="0044302F"/>
    <w:rsid w:val="0044337D"/>
    <w:rsid w:val="00443B68"/>
    <w:rsid w:val="0044442D"/>
    <w:rsid w:val="00444C15"/>
    <w:rsid w:val="00444F81"/>
    <w:rsid w:val="004453E7"/>
    <w:rsid w:val="0044545D"/>
    <w:rsid w:val="00445975"/>
    <w:rsid w:val="00445CB2"/>
    <w:rsid w:val="00445F47"/>
    <w:rsid w:val="00446390"/>
    <w:rsid w:val="00446CE0"/>
    <w:rsid w:val="00447185"/>
    <w:rsid w:val="0044737B"/>
    <w:rsid w:val="0044778F"/>
    <w:rsid w:val="00447843"/>
    <w:rsid w:val="00447A60"/>
    <w:rsid w:val="00447BA3"/>
    <w:rsid w:val="00447E46"/>
    <w:rsid w:val="00447F62"/>
    <w:rsid w:val="00450186"/>
    <w:rsid w:val="004508AD"/>
    <w:rsid w:val="00450A49"/>
    <w:rsid w:val="00450A4C"/>
    <w:rsid w:val="0045112A"/>
    <w:rsid w:val="0045155C"/>
    <w:rsid w:val="004516BC"/>
    <w:rsid w:val="00451752"/>
    <w:rsid w:val="00451881"/>
    <w:rsid w:val="00451C46"/>
    <w:rsid w:val="00451E7F"/>
    <w:rsid w:val="00451F22"/>
    <w:rsid w:val="004526C0"/>
    <w:rsid w:val="004527B3"/>
    <w:rsid w:val="00452A69"/>
    <w:rsid w:val="00452C9E"/>
    <w:rsid w:val="004536EF"/>
    <w:rsid w:val="00454319"/>
    <w:rsid w:val="004546D1"/>
    <w:rsid w:val="00455141"/>
    <w:rsid w:val="00455BED"/>
    <w:rsid w:val="00456299"/>
    <w:rsid w:val="004563F9"/>
    <w:rsid w:val="0045654B"/>
    <w:rsid w:val="00456732"/>
    <w:rsid w:val="004568CA"/>
    <w:rsid w:val="00456ADA"/>
    <w:rsid w:val="004572B2"/>
    <w:rsid w:val="00457FD3"/>
    <w:rsid w:val="004605E1"/>
    <w:rsid w:val="004608AB"/>
    <w:rsid w:val="004609DE"/>
    <w:rsid w:val="00461574"/>
    <w:rsid w:val="004618BB"/>
    <w:rsid w:val="00461BB8"/>
    <w:rsid w:val="00463631"/>
    <w:rsid w:val="00464850"/>
    <w:rsid w:val="00464D49"/>
    <w:rsid w:val="00465917"/>
    <w:rsid w:val="00465BE1"/>
    <w:rsid w:val="00466167"/>
    <w:rsid w:val="00466AA2"/>
    <w:rsid w:val="00466B69"/>
    <w:rsid w:val="00466BA8"/>
    <w:rsid w:val="00466FBF"/>
    <w:rsid w:val="004671AE"/>
    <w:rsid w:val="0046735A"/>
    <w:rsid w:val="00467582"/>
    <w:rsid w:val="00467708"/>
    <w:rsid w:val="004677C1"/>
    <w:rsid w:val="004677E9"/>
    <w:rsid w:val="00467D61"/>
    <w:rsid w:val="00467E62"/>
    <w:rsid w:val="0047065B"/>
    <w:rsid w:val="00471884"/>
    <w:rsid w:val="004719A8"/>
    <w:rsid w:val="00471C91"/>
    <w:rsid w:val="00471F41"/>
    <w:rsid w:val="0047292A"/>
    <w:rsid w:val="00472A9A"/>
    <w:rsid w:val="00472B3D"/>
    <w:rsid w:val="00472DEC"/>
    <w:rsid w:val="00472EDC"/>
    <w:rsid w:val="00473032"/>
    <w:rsid w:val="00473787"/>
    <w:rsid w:val="00473AC8"/>
    <w:rsid w:val="00473BB2"/>
    <w:rsid w:val="00474216"/>
    <w:rsid w:val="00474375"/>
    <w:rsid w:val="00474755"/>
    <w:rsid w:val="00474AF0"/>
    <w:rsid w:val="004750B8"/>
    <w:rsid w:val="00475D59"/>
    <w:rsid w:val="004766F4"/>
    <w:rsid w:val="004767C4"/>
    <w:rsid w:val="00476A5E"/>
    <w:rsid w:val="00476C8F"/>
    <w:rsid w:val="004770CD"/>
    <w:rsid w:val="004777A0"/>
    <w:rsid w:val="00477837"/>
    <w:rsid w:val="00477C39"/>
    <w:rsid w:val="00480095"/>
    <w:rsid w:val="0048025A"/>
    <w:rsid w:val="00480721"/>
    <w:rsid w:val="00480B47"/>
    <w:rsid w:val="0048182B"/>
    <w:rsid w:val="00481893"/>
    <w:rsid w:val="00481900"/>
    <w:rsid w:val="004828B2"/>
    <w:rsid w:val="00482F77"/>
    <w:rsid w:val="0048372D"/>
    <w:rsid w:val="00483827"/>
    <w:rsid w:val="00483BB4"/>
    <w:rsid w:val="00484391"/>
    <w:rsid w:val="00484563"/>
    <w:rsid w:val="0048457D"/>
    <w:rsid w:val="004848BD"/>
    <w:rsid w:val="00484AED"/>
    <w:rsid w:val="0048513D"/>
    <w:rsid w:val="00485140"/>
    <w:rsid w:val="00485C6D"/>
    <w:rsid w:val="004860A7"/>
    <w:rsid w:val="004864E5"/>
    <w:rsid w:val="004865FB"/>
    <w:rsid w:val="00486FD7"/>
    <w:rsid w:val="00487001"/>
    <w:rsid w:val="0048756B"/>
    <w:rsid w:val="00487688"/>
    <w:rsid w:val="00487721"/>
    <w:rsid w:val="00487AFB"/>
    <w:rsid w:val="00487EE4"/>
    <w:rsid w:val="00490166"/>
    <w:rsid w:val="004902E6"/>
    <w:rsid w:val="0049032E"/>
    <w:rsid w:val="0049052C"/>
    <w:rsid w:val="00490690"/>
    <w:rsid w:val="0049085E"/>
    <w:rsid w:val="00490881"/>
    <w:rsid w:val="0049089D"/>
    <w:rsid w:val="00490C2B"/>
    <w:rsid w:val="00490D6F"/>
    <w:rsid w:val="00490EA0"/>
    <w:rsid w:val="0049109D"/>
    <w:rsid w:val="004916CE"/>
    <w:rsid w:val="004917B3"/>
    <w:rsid w:val="00492313"/>
    <w:rsid w:val="004928AE"/>
    <w:rsid w:val="00492BFA"/>
    <w:rsid w:val="00493067"/>
    <w:rsid w:val="00493408"/>
    <w:rsid w:val="004934D3"/>
    <w:rsid w:val="004936AF"/>
    <w:rsid w:val="004946A1"/>
    <w:rsid w:val="00494A18"/>
    <w:rsid w:val="00494D5B"/>
    <w:rsid w:val="00494EDE"/>
    <w:rsid w:val="00495915"/>
    <w:rsid w:val="00496055"/>
    <w:rsid w:val="0049661B"/>
    <w:rsid w:val="00496AE9"/>
    <w:rsid w:val="00496C07"/>
    <w:rsid w:val="00497127"/>
    <w:rsid w:val="0049795D"/>
    <w:rsid w:val="00497C82"/>
    <w:rsid w:val="00497CF1"/>
    <w:rsid w:val="004A0546"/>
    <w:rsid w:val="004A077F"/>
    <w:rsid w:val="004A07BD"/>
    <w:rsid w:val="004A1541"/>
    <w:rsid w:val="004A1BF3"/>
    <w:rsid w:val="004A1F8E"/>
    <w:rsid w:val="004A2181"/>
    <w:rsid w:val="004A2B46"/>
    <w:rsid w:val="004A2D7F"/>
    <w:rsid w:val="004A2DFB"/>
    <w:rsid w:val="004A2FE8"/>
    <w:rsid w:val="004A3412"/>
    <w:rsid w:val="004A3868"/>
    <w:rsid w:val="004A3AE9"/>
    <w:rsid w:val="004A3B22"/>
    <w:rsid w:val="004A3D3C"/>
    <w:rsid w:val="004A49E5"/>
    <w:rsid w:val="004A5730"/>
    <w:rsid w:val="004A5C8E"/>
    <w:rsid w:val="004A645E"/>
    <w:rsid w:val="004A693C"/>
    <w:rsid w:val="004A6E80"/>
    <w:rsid w:val="004A7F89"/>
    <w:rsid w:val="004B0062"/>
    <w:rsid w:val="004B095C"/>
    <w:rsid w:val="004B09B9"/>
    <w:rsid w:val="004B0C38"/>
    <w:rsid w:val="004B11A0"/>
    <w:rsid w:val="004B1518"/>
    <w:rsid w:val="004B1E5C"/>
    <w:rsid w:val="004B2128"/>
    <w:rsid w:val="004B2264"/>
    <w:rsid w:val="004B25C8"/>
    <w:rsid w:val="004B2DEB"/>
    <w:rsid w:val="004B2F2C"/>
    <w:rsid w:val="004B351F"/>
    <w:rsid w:val="004B3FE8"/>
    <w:rsid w:val="004B4812"/>
    <w:rsid w:val="004B52F0"/>
    <w:rsid w:val="004B594E"/>
    <w:rsid w:val="004B5A92"/>
    <w:rsid w:val="004B5B48"/>
    <w:rsid w:val="004B5CBC"/>
    <w:rsid w:val="004B6B83"/>
    <w:rsid w:val="004B7162"/>
    <w:rsid w:val="004B7B3F"/>
    <w:rsid w:val="004C025C"/>
    <w:rsid w:val="004C0475"/>
    <w:rsid w:val="004C04B4"/>
    <w:rsid w:val="004C053C"/>
    <w:rsid w:val="004C1CD3"/>
    <w:rsid w:val="004C1D85"/>
    <w:rsid w:val="004C248D"/>
    <w:rsid w:val="004C2866"/>
    <w:rsid w:val="004C2B87"/>
    <w:rsid w:val="004C2E9F"/>
    <w:rsid w:val="004C3579"/>
    <w:rsid w:val="004C3664"/>
    <w:rsid w:val="004C40DE"/>
    <w:rsid w:val="004C472D"/>
    <w:rsid w:val="004C4850"/>
    <w:rsid w:val="004C552C"/>
    <w:rsid w:val="004C616E"/>
    <w:rsid w:val="004C64CF"/>
    <w:rsid w:val="004C69D8"/>
    <w:rsid w:val="004C71A6"/>
    <w:rsid w:val="004C71BE"/>
    <w:rsid w:val="004C7307"/>
    <w:rsid w:val="004C74D9"/>
    <w:rsid w:val="004C74ED"/>
    <w:rsid w:val="004C757A"/>
    <w:rsid w:val="004C7975"/>
    <w:rsid w:val="004C7A51"/>
    <w:rsid w:val="004D00D5"/>
    <w:rsid w:val="004D0108"/>
    <w:rsid w:val="004D0272"/>
    <w:rsid w:val="004D0548"/>
    <w:rsid w:val="004D08BA"/>
    <w:rsid w:val="004D0D82"/>
    <w:rsid w:val="004D1225"/>
    <w:rsid w:val="004D124F"/>
    <w:rsid w:val="004D1E6D"/>
    <w:rsid w:val="004D252F"/>
    <w:rsid w:val="004D2A84"/>
    <w:rsid w:val="004D2C39"/>
    <w:rsid w:val="004D2D1F"/>
    <w:rsid w:val="004D330C"/>
    <w:rsid w:val="004D376E"/>
    <w:rsid w:val="004D3B3D"/>
    <w:rsid w:val="004D47EC"/>
    <w:rsid w:val="004D6273"/>
    <w:rsid w:val="004D720A"/>
    <w:rsid w:val="004D7AEA"/>
    <w:rsid w:val="004D7E23"/>
    <w:rsid w:val="004D7E98"/>
    <w:rsid w:val="004E06E7"/>
    <w:rsid w:val="004E07E9"/>
    <w:rsid w:val="004E0D08"/>
    <w:rsid w:val="004E0FE0"/>
    <w:rsid w:val="004E161C"/>
    <w:rsid w:val="004E165D"/>
    <w:rsid w:val="004E1906"/>
    <w:rsid w:val="004E297F"/>
    <w:rsid w:val="004E2B6C"/>
    <w:rsid w:val="004E3B2A"/>
    <w:rsid w:val="004E3F93"/>
    <w:rsid w:val="004E4365"/>
    <w:rsid w:val="004E450C"/>
    <w:rsid w:val="004E48A9"/>
    <w:rsid w:val="004E4C7C"/>
    <w:rsid w:val="004E4E2A"/>
    <w:rsid w:val="004E4FEA"/>
    <w:rsid w:val="004E5951"/>
    <w:rsid w:val="004E6750"/>
    <w:rsid w:val="004E6CF1"/>
    <w:rsid w:val="004E76CE"/>
    <w:rsid w:val="004E7B64"/>
    <w:rsid w:val="004E7D04"/>
    <w:rsid w:val="004E7E36"/>
    <w:rsid w:val="004E7FE9"/>
    <w:rsid w:val="004F0262"/>
    <w:rsid w:val="004F0809"/>
    <w:rsid w:val="004F0B7F"/>
    <w:rsid w:val="004F0F66"/>
    <w:rsid w:val="004F11D3"/>
    <w:rsid w:val="004F12FD"/>
    <w:rsid w:val="004F145C"/>
    <w:rsid w:val="004F1514"/>
    <w:rsid w:val="004F1E2E"/>
    <w:rsid w:val="004F20FF"/>
    <w:rsid w:val="004F273F"/>
    <w:rsid w:val="004F2A7A"/>
    <w:rsid w:val="004F2B71"/>
    <w:rsid w:val="004F2E2F"/>
    <w:rsid w:val="004F326E"/>
    <w:rsid w:val="004F32ED"/>
    <w:rsid w:val="004F35A8"/>
    <w:rsid w:val="004F380B"/>
    <w:rsid w:val="004F3ABF"/>
    <w:rsid w:val="004F3F24"/>
    <w:rsid w:val="004F400E"/>
    <w:rsid w:val="004F40E9"/>
    <w:rsid w:val="004F4887"/>
    <w:rsid w:val="004F4E43"/>
    <w:rsid w:val="004F513D"/>
    <w:rsid w:val="004F53EE"/>
    <w:rsid w:val="004F5D53"/>
    <w:rsid w:val="004F5E43"/>
    <w:rsid w:val="004F6519"/>
    <w:rsid w:val="004F6ABB"/>
    <w:rsid w:val="004F6F92"/>
    <w:rsid w:val="004F74DE"/>
    <w:rsid w:val="004F7ABD"/>
    <w:rsid w:val="004F7D7E"/>
    <w:rsid w:val="004F7E23"/>
    <w:rsid w:val="004F7E85"/>
    <w:rsid w:val="0050005C"/>
    <w:rsid w:val="0050016F"/>
    <w:rsid w:val="005004E7"/>
    <w:rsid w:val="005017F4"/>
    <w:rsid w:val="00501E2A"/>
    <w:rsid w:val="005022D4"/>
    <w:rsid w:val="00503164"/>
    <w:rsid w:val="00503779"/>
    <w:rsid w:val="00503B36"/>
    <w:rsid w:val="00503D14"/>
    <w:rsid w:val="005045DD"/>
    <w:rsid w:val="00504647"/>
    <w:rsid w:val="00504B1F"/>
    <w:rsid w:val="005059A2"/>
    <w:rsid w:val="005060F2"/>
    <w:rsid w:val="00506235"/>
    <w:rsid w:val="00506354"/>
    <w:rsid w:val="00506614"/>
    <w:rsid w:val="00506E32"/>
    <w:rsid w:val="005073BB"/>
    <w:rsid w:val="005074FB"/>
    <w:rsid w:val="00507EED"/>
    <w:rsid w:val="0051064C"/>
    <w:rsid w:val="0051068E"/>
    <w:rsid w:val="00511045"/>
    <w:rsid w:val="0051105E"/>
    <w:rsid w:val="005111FA"/>
    <w:rsid w:val="00511303"/>
    <w:rsid w:val="00511425"/>
    <w:rsid w:val="00511B06"/>
    <w:rsid w:val="00511E7C"/>
    <w:rsid w:val="005120D5"/>
    <w:rsid w:val="0051239E"/>
    <w:rsid w:val="005128B4"/>
    <w:rsid w:val="005128D6"/>
    <w:rsid w:val="0051339F"/>
    <w:rsid w:val="005136E3"/>
    <w:rsid w:val="00513ABA"/>
    <w:rsid w:val="00513F4E"/>
    <w:rsid w:val="00514529"/>
    <w:rsid w:val="0051474E"/>
    <w:rsid w:val="005147B3"/>
    <w:rsid w:val="005152FB"/>
    <w:rsid w:val="00515382"/>
    <w:rsid w:val="005154AD"/>
    <w:rsid w:val="005154ED"/>
    <w:rsid w:val="00515706"/>
    <w:rsid w:val="00515763"/>
    <w:rsid w:val="00515B6D"/>
    <w:rsid w:val="00515B7C"/>
    <w:rsid w:val="00516253"/>
    <w:rsid w:val="00516339"/>
    <w:rsid w:val="005164CE"/>
    <w:rsid w:val="00516AA2"/>
    <w:rsid w:val="00516AD9"/>
    <w:rsid w:val="00516FE9"/>
    <w:rsid w:val="0051720D"/>
    <w:rsid w:val="0051776F"/>
    <w:rsid w:val="00517A9C"/>
    <w:rsid w:val="005201D9"/>
    <w:rsid w:val="0052023F"/>
    <w:rsid w:val="00520A0C"/>
    <w:rsid w:val="00520A2B"/>
    <w:rsid w:val="005213CC"/>
    <w:rsid w:val="005217C1"/>
    <w:rsid w:val="00521876"/>
    <w:rsid w:val="00522639"/>
    <w:rsid w:val="00522821"/>
    <w:rsid w:val="00524364"/>
    <w:rsid w:val="00524581"/>
    <w:rsid w:val="0052459D"/>
    <w:rsid w:val="00524622"/>
    <w:rsid w:val="005256EE"/>
    <w:rsid w:val="00525C1D"/>
    <w:rsid w:val="00526296"/>
    <w:rsid w:val="005269FE"/>
    <w:rsid w:val="00526B58"/>
    <w:rsid w:val="00526CBE"/>
    <w:rsid w:val="00527BC0"/>
    <w:rsid w:val="00530523"/>
    <w:rsid w:val="00530CB0"/>
    <w:rsid w:val="00530D39"/>
    <w:rsid w:val="005311C5"/>
    <w:rsid w:val="005315CD"/>
    <w:rsid w:val="00531BB1"/>
    <w:rsid w:val="00531DA8"/>
    <w:rsid w:val="00532148"/>
    <w:rsid w:val="0053276C"/>
    <w:rsid w:val="00533858"/>
    <w:rsid w:val="00533E98"/>
    <w:rsid w:val="005349A0"/>
    <w:rsid w:val="00534AE1"/>
    <w:rsid w:val="00534CC9"/>
    <w:rsid w:val="00534E90"/>
    <w:rsid w:val="0053540D"/>
    <w:rsid w:val="005355FF"/>
    <w:rsid w:val="00535EA2"/>
    <w:rsid w:val="00535F54"/>
    <w:rsid w:val="00536223"/>
    <w:rsid w:val="0053699F"/>
    <w:rsid w:val="00536F54"/>
    <w:rsid w:val="005371B7"/>
    <w:rsid w:val="00537897"/>
    <w:rsid w:val="00537922"/>
    <w:rsid w:val="0054054A"/>
    <w:rsid w:val="0054060B"/>
    <w:rsid w:val="0054066F"/>
    <w:rsid w:val="00540C3D"/>
    <w:rsid w:val="00541024"/>
    <w:rsid w:val="00541151"/>
    <w:rsid w:val="005411EB"/>
    <w:rsid w:val="0054172F"/>
    <w:rsid w:val="00541B7E"/>
    <w:rsid w:val="00541EAC"/>
    <w:rsid w:val="00542678"/>
    <w:rsid w:val="005429D0"/>
    <w:rsid w:val="00543097"/>
    <w:rsid w:val="00543582"/>
    <w:rsid w:val="00543938"/>
    <w:rsid w:val="0054394E"/>
    <w:rsid w:val="00543C79"/>
    <w:rsid w:val="00543EC9"/>
    <w:rsid w:val="005442BB"/>
    <w:rsid w:val="0054487F"/>
    <w:rsid w:val="00544E84"/>
    <w:rsid w:val="00545AE6"/>
    <w:rsid w:val="005462F7"/>
    <w:rsid w:val="005467AA"/>
    <w:rsid w:val="00546C2F"/>
    <w:rsid w:val="00547057"/>
    <w:rsid w:val="00547A58"/>
    <w:rsid w:val="00550AD8"/>
    <w:rsid w:val="005510FA"/>
    <w:rsid w:val="00551874"/>
    <w:rsid w:val="00551BDA"/>
    <w:rsid w:val="005520D4"/>
    <w:rsid w:val="005521D2"/>
    <w:rsid w:val="005522E1"/>
    <w:rsid w:val="00552707"/>
    <w:rsid w:val="00552E2D"/>
    <w:rsid w:val="005534C9"/>
    <w:rsid w:val="00553985"/>
    <w:rsid w:val="00553C4C"/>
    <w:rsid w:val="00553ED3"/>
    <w:rsid w:val="005543C3"/>
    <w:rsid w:val="005543C5"/>
    <w:rsid w:val="00554B86"/>
    <w:rsid w:val="00554C34"/>
    <w:rsid w:val="00554EC9"/>
    <w:rsid w:val="005554EC"/>
    <w:rsid w:val="005557DD"/>
    <w:rsid w:val="00555B28"/>
    <w:rsid w:val="00555E25"/>
    <w:rsid w:val="0055603F"/>
    <w:rsid w:val="005561FF"/>
    <w:rsid w:val="0055643D"/>
    <w:rsid w:val="005566E1"/>
    <w:rsid w:val="00556820"/>
    <w:rsid w:val="00556B5B"/>
    <w:rsid w:val="00556BD4"/>
    <w:rsid w:val="00556D98"/>
    <w:rsid w:val="00560153"/>
    <w:rsid w:val="00560298"/>
    <w:rsid w:val="005606C3"/>
    <w:rsid w:val="00560EE1"/>
    <w:rsid w:val="00560FBB"/>
    <w:rsid w:val="00561481"/>
    <w:rsid w:val="00561A0A"/>
    <w:rsid w:val="00561D2C"/>
    <w:rsid w:val="005620CF"/>
    <w:rsid w:val="005622AF"/>
    <w:rsid w:val="0056233D"/>
    <w:rsid w:val="0056241D"/>
    <w:rsid w:val="00562466"/>
    <w:rsid w:val="00563692"/>
    <w:rsid w:val="00563BDE"/>
    <w:rsid w:val="00564AF0"/>
    <w:rsid w:val="00564B9B"/>
    <w:rsid w:val="00564D77"/>
    <w:rsid w:val="00565469"/>
    <w:rsid w:val="005655C5"/>
    <w:rsid w:val="00565E13"/>
    <w:rsid w:val="00565EBD"/>
    <w:rsid w:val="00565EE0"/>
    <w:rsid w:val="00565F63"/>
    <w:rsid w:val="0056603F"/>
    <w:rsid w:val="00566512"/>
    <w:rsid w:val="005665C4"/>
    <w:rsid w:val="00566835"/>
    <w:rsid w:val="00566DCF"/>
    <w:rsid w:val="0056716E"/>
    <w:rsid w:val="005678BC"/>
    <w:rsid w:val="00567981"/>
    <w:rsid w:val="00567E79"/>
    <w:rsid w:val="00570038"/>
    <w:rsid w:val="0057007D"/>
    <w:rsid w:val="00570743"/>
    <w:rsid w:val="0057092D"/>
    <w:rsid w:val="00570DED"/>
    <w:rsid w:val="00570E17"/>
    <w:rsid w:val="0057151B"/>
    <w:rsid w:val="00571687"/>
    <w:rsid w:val="00572711"/>
    <w:rsid w:val="00572CC4"/>
    <w:rsid w:val="00572D9B"/>
    <w:rsid w:val="00572E9D"/>
    <w:rsid w:val="00572FAD"/>
    <w:rsid w:val="0057345A"/>
    <w:rsid w:val="00573631"/>
    <w:rsid w:val="00573910"/>
    <w:rsid w:val="00573E36"/>
    <w:rsid w:val="00573ECE"/>
    <w:rsid w:val="00574C58"/>
    <w:rsid w:val="00574C7F"/>
    <w:rsid w:val="00574E30"/>
    <w:rsid w:val="00574FBC"/>
    <w:rsid w:val="00575447"/>
    <w:rsid w:val="0057546F"/>
    <w:rsid w:val="00576537"/>
    <w:rsid w:val="0057693A"/>
    <w:rsid w:val="00576B70"/>
    <w:rsid w:val="0057703A"/>
    <w:rsid w:val="005775DE"/>
    <w:rsid w:val="005804F5"/>
    <w:rsid w:val="00581818"/>
    <w:rsid w:val="00581980"/>
    <w:rsid w:val="00582158"/>
    <w:rsid w:val="005823BB"/>
    <w:rsid w:val="005824C6"/>
    <w:rsid w:val="00582939"/>
    <w:rsid w:val="00582B18"/>
    <w:rsid w:val="00582D0E"/>
    <w:rsid w:val="00582E87"/>
    <w:rsid w:val="00583041"/>
    <w:rsid w:val="005835CE"/>
    <w:rsid w:val="0058417F"/>
    <w:rsid w:val="00584CA5"/>
    <w:rsid w:val="00585083"/>
    <w:rsid w:val="0058535A"/>
    <w:rsid w:val="005854BE"/>
    <w:rsid w:val="00585556"/>
    <w:rsid w:val="00585ED1"/>
    <w:rsid w:val="00585F60"/>
    <w:rsid w:val="00585FD7"/>
    <w:rsid w:val="00586A55"/>
    <w:rsid w:val="00586F7C"/>
    <w:rsid w:val="005873E0"/>
    <w:rsid w:val="00587DD8"/>
    <w:rsid w:val="005903D0"/>
    <w:rsid w:val="005903FD"/>
    <w:rsid w:val="00590ADA"/>
    <w:rsid w:val="0059120A"/>
    <w:rsid w:val="00591246"/>
    <w:rsid w:val="005914CE"/>
    <w:rsid w:val="005916E4"/>
    <w:rsid w:val="0059179A"/>
    <w:rsid w:val="00591B1C"/>
    <w:rsid w:val="00591B2C"/>
    <w:rsid w:val="00591BB4"/>
    <w:rsid w:val="005927B6"/>
    <w:rsid w:val="00592893"/>
    <w:rsid w:val="00592EBF"/>
    <w:rsid w:val="00593792"/>
    <w:rsid w:val="00593F8A"/>
    <w:rsid w:val="005944B9"/>
    <w:rsid w:val="00594A0E"/>
    <w:rsid w:val="00594A77"/>
    <w:rsid w:val="00595BD8"/>
    <w:rsid w:val="00595F3C"/>
    <w:rsid w:val="00596387"/>
    <w:rsid w:val="005963B9"/>
    <w:rsid w:val="00596A1A"/>
    <w:rsid w:val="0059736C"/>
    <w:rsid w:val="00597390"/>
    <w:rsid w:val="005973EF"/>
    <w:rsid w:val="0059752A"/>
    <w:rsid w:val="00597941"/>
    <w:rsid w:val="00597B63"/>
    <w:rsid w:val="005A0690"/>
    <w:rsid w:val="005A072B"/>
    <w:rsid w:val="005A0B32"/>
    <w:rsid w:val="005A0D97"/>
    <w:rsid w:val="005A1047"/>
    <w:rsid w:val="005A171D"/>
    <w:rsid w:val="005A18D0"/>
    <w:rsid w:val="005A1F25"/>
    <w:rsid w:val="005A2194"/>
    <w:rsid w:val="005A23C8"/>
    <w:rsid w:val="005A279F"/>
    <w:rsid w:val="005A29FF"/>
    <w:rsid w:val="005A2BD6"/>
    <w:rsid w:val="005A2F61"/>
    <w:rsid w:val="005A2F8D"/>
    <w:rsid w:val="005A32DC"/>
    <w:rsid w:val="005A32E0"/>
    <w:rsid w:val="005A331F"/>
    <w:rsid w:val="005A3B2B"/>
    <w:rsid w:val="005A426F"/>
    <w:rsid w:val="005A4BDA"/>
    <w:rsid w:val="005A4EE2"/>
    <w:rsid w:val="005A52AF"/>
    <w:rsid w:val="005A55AB"/>
    <w:rsid w:val="005A5E52"/>
    <w:rsid w:val="005A673C"/>
    <w:rsid w:val="005A6B60"/>
    <w:rsid w:val="005A6E1E"/>
    <w:rsid w:val="005A718B"/>
    <w:rsid w:val="005B04A9"/>
    <w:rsid w:val="005B0744"/>
    <w:rsid w:val="005B099F"/>
    <w:rsid w:val="005B0E31"/>
    <w:rsid w:val="005B1405"/>
    <w:rsid w:val="005B15F4"/>
    <w:rsid w:val="005B1734"/>
    <w:rsid w:val="005B1C6B"/>
    <w:rsid w:val="005B2502"/>
    <w:rsid w:val="005B26C8"/>
    <w:rsid w:val="005B2D44"/>
    <w:rsid w:val="005B2DC0"/>
    <w:rsid w:val="005B33F8"/>
    <w:rsid w:val="005B41D6"/>
    <w:rsid w:val="005B4436"/>
    <w:rsid w:val="005B4637"/>
    <w:rsid w:val="005B488B"/>
    <w:rsid w:val="005B4B68"/>
    <w:rsid w:val="005B4BF4"/>
    <w:rsid w:val="005B4D6D"/>
    <w:rsid w:val="005B5725"/>
    <w:rsid w:val="005B5F76"/>
    <w:rsid w:val="005B62FE"/>
    <w:rsid w:val="005B6643"/>
    <w:rsid w:val="005B6667"/>
    <w:rsid w:val="005B6990"/>
    <w:rsid w:val="005B6B53"/>
    <w:rsid w:val="005B6C3C"/>
    <w:rsid w:val="005B6DEF"/>
    <w:rsid w:val="005B70D2"/>
    <w:rsid w:val="005B7461"/>
    <w:rsid w:val="005B7709"/>
    <w:rsid w:val="005C0286"/>
    <w:rsid w:val="005C02F5"/>
    <w:rsid w:val="005C03BF"/>
    <w:rsid w:val="005C08AC"/>
    <w:rsid w:val="005C115B"/>
    <w:rsid w:val="005C1797"/>
    <w:rsid w:val="005C1FC7"/>
    <w:rsid w:val="005C26F4"/>
    <w:rsid w:val="005C2A3D"/>
    <w:rsid w:val="005C3017"/>
    <w:rsid w:val="005C39C9"/>
    <w:rsid w:val="005C3AAF"/>
    <w:rsid w:val="005C3DD4"/>
    <w:rsid w:val="005C3E60"/>
    <w:rsid w:val="005C49AA"/>
    <w:rsid w:val="005C4B2D"/>
    <w:rsid w:val="005C5030"/>
    <w:rsid w:val="005C5576"/>
    <w:rsid w:val="005C55CC"/>
    <w:rsid w:val="005C5934"/>
    <w:rsid w:val="005C5DC2"/>
    <w:rsid w:val="005C60ED"/>
    <w:rsid w:val="005C6EFE"/>
    <w:rsid w:val="005C73F1"/>
    <w:rsid w:val="005C7814"/>
    <w:rsid w:val="005D04A3"/>
    <w:rsid w:val="005D0587"/>
    <w:rsid w:val="005D0A13"/>
    <w:rsid w:val="005D1D02"/>
    <w:rsid w:val="005D217A"/>
    <w:rsid w:val="005D217C"/>
    <w:rsid w:val="005D25D1"/>
    <w:rsid w:val="005D260E"/>
    <w:rsid w:val="005D28C5"/>
    <w:rsid w:val="005D3409"/>
    <w:rsid w:val="005D351C"/>
    <w:rsid w:val="005D37AE"/>
    <w:rsid w:val="005D3EF8"/>
    <w:rsid w:val="005D3F2F"/>
    <w:rsid w:val="005D3F63"/>
    <w:rsid w:val="005D4508"/>
    <w:rsid w:val="005D4782"/>
    <w:rsid w:val="005D4784"/>
    <w:rsid w:val="005D505E"/>
    <w:rsid w:val="005D523D"/>
    <w:rsid w:val="005D5ED7"/>
    <w:rsid w:val="005D5F43"/>
    <w:rsid w:val="005D6159"/>
    <w:rsid w:val="005D6A7D"/>
    <w:rsid w:val="005E1460"/>
    <w:rsid w:val="005E1722"/>
    <w:rsid w:val="005E180B"/>
    <w:rsid w:val="005E2080"/>
    <w:rsid w:val="005E234D"/>
    <w:rsid w:val="005E288E"/>
    <w:rsid w:val="005E2A5A"/>
    <w:rsid w:val="005E2E2A"/>
    <w:rsid w:val="005E301C"/>
    <w:rsid w:val="005E3335"/>
    <w:rsid w:val="005E34AF"/>
    <w:rsid w:val="005E3C30"/>
    <w:rsid w:val="005E3FA0"/>
    <w:rsid w:val="005E4140"/>
    <w:rsid w:val="005E4A8F"/>
    <w:rsid w:val="005E4FFE"/>
    <w:rsid w:val="005E539D"/>
    <w:rsid w:val="005E5649"/>
    <w:rsid w:val="005E5655"/>
    <w:rsid w:val="005E5B66"/>
    <w:rsid w:val="005E5BE9"/>
    <w:rsid w:val="005E5C11"/>
    <w:rsid w:val="005E5C59"/>
    <w:rsid w:val="005E5FB8"/>
    <w:rsid w:val="005E6405"/>
    <w:rsid w:val="005E64A3"/>
    <w:rsid w:val="005E68FE"/>
    <w:rsid w:val="005E6E2A"/>
    <w:rsid w:val="005E70EB"/>
    <w:rsid w:val="005E7418"/>
    <w:rsid w:val="005E768C"/>
    <w:rsid w:val="005E78A2"/>
    <w:rsid w:val="005E7916"/>
    <w:rsid w:val="005E796E"/>
    <w:rsid w:val="005E7BBC"/>
    <w:rsid w:val="005E7C0B"/>
    <w:rsid w:val="005E7F1F"/>
    <w:rsid w:val="005F079E"/>
    <w:rsid w:val="005F0F2F"/>
    <w:rsid w:val="005F1165"/>
    <w:rsid w:val="005F1697"/>
    <w:rsid w:val="005F1843"/>
    <w:rsid w:val="005F1B8B"/>
    <w:rsid w:val="005F1B8F"/>
    <w:rsid w:val="005F1BFB"/>
    <w:rsid w:val="005F2771"/>
    <w:rsid w:val="005F29DD"/>
    <w:rsid w:val="005F2ADF"/>
    <w:rsid w:val="005F2E04"/>
    <w:rsid w:val="005F30E2"/>
    <w:rsid w:val="005F3589"/>
    <w:rsid w:val="005F3C5D"/>
    <w:rsid w:val="005F4058"/>
    <w:rsid w:val="005F4292"/>
    <w:rsid w:val="005F42F3"/>
    <w:rsid w:val="005F4660"/>
    <w:rsid w:val="005F47AE"/>
    <w:rsid w:val="005F48AC"/>
    <w:rsid w:val="005F4EC2"/>
    <w:rsid w:val="005F51F0"/>
    <w:rsid w:val="005F529E"/>
    <w:rsid w:val="005F52F0"/>
    <w:rsid w:val="005F6286"/>
    <w:rsid w:val="005F6550"/>
    <w:rsid w:val="005F6D3C"/>
    <w:rsid w:val="005F6DEF"/>
    <w:rsid w:val="005F7753"/>
    <w:rsid w:val="00600165"/>
    <w:rsid w:val="006003CE"/>
    <w:rsid w:val="00600B41"/>
    <w:rsid w:val="00601704"/>
    <w:rsid w:val="00601A01"/>
    <w:rsid w:val="00602526"/>
    <w:rsid w:val="0060264B"/>
    <w:rsid w:val="00602762"/>
    <w:rsid w:val="00603225"/>
    <w:rsid w:val="0060328C"/>
    <w:rsid w:val="0060385D"/>
    <w:rsid w:val="006040D1"/>
    <w:rsid w:val="0060479E"/>
    <w:rsid w:val="0060480F"/>
    <w:rsid w:val="00604DEA"/>
    <w:rsid w:val="0060548D"/>
    <w:rsid w:val="00605AB6"/>
    <w:rsid w:val="00605E67"/>
    <w:rsid w:val="006062E7"/>
    <w:rsid w:val="006065E5"/>
    <w:rsid w:val="0060707B"/>
    <w:rsid w:val="006106A4"/>
    <w:rsid w:val="006106AE"/>
    <w:rsid w:val="006109AF"/>
    <w:rsid w:val="006110DE"/>
    <w:rsid w:val="00612123"/>
    <w:rsid w:val="00612267"/>
    <w:rsid w:val="006128F7"/>
    <w:rsid w:val="00612AA7"/>
    <w:rsid w:val="00612C6E"/>
    <w:rsid w:val="00612CF9"/>
    <w:rsid w:val="00612ECD"/>
    <w:rsid w:val="00612F9A"/>
    <w:rsid w:val="00613651"/>
    <w:rsid w:val="00613861"/>
    <w:rsid w:val="00614125"/>
    <w:rsid w:val="0061498E"/>
    <w:rsid w:val="00614D40"/>
    <w:rsid w:val="006153D3"/>
    <w:rsid w:val="006155B1"/>
    <w:rsid w:val="0061583F"/>
    <w:rsid w:val="00615D2A"/>
    <w:rsid w:val="00615DFD"/>
    <w:rsid w:val="00615E5F"/>
    <w:rsid w:val="0061633D"/>
    <w:rsid w:val="00616561"/>
    <w:rsid w:val="00616669"/>
    <w:rsid w:val="00616A85"/>
    <w:rsid w:val="00616B5C"/>
    <w:rsid w:val="00616BDB"/>
    <w:rsid w:val="00617545"/>
    <w:rsid w:val="00617C20"/>
    <w:rsid w:val="00621171"/>
    <w:rsid w:val="006220C6"/>
    <w:rsid w:val="00622708"/>
    <w:rsid w:val="0062295F"/>
    <w:rsid w:val="0062333B"/>
    <w:rsid w:val="00623561"/>
    <w:rsid w:val="00623BE2"/>
    <w:rsid w:val="0062453E"/>
    <w:rsid w:val="00624749"/>
    <w:rsid w:val="00624BEC"/>
    <w:rsid w:val="00624CEB"/>
    <w:rsid w:val="0062509C"/>
    <w:rsid w:val="00625CC9"/>
    <w:rsid w:val="00626E90"/>
    <w:rsid w:val="006274D5"/>
    <w:rsid w:val="00627D86"/>
    <w:rsid w:val="006301F1"/>
    <w:rsid w:val="00630469"/>
    <w:rsid w:val="00630538"/>
    <w:rsid w:val="00631117"/>
    <w:rsid w:val="006312E7"/>
    <w:rsid w:val="0063152F"/>
    <w:rsid w:val="00632183"/>
    <w:rsid w:val="0063245A"/>
    <w:rsid w:val="006325BA"/>
    <w:rsid w:val="00632BEF"/>
    <w:rsid w:val="00634609"/>
    <w:rsid w:val="00634628"/>
    <w:rsid w:val="006346C7"/>
    <w:rsid w:val="00634C93"/>
    <w:rsid w:val="0063514E"/>
    <w:rsid w:val="00635234"/>
    <w:rsid w:val="00635824"/>
    <w:rsid w:val="00635A81"/>
    <w:rsid w:val="00635BBA"/>
    <w:rsid w:val="0063625E"/>
    <w:rsid w:val="006367AB"/>
    <w:rsid w:val="00636D97"/>
    <w:rsid w:val="00637516"/>
    <w:rsid w:val="00637B8A"/>
    <w:rsid w:val="00640014"/>
    <w:rsid w:val="00640175"/>
    <w:rsid w:val="0064055E"/>
    <w:rsid w:val="00640560"/>
    <w:rsid w:val="00640BA2"/>
    <w:rsid w:val="00641447"/>
    <w:rsid w:val="006419B4"/>
    <w:rsid w:val="00641C05"/>
    <w:rsid w:val="00641C24"/>
    <w:rsid w:val="00641CDA"/>
    <w:rsid w:val="00641DDF"/>
    <w:rsid w:val="00641E7A"/>
    <w:rsid w:val="00642142"/>
    <w:rsid w:val="00642693"/>
    <w:rsid w:val="006428B7"/>
    <w:rsid w:val="00642996"/>
    <w:rsid w:val="00642C2E"/>
    <w:rsid w:val="00643442"/>
    <w:rsid w:val="00643CE0"/>
    <w:rsid w:val="006443E7"/>
    <w:rsid w:val="006453A9"/>
    <w:rsid w:val="006456AE"/>
    <w:rsid w:val="00645A12"/>
    <w:rsid w:val="006460BF"/>
    <w:rsid w:val="006462E7"/>
    <w:rsid w:val="006463DF"/>
    <w:rsid w:val="0064644E"/>
    <w:rsid w:val="0064646B"/>
    <w:rsid w:val="00646533"/>
    <w:rsid w:val="00646C5D"/>
    <w:rsid w:val="00646DE7"/>
    <w:rsid w:val="00646E1B"/>
    <w:rsid w:val="00646F39"/>
    <w:rsid w:val="0064745F"/>
    <w:rsid w:val="006503AD"/>
    <w:rsid w:val="00650A6C"/>
    <w:rsid w:val="00650A72"/>
    <w:rsid w:val="00650CD0"/>
    <w:rsid w:val="00651EF6"/>
    <w:rsid w:val="006522F2"/>
    <w:rsid w:val="0065230D"/>
    <w:rsid w:val="006523F1"/>
    <w:rsid w:val="00652EC8"/>
    <w:rsid w:val="00653C0C"/>
    <w:rsid w:val="00653EBB"/>
    <w:rsid w:val="0065428D"/>
    <w:rsid w:val="00654347"/>
    <w:rsid w:val="0065439A"/>
    <w:rsid w:val="00654609"/>
    <w:rsid w:val="006546BE"/>
    <w:rsid w:val="0065484D"/>
    <w:rsid w:val="006549CF"/>
    <w:rsid w:val="00654B4C"/>
    <w:rsid w:val="00654BE5"/>
    <w:rsid w:val="00655918"/>
    <w:rsid w:val="00655F2D"/>
    <w:rsid w:val="00656B6A"/>
    <w:rsid w:val="006574D4"/>
    <w:rsid w:val="006577B6"/>
    <w:rsid w:val="00660036"/>
    <w:rsid w:val="00660A66"/>
    <w:rsid w:val="00660B92"/>
    <w:rsid w:val="00660C22"/>
    <w:rsid w:val="006616E8"/>
    <w:rsid w:val="00661ED7"/>
    <w:rsid w:val="0066222F"/>
    <w:rsid w:val="00662871"/>
    <w:rsid w:val="006636CE"/>
    <w:rsid w:val="00663D04"/>
    <w:rsid w:val="00664D5B"/>
    <w:rsid w:val="00665256"/>
    <w:rsid w:val="006656E0"/>
    <w:rsid w:val="00666041"/>
    <w:rsid w:val="0066673B"/>
    <w:rsid w:val="0066687F"/>
    <w:rsid w:val="00666B35"/>
    <w:rsid w:val="0066721C"/>
    <w:rsid w:val="00667A18"/>
    <w:rsid w:val="00667F8A"/>
    <w:rsid w:val="006701E7"/>
    <w:rsid w:val="006706DD"/>
    <w:rsid w:val="00671999"/>
    <w:rsid w:val="00671BE0"/>
    <w:rsid w:val="0067221E"/>
    <w:rsid w:val="0067282A"/>
    <w:rsid w:val="00672898"/>
    <w:rsid w:val="006734F4"/>
    <w:rsid w:val="00673987"/>
    <w:rsid w:val="006744B0"/>
    <w:rsid w:val="00674730"/>
    <w:rsid w:val="00674B8D"/>
    <w:rsid w:val="006750DC"/>
    <w:rsid w:val="006750E8"/>
    <w:rsid w:val="006756F4"/>
    <w:rsid w:val="00675741"/>
    <w:rsid w:val="006759BC"/>
    <w:rsid w:val="00675A81"/>
    <w:rsid w:val="00675B78"/>
    <w:rsid w:val="006762EF"/>
    <w:rsid w:val="006768D1"/>
    <w:rsid w:val="006778AD"/>
    <w:rsid w:val="00677939"/>
    <w:rsid w:val="00677B0E"/>
    <w:rsid w:val="00677F79"/>
    <w:rsid w:val="0068049E"/>
    <w:rsid w:val="006804E2"/>
    <w:rsid w:val="006808B2"/>
    <w:rsid w:val="00681359"/>
    <w:rsid w:val="006815A9"/>
    <w:rsid w:val="0068171A"/>
    <w:rsid w:val="00681883"/>
    <w:rsid w:val="00681D9F"/>
    <w:rsid w:val="006821BB"/>
    <w:rsid w:val="0068256E"/>
    <w:rsid w:val="00682619"/>
    <w:rsid w:val="0068344B"/>
    <w:rsid w:val="00683B3F"/>
    <w:rsid w:val="00683CDF"/>
    <w:rsid w:val="00683DAC"/>
    <w:rsid w:val="006841AE"/>
    <w:rsid w:val="006843D1"/>
    <w:rsid w:val="006848C1"/>
    <w:rsid w:val="00684CC8"/>
    <w:rsid w:val="00684E29"/>
    <w:rsid w:val="00685254"/>
    <w:rsid w:val="006855B2"/>
    <w:rsid w:val="0068585C"/>
    <w:rsid w:val="006859F2"/>
    <w:rsid w:val="00685C0A"/>
    <w:rsid w:val="00686159"/>
    <w:rsid w:val="00686C43"/>
    <w:rsid w:val="00686F5B"/>
    <w:rsid w:val="00686F97"/>
    <w:rsid w:val="00687A31"/>
    <w:rsid w:val="00690759"/>
    <w:rsid w:val="00690A8D"/>
    <w:rsid w:val="00690BBC"/>
    <w:rsid w:val="00691740"/>
    <w:rsid w:val="00691A64"/>
    <w:rsid w:val="00692879"/>
    <w:rsid w:val="006939E0"/>
    <w:rsid w:val="00695473"/>
    <w:rsid w:val="006954D6"/>
    <w:rsid w:val="006956FC"/>
    <w:rsid w:val="0069583E"/>
    <w:rsid w:val="006958B9"/>
    <w:rsid w:val="006963B3"/>
    <w:rsid w:val="006965A8"/>
    <w:rsid w:val="00696A91"/>
    <w:rsid w:val="00696BAD"/>
    <w:rsid w:val="006978C9"/>
    <w:rsid w:val="0069794F"/>
    <w:rsid w:val="006A02C7"/>
    <w:rsid w:val="006A038C"/>
    <w:rsid w:val="006A03CB"/>
    <w:rsid w:val="006A0F41"/>
    <w:rsid w:val="006A1F48"/>
    <w:rsid w:val="006A1FC7"/>
    <w:rsid w:val="006A212C"/>
    <w:rsid w:val="006A26FB"/>
    <w:rsid w:val="006A349E"/>
    <w:rsid w:val="006A36F8"/>
    <w:rsid w:val="006A38D6"/>
    <w:rsid w:val="006A447C"/>
    <w:rsid w:val="006A455A"/>
    <w:rsid w:val="006A45C6"/>
    <w:rsid w:val="006A4F83"/>
    <w:rsid w:val="006A55CD"/>
    <w:rsid w:val="006A5B9E"/>
    <w:rsid w:val="006A5C05"/>
    <w:rsid w:val="006A64FC"/>
    <w:rsid w:val="006A6700"/>
    <w:rsid w:val="006A6999"/>
    <w:rsid w:val="006A6EFA"/>
    <w:rsid w:val="006A7597"/>
    <w:rsid w:val="006B0555"/>
    <w:rsid w:val="006B0834"/>
    <w:rsid w:val="006B0F0E"/>
    <w:rsid w:val="006B0F72"/>
    <w:rsid w:val="006B141C"/>
    <w:rsid w:val="006B17E1"/>
    <w:rsid w:val="006B2845"/>
    <w:rsid w:val="006B3147"/>
    <w:rsid w:val="006B33C5"/>
    <w:rsid w:val="006B40AB"/>
    <w:rsid w:val="006B4728"/>
    <w:rsid w:val="006B4BD8"/>
    <w:rsid w:val="006B505D"/>
    <w:rsid w:val="006B574B"/>
    <w:rsid w:val="006B5A08"/>
    <w:rsid w:val="006B608B"/>
    <w:rsid w:val="006B6499"/>
    <w:rsid w:val="006B696A"/>
    <w:rsid w:val="006B6ABD"/>
    <w:rsid w:val="006B6C8B"/>
    <w:rsid w:val="006B6D43"/>
    <w:rsid w:val="006C1137"/>
    <w:rsid w:val="006C1ABB"/>
    <w:rsid w:val="006C1AE2"/>
    <w:rsid w:val="006C1B85"/>
    <w:rsid w:val="006C282C"/>
    <w:rsid w:val="006C2A38"/>
    <w:rsid w:val="006C302B"/>
    <w:rsid w:val="006C308F"/>
    <w:rsid w:val="006C3462"/>
    <w:rsid w:val="006C47B9"/>
    <w:rsid w:val="006C4D22"/>
    <w:rsid w:val="006C5941"/>
    <w:rsid w:val="006C6096"/>
    <w:rsid w:val="006C6113"/>
    <w:rsid w:val="006C6A77"/>
    <w:rsid w:val="006C6AB6"/>
    <w:rsid w:val="006C6C5F"/>
    <w:rsid w:val="006C714D"/>
    <w:rsid w:val="006C7925"/>
    <w:rsid w:val="006C7F88"/>
    <w:rsid w:val="006D015E"/>
    <w:rsid w:val="006D060E"/>
    <w:rsid w:val="006D1530"/>
    <w:rsid w:val="006D156B"/>
    <w:rsid w:val="006D15D5"/>
    <w:rsid w:val="006D17BD"/>
    <w:rsid w:val="006D198F"/>
    <w:rsid w:val="006D2099"/>
    <w:rsid w:val="006D218B"/>
    <w:rsid w:val="006D2587"/>
    <w:rsid w:val="006D2A40"/>
    <w:rsid w:val="006D2B8A"/>
    <w:rsid w:val="006D3B34"/>
    <w:rsid w:val="006D3DBD"/>
    <w:rsid w:val="006D3EC6"/>
    <w:rsid w:val="006D3ED1"/>
    <w:rsid w:val="006D42FA"/>
    <w:rsid w:val="006D4558"/>
    <w:rsid w:val="006D45D8"/>
    <w:rsid w:val="006D4BF9"/>
    <w:rsid w:val="006D50B4"/>
    <w:rsid w:val="006D56E5"/>
    <w:rsid w:val="006D58CA"/>
    <w:rsid w:val="006D5A68"/>
    <w:rsid w:val="006D5BEB"/>
    <w:rsid w:val="006D6509"/>
    <w:rsid w:val="006D6520"/>
    <w:rsid w:val="006D6862"/>
    <w:rsid w:val="006D6A6F"/>
    <w:rsid w:val="006D6EBD"/>
    <w:rsid w:val="006D7424"/>
    <w:rsid w:val="006D74F5"/>
    <w:rsid w:val="006D7926"/>
    <w:rsid w:val="006E058D"/>
    <w:rsid w:val="006E17C2"/>
    <w:rsid w:val="006E1ABA"/>
    <w:rsid w:val="006E1EF6"/>
    <w:rsid w:val="006E203B"/>
    <w:rsid w:val="006E2492"/>
    <w:rsid w:val="006E2502"/>
    <w:rsid w:val="006E265A"/>
    <w:rsid w:val="006E2696"/>
    <w:rsid w:val="006E2818"/>
    <w:rsid w:val="006E29F9"/>
    <w:rsid w:val="006E2C6B"/>
    <w:rsid w:val="006E2E24"/>
    <w:rsid w:val="006E2EE9"/>
    <w:rsid w:val="006E2FA1"/>
    <w:rsid w:val="006E2FB2"/>
    <w:rsid w:val="006E2FC2"/>
    <w:rsid w:val="006E43A7"/>
    <w:rsid w:val="006E4980"/>
    <w:rsid w:val="006E4B19"/>
    <w:rsid w:val="006E520B"/>
    <w:rsid w:val="006E5341"/>
    <w:rsid w:val="006E5918"/>
    <w:rsid w:val="006E5EF9"/>
    <w:rsid w:val="006E6191"/>
    <w:rsid w:val="006E65E4"/>
    <w:rsid w:val="006E6C51"/>
    <w:rsid w:val="006E6D71"/>
    <w:rsid w:val="006E7512"/>
    <w:rsid w:val="006E7982"/>
    <w:rsid w:val="006F0053"/>
    <w:rsid w:val="006F00C8"/>
    <w:rsid w:val="006F0371"/>
    <w:rsid w:val="006F0D06"/>
    <w:rsid w:val="006F119F"/>
    <w:rsid w:val="006F1297"/>
    <w:rsid w:val="006F1706"/>
    <w:rsid w:val="006F1D01"/>
    <w:rsid w:val="006F23C4"/>
    <w:rsid w:val="006F244B"/>
    <w:rsid w:val="006F2A36"/>
    <w:rsid w:val="006F2BF8"/>
    <w:rsid w:val="006F2C41"/>
    <w:rsid w:val="006F2E2D"/>
    <w:rsid w:val="006F2F56"/>
    <w:rsid w:val="006F337B"/>
    <w:rsid w:val="006F33C8"/>
    <w:rsid w:val="006F3660"/>
    <w:rsid w:val="006F3663"/>
    <w:rsid w:val="006F38B9"/>
    <w:rsid w:val="006F3D14"/>
    <w:rsid w:val="006F4131"/>
    <w:rsid w:val="006F4D02"/>
    <w:rsid w:val="006F6393"/>
    <w:rsid w:val="006F6CD6"/>
    <w:rsid w:val="006F72BA"/>
    <w:rsid w:val="006F7396"/>
    <w:rsid w:val="006F783A"/>
    <w:rsid w:val="006F7F4D"/>
    <w:rsid w:val="00700389"/>
    <w:rsid w:val="00700429"/>
    <w:rsid w:val="00700771"/>
    <w:rsid w:val="0070088D"/>
    <w:rsid w:val="00700D8D"/>
    <w:rsid w:val="007014AB"/>
    <w:rsid w:val="007016F4"/>
    <w:rsid w:val="00701A63"/>
    <w:rsid w:val="00701EFB"/>
    <w:rsid w:val="007023DA"/>
    <w:rsid w:val="00702407"/>
    <w:rsid w:val="00702518"/>
    <w:rsid w:val="00702766"/>
    <w:rsid w:val="00702904"/>
    <w:rsid w:val="00702C32"/>
    <w:rsid w:val="007032AC"/>
    <w:rsid w:val="007032FE"/>
    <w:rsid w:val="0070364E"/>
    <w:rsid w:val="0070412E"/>
    <w:rsid w:val="00704185"/>
    <w:rsid w:val="00704E66"/>
    <w:rsid w:val="0070553C"/>
    <w:rsid w:val="00705575"/>
    <w:rsid w:val="00705ED5"/>
    <w:rsid w:val="00706126"/>
    <w:rsid w:val="00706487"/>
    <w:rsid w:val="0070675A"/>
    <w:rsid w:val="00706777"/>
    <w:rsid w:val="0070748A"/>
    <w:rsid w:val="0070765A"/>
    <w:rsid w:val="00707854"/>
    <w:rsid w:val="00707885"/>
    <w:rsid w:val="00707BC7"/>
    <w:rsid w:val="00710170"/>
    <w:rsid w:val="00710341"/>
    <w:rsid w:val="007103E6"/>
    <w:rsid w:val="007108D3"/>
    <w:rsid w:val="0071093B"/>
    <w:rsid w:val="00710976"/>
    <w:rsid w:val="0071097E"/>
    <w:rsid w:val="0071102A"/>
    <w:rsid w:val="00712819"/>
    <w:rsid w:val="00712CCA"/>
    <w:rsid w:val="00712D81"/>
    <w:rsid w:val="00713313"/>
    <w:rsid w:val="007134F7"/>
    <w:rsid w:val="00714529"/>
    <w:rsid w:val="0071473A"/>
    <w:rsid w:val="00714EC7"/>
    <w:rsid w:val="007158EE"/>
    <w:rsid w:val="0071593C"/>
    <w:rsid w:val="00715E04"/>
    <w:rsid w:val="00715E4B"/>
    <w:rsid w:val="00716F24"/>
    <w:rsid w:val="007176B6"/>
    <w:rsid w:val="00717A9D"/>
    <w:rsid w:val="00717C6A"/>
    <w:rsid w:val="00717FAC"/>
    <w:rsid w:val="00720612"/>
    <w:rsid w:val="00720EC2"/>
    <w:rsid w:val="007212DF"/>
    <w:rsid w:val="00721325"/>
    <w:rsid w:val="00721C5F"/>
    <w:rsid w:val="007223DD"/>
    <w:rsid w:val="007225D3"/>
    <w:rsid w:val="0072267C"/>
    <w:rsid w:val="00722773"/>
    <w:rsid w:val="00722B93"/>
    <w:rsid w:val="00722BEB"/>
    <w:rsid w:val="0072316E"/>
    <w:rsid w:val="0072340D"/>
    <w:rsid w:val="00723648"/>
    <w:rsid w:val="00723A29"/>
    <w:rsid w:val="00723AA5"/>
    <w:rsid w:val="00723BB2"/>
    <w:rsid w:val="0072474E"/>
    <w:rsid w:val="00724FA5"/>
    <w:rsid w:val="0072515B"/>
    <w:rsid w:val="00725B43"/>
    <w:rsid w:val="00725B61"/>
    <w:rsid w:val="00725CEC"/>
    <w:rsid w:val="00725F12"/>
    <w:rsid w:val="007261C2"/>
    <w:rsid w:val="007263B6"/>
    <w:rsid w:val="00726475"/>
    <w:rsid w:val="0072651E"/>
    <w:rsid w:val="0072668D"/>
    <w:rsid w:val="00726C1F"/>
    <w:rsid w:val="00727015"/>
    <w:rsid w:val="00727163"/>
    <w:rsid w:val="0072761B"/>
    <w:rsid w:val="00727A1D"/>
    <w:rsid w:val="007300C0"/>
    <w:rsid w:val="00730416"/>
    <w:rsid w:val="007305C2"/>
    <w:rsid w:val="007314EF"/>
    <w:rsid w:val="00731EF8"/>
    <w:rsid w:val="00732311"/>
    <w:rsid w:val="007327DA"/>
    <w:rsid w:val="007334E4"/>
    <w:rsid w:val="00733544"/>
    <w:rsid w:val="0073448E"/>
    <w:rsid w:val="0073452B"/>
    <w:rsid w:val="0073475A"/>
    <w:rsid w:val="007348D8"/>
    <w:rsid w:val="00734CD0"/>
    <w:rsid w:val="00734E2A"/>
    <w:rsid w:val="0073541E"/>
    <w:rsid w:val="0073576E"/>
    <w:rsid w:val="0073581B"/>
    <w:rsid w:val="00736610"/>
    <w:rsid w:val="00736801"/>
    <w:rsid w:val="0073687D"/>
    <w:rsid w:val="00736D53"/>
    <w:rsid w:val="00737175"/>
    <w:rsid w:val="0073739B"/>
    <w:rsid w:val="0074009D"/>
    <w:rsid w:val="0074014B"/>
    <w:rsid w:val="0074059C"/>
    <w:rsid w:val="0074073D"/>
    <w:rsid w:val="00740975"/>
    <w:rsid w:val="00740FA3"/>
    <w:rsid w:val="007415B8"/>
    <w:rsid w:val="00741B54"/>
    <w:rsid w:val="00741BAC"/>
    <w:rsid w:val="00741E1F"/>
    <w:rsid w:val="00741FFB"/>
    <w:rsid w:val="007424E3"/>
    <w:rsid w:val="00742789"/>
    <w:rsid w:val="007427D1"/>
    <w:rsid w:val="007428A5"/>
    <w:rsid w:val="00742B70"/>
    <w:rsid w:val="00743E20"/>
    <w:rsid w:val="00744240"/>
    <w:rsid w:val="00744612"/>
    <w:rsid w:val="007454F8"/>
    <w:rsid w:val="00745637"/>
    <w:rsid w:val="00745A84"/>
    <w:rsid w:val="00745BF7"/>
    <w:rsid w:val="007465C1"/>
    <w:rsid w:val="00746E1C"/>
    <w:rsid w:val="007476DB"/>
    <w:rsid w:val="007477D6"/>
    <w:rsid w:val="007505C5"/>
    <w:rsid w:val="00750657"/>
    <w:rsid w:val="00750E89"/>
    <w:rsid w:val="007510AD"/>
    <w:rsid w:val="007511E7"/>
    <w:rsid w:val="00751C4F"/>
    <w:rsid w:val="007522F0"/>
    <w:rsid w:val="00752618"/>
    <w:rsid w:val="0075290E"/>
    <w:rsid w:val="00753147"/>
    <w:rsid w:val="007531FE"/>
    <w:rsid w:val="0075324B"/>
    <w:rsid w:val="00753622"/>
    <w:rsid w:val="007539D3"/>
    <w:rsid w:val="00753DDB"/>
    <w:rsid w:val="00754167"/>
    <w:rsid w:val="00754463"/>
    <w:rsid w:val="007545EE"/>
    <w:rsid w:val="0075481E"/>
    <w:rsid w:val="00754EFF"/>
    <w:rsid w:val="00754F0B"/>
    <w:rsid w:val="0075551D"/>
    <w:rsid w:val="00755709"/>
    <w:rsid w:val="007557F0"/>
    <w:rsid w:val="007561C8"/>
    <w:rsid w:val="00756276"/>
    <w:rsid w:val="007562B7"/>
    <w:rsid w:val="00756EAC"/>
    <w:rsid w:val="007575C7"/>
    <w:rsid w:val="007579F3"/>
    <w:rsid w:val="00757AD7"/>
    <w:rsid w:val="00757B91"/>
    <w:rsid w:val="00757C34"/>
    <w:rsid w:val="00757D0B"/>
    <w:rsid w:val="00760250"/>
    <w:rsid w:val="0076060D"/>
    <w:rsid w:val="007606A7"/>
    <w:rsid w:val="00760948"/>
    <w:rsid w:val="00760F81"/>
    <w:rsid w:val="00761504"/>
    <w:rsid w:val="00761DF7"/>
    <w:rsid w:val="00763575"/>
    <w:rsid w:val="007635E5"/>
    <w:rsid w:val="00763CDF"/>
    <w:rsid w:val="00764004"/>
    <w:rsid w:val="00764125"/>
    <w:rsid w:val="0076448D"/>
    <w:rsid w:val="00764D82"/>
    <w:rsid w:val="007655B9"/>
    <w:rsid w:val="0076595E"/>
    <w:rsid w:val="00766170"/>
    <w:rsid w:val="0076633D"/>
    <w:rsid w:val="00766E5B"/>
    <w:rsid w:val="00766EE0"/>
    <w:rsid w:val="007673FF"/>
    <w:rsid w:val="00767D23"/>
    <w:rsid w:val="00767FB4"/>
    <w:rsid w:val="0077016B"/>
    <w:rsid w:val="00770881"/>
    <w:rsid w:val="007709D0"/>
    <w:rsid w:val="00770FFC"/>
    <w:rsid w:val="007710E5"/>
    <w:rsid w:val="0077114F"/>
    <w:rsid w:val="007712BF"/>
    <w:rsid w:val="0077144D"/>
    <w:rsid w:val="007716A0"/>
    <w:rsid w:val="00772401"/>
    <w:rsid w:val="00772546"/>
    <w:rsid w:val="007726FD"/>
    <w:rsid w:val="007727BA"/>
    <w:rsid w:val="0077299D"/>
    <w:rsid w:val="007731F8"/>
    <w:rsid w:val="0077347C"/>
    <w:rsid w:val="00773784"/>
    <w:rsid w:val="00773D69"/>
    <w:rsid w:val="007741FC"/>
    <w:rsid w:val="007741FF"/>
    <w:rsid w:val="007749E6"/>
    <w:rsid w:val="00774BBE"/>
    <w:rsid w:val="00774EB2"/>
    <w:rsid w:val="007755F0"/>
    <w:rsid w:val="0077571C"/>
    <w:rsid w:val="0077583C"/>
    <w:rsid w:val="00775BDF"/>
    <w:rsid w:val="0077647D"/>
    <w:rsid w:val="0077658F"/>
    <w:rsid w:val="00776A16"/>
    <w:rsid w:val="00776BC4"/>
    <w:rsid w:val="00777773"/>
    <w:rsid w:val="00777883"/>
    <w:rsid w:val="00777EA6"/>
    <w:rsid w:val="0078018C"/>
    <w:rsid w:val="0078029F"/>
    <w:rsid w:val="00780523"/>
    <w:rsid w:val="00780EB3"/>
    <w:rsid w:val="00780F41"/>
    <w:rsid w:val="00781028"/>
    <w:rsid w:val="00781954"/>
    <w:rsid w:val="00781AC6"/>
    <w:rsid w:val="00781CD9"/>
    <w:rsid w:val="00782031"/>
    <w:rsid w:val="00782235"/>
    <w:rsid w:val="00782800"/>
    <w:rsid w:val="00782C2D"/>
    <w:rsid w:val="00782D4B"/>
    <w:rsid w:val="007836E8"/>
    <w:rsid w:val="007839BC"/>
    <w:rsid w:val="00783A12"/>
    <w:rsid w:val="00783DA2"/>
    <w:rsid w:val="007843F7"/>
    <w:rsid w:val="00784A5E"/>
    <w:rsid w:val="00784DDE"/>
    <w:rsid w:val="00785026"/>
    <w:rsid w:val="00785A90"/>
    <w:rsid w:val="00785D99"/>
    <w:rsid w:val="00786646"/>
    <w:rsid w:val="007866AA"/>
    <w:rsid w:val="007869AF"/>
    <w:rsid w:val="00786D60"/>
    <w:rsid w:val="007872E7"/>
    <w:rsid w:val="007877D3"/>
    <w:rsid w:val="00787F20"/>
    <w:rsid w:val="0079025C"/>
    <w:rsid w:val="007906E8"/>
    <w:rsid w:val="00790D4B"/>
    <w:rsid w:val="007910B4"/>
    <w:rsid w:val="007912FA"/>
    <w:rsid w:val="007913B6"/>
    <w:rsid w:val="0079190B"/>
    <w:rsid w:val="00791AFB"/>
    <w:rsid w:val="00791C96"/>
    <w:rsid w:val="00792BCB"/>
    <w:rsid w:val="00793263"/>
    <w:rsid w:val="0079335B"/>
    <w:rsid w:val="007934AA"/>
    <w:rsid w:val="007937F9"/>
    <w:rsid w:val="00793DE7"/>
    <w:rsid w:val="0079404F"/>
    <w:rsid w:val="0079436E"/>
    <w:rsid w:val="00794C13"/>
    <w:rsid w:val="00794D03"/>
    <w:rsid w:val="007950FD"/>
    <w:rsid w:val="00795570"/>
    <w:rsid w:val="00795735"/>
    <w:rsid w:val="00795CE6"/>
    <w:rsid w:val="00795EFA"/>
    <w:rsid w:val="00795F50"/>
    <w:rsid w:val="00795F7B"/>
    <w:rsid w:val="00796506"/>
    <w:rsid w:val="0079670E"/>
    <w:rsid w:val="007968DA"/>
    <w:rsid w:val="00796C87"/>
    <w:rsid w:val="007977DB"/>
    <w:rsid w:val="00797BC8"/>
    <w:rsid w:val="007A0B42"/>
    <w:rsid w:val="007A0F6E"/>
    <w:rsid w:val="007A129F"/>
    <w:rsid w:val="007A152A"/>
    <w:rsid w:val="007A1AFA"/>
    <w:rsid w:val="007A2113"/>
    <w:rsid w:val="007A26DE"/>
    <w:rsid w:val="007A4150"/>
    <w:rsid w:val="007A41B2"/>
    <w:rsid w:val="007A4497"/>
    <w:rsid w:val="007A45B0"/>
    <w:rsid w:val="007A4CBE"/>
    <w:rsid w:val="007A522D"/>
    <w:rsid w:val="007A534A"/>
    <w:rsid w:val="007A5509"/>
    <w:rsid w:val="007A582B"/>
    <w:rsid w:val="007A5F8C"/>
    <w:rsid w:val="007A66A8"/>
    <w:rsid w:val="007A6D3A"/>
    <w:rsid w:val="007A717E"/>
    <w:rsid w:val="007A7608"/>
    <w:rsid w:val="007A7BAC"/>
    <w:rsid w:val="007B0002"/>
    <w:rsid w:val="007B0BD7"/>
    <w:rsid w:val="007B13BC"/>
    <w:rsid w:val="007B1B26"/>
    <w:rsid w:val="007B1C67"/>
    <w:rsid w:val="007B2B27"/>
    <w:rsid w:val="007B2C3E"/>
    <w:rsid w:val="007B2D5B"/>
    <w:rsid w:val="007B386A"/>
    <w:rsid w:val="007B3D6C"/>
    <w:rsid w:val="007B56DF"/>
    <w:rsid w:val="007B57F1"/>
    <w:rsid w:val="007B5A6D"/>
    <w:rsid w:val="007B5BC7"/>
    <w:rsid w:val="007B5D75"/>
    <w:rsid w:val="007B5E3F"/>
    <w:rsid w:val="007B674D"/>
    <w:rsid w:val="007B6B7D"/>
    <w:rsid w:val="007B6BF3"/>
    <w:rsid w:val="007B6C0A"/>
    <w:rsid w:val="007B70CE"/>
    <w:rsid w:val="007B7C9B"/>
    <w:rsid w:val="007C0A76"/>
    <w:rsid w:val="007C0F77"/>
    <w:rsid w:val="007C1068"/>
    <w:rsid w:val="007C14EA"/>
    <w:rsid w:val="007C26ED"/>
    <w:rsid w:val="007C26FB"/>
    <w:rsid w:val="007C2798"/>
    <w:rsid w:val="007C2970"/>
    <w:rsid w:val="007C2E6E"/>
    <w:rsid w:val="007C3369"/>
    <w:rsid w:val="007C3658"/>
    <w:rsid w:val="007C37FE"/>
    <w:rsid w:val="007C3E86"/>
    <w:rsid w:val="007C3F23"/>
    <w:rsid w:val="007C4295"/>
    <w:rsid w:val="007C4575"/>
    <w:rsid w:val="007C475F"/>
    <w:rsid w:val="007C4882"/>
    <w:rsid w:val="007C4C4B"/>
    <w:rsid w:val="007C5007"/>
    <w:rsid w:val="007C5381"/>
    <w:rsid w:val="007C53F0"/>
    <w:rsid w:val="007C5617"/>
    <w:rsid w:val="007C5C15"/>
    <w:rsid w:val="007C5E51"/>
    <w:rsid w:val="007C6183"/>
    <w:rsid w:val="007C629D"/>
    <w:rsid w:val="007C6706"/>
    <w:rsid w:val="007C7099"/>
    <w:rsid w:val="007C7121"/>
    <w:rsid w:val="007C72B0"/>
    <w:rsid w:val="007C73FC"/>
    <w:rsid w:val="007C763B"/>
    <w:rsid w:val="007C7775"/>
    <w:rsid w:val="007C7A4A"/>
    <w:rsid w:val="007D0309"/>
    <w:rsid w:val="007D0409"/>
    <w:rsid w:val="007D0A84"/>
    <w:rsid w:val="007D1050"/>
    <w:rsid w:val="007D1CC2"/>
    <w:rsid w:val="007D1ED7"/>
    <w:rsid w:val="007D1F7B"/>
    <w:rsid w:val="007D1FD1"/>
    <w:rsid w:val="007D2A30"/>
    <w:rsid w:val="007D309A"/>
    <w:rsid w:val="007D31AC"/>
    <w:rsid w:val="007D36E4"/>
    <w:rsid w:val="007D3788"/>
    <w:rsid w:val="007D3CF9"/>
    <w:rsid w:val="007D3ED9"/>
    <w:rsid w:val="007D3F98"/>
    <w:rsid w:val="007D4D69"/>
    <w:rsid w:val="007D4FE5"/>
    <w:rsid w:val="007D500D"/>
    <w:rsid w:val="007D5057"/>
    <w:rsid w:val="007D530B"/>
    <w:rsid w:val="007D5376"/>
    <w:rsid w:val="007D562E"/>
    <w:rsid w:val="007D595C"/>
    <w:rsid w:val="007D5968"/>
    <w:rsid w:val="007D5FA7"/>
    <w:rsid w:val="007D6F1D"/>
    <w:rsid w:val="007D743D"/>
    <w:rsid w:val="007D77D5"/>
    <w:rsid w:val="007D7A1E"/>
    <w:rsid w:val="007D7D75"/>
    <w:rsid w:val="007E0E10"/>
    <w:rsid w:val="007E16DC"/>
    <w:rsid w:val="007E16EA"/>
    <w:rsid w:val="007E1EEF"/>
    <w:rsid w:val="007E2126"/>
    <w:rsid w:val="007E2357"/>
    <w:rsid w:val="007E2D92"/>
    <w:rsid w:val="007E2F4D"/>
    <w:rsid w:val="007E300B"/>
    <w:rsid w:val="007E32BF"/>
    <w:rsid w:val="007E32E9"/>
    <w:rsid w:val="007E370C"/>
    <w:rsid w:val="007E3712"/>
    <w:rsid w:val="007E409C"/>
    <w:rsid w:val="007E40A4"/>
    <w:rsid w:val="007E40F1"/>
    <w:rsid w:val="007E4BAB"/>
    <w:rsid w:val="007E4CF1"/>
    <w:rsid w:val="007E4F34"/>
    <w:rsid w:val="007E5C26"/>
    <w:rsid w:val="007E61AF"/>
    <w:rsid w:val="007E65FA"/>
    <w:rsid w:val="007E668C"/>
    <w:rsid w:val="007E684D"/>
    <w:rsid w:val="007E6AEC"/>
    <w:rsid w:val="007E79FC"/>
    <w:rsid w:val="007E7FC4"/>
    <w:rsid w:val="007F0143"/>
    <w:rsid w:val="007F01BF"/>
    <w:rsid w:val="007F112A"/>
    <w:rsid w:val="007F1461"/>
    <w:rsid w:val="007F2C1B"/>
    <w:rsid w:val="007F2C27"/>
    <w:rsid w:val="007F3464"/>
    <w:rsid w:val="007F3C41"/>
    <w:rsid w:val="007F458D"/>
    <w:rsid w:val="007F4CD1"/>
    <w:rsid w:val="007F4F53"/>
    <w:rsid w:val="007F5C9C"/>
    <w:rsid w:val="007F600E"/>
    <w:rsid w:val="007F652E"/>
    <w:rsid w:val="007F68D6"/>
    <w:rsid w:val="007F6E70"/>
    <w:rsid w:val="007F6FE1"/>
    <w:rsid w:val="007F716A"/>
    <w:rsid w:val="007F7392"/>
    <w:rsid w:val="00800055"/>
    <w:rsid w:val="008005A4"/>
    <w:rsid w:val="008006C2"/>
    <w:rsid w:val="00800BD8"/>
    <w:rsid w:val="00800D89"/>
    <w:rsid w:val="00800E6B"/>
    <w:rsid w:val="00800F61"/>
    <w:rsid w:val="00801264"/>
    <w:rsid w:val="008012D2"/>
    <w:rsid w:val="0080145D"/>
    <w:rsid w:val="00801546"/>
    <w:rsid w:val="00801AD3"/>
    <w:rsid w:val="00801CAE"/>
    <w:rsid w:val="00801E38"/>
    <w:rsid w:val="00801FB7"/>
    <w:rsid w:val="00802175"/>
    <w:rsid w:val="0080238C"/>
    <w:rsid w:val="0080274E"/>
    <w:rsid w:val="00802A4C"/>
    <w:rsid w:val="00802C25"/>
    <w:rsid w:val="00802F63"/>
    <w:rsid w:val="00803529"/>
    <w:rsid w:val="00803720"/>
    <w:rsid w:val="00803A19"/>
    <w:rsid w:val="00803BD2"/>
    <w:rsid w:val="00804064"/>
    <w:rsid w:val="0080478D"/>
    <w:rsid w:val="008049F0"/>
    <w:rsid w:val="00804B20"/>
    <w:rsid w:val="00804E43"/>
    <w:rsid w:val="00804FE7"/>
    <w:rsid w:val="00805392"/>
    <w:rsid w:val="008058AC"/>
    <w:rsid w:val="00805E76"/>
    <w:rsid w:val="0080611C"/>
    <w:rsid w:val="008066B3"/>
    <w:rsid w:val="00806917"/>
    <w:rsid w:val="0081085A"/>
    <w:rsid w:val="00810B37"/>
    <w:rsid w:val="00810CBE"/>
    <w:rsid w:val="00810CDA"/>
    <w:rsid w:val="00811123"/>
    <w:rsid w:val="008115AE"/>
    <w:rsid w:val="008117EC"/>
    <w:rsid w:val="008119AC"/>
    <w:rsid w:val="00811AD8"/>
    <w:rsid w:val="00812179"/>
    <w:rsid w:val="008124CA"/>
    <w:rsid w:val="008125FD"/>
    <w:rsid w:val="0081294B"/>
    <w:rsid w:val="00812DB0"/>
    <w:rsid w:val="008132D5"/>
    <w:rsid w:val="00813E36"/>
    <w:rsid w:val="008140A6"/>
    <w:rsid w:val="00814178"/>
    <w:rsid w:val="00814299"/>
    <w:rsid w:val="0081430F"/>
    <w:rsid w:val="008145DA"/>
    <w:rsid w:val="00814901"/>
    <w:rsid w:val="008153A3"/>
    <w:rsid w:val="008157C8"/>
    <w:rsid w:val="0081585A"/>
    <w:rsid w:val="00815DCC"/>
    <w:rsid w:val="00816BF6"/>
    <w:rsid w:val="00816DDE"/>
    <w:rsid w:val="00817033"/>
    <w:rsid w:val="00817790"/>
    <w:rsid w:val="00820692"/>
    <w:rsid w:val="00820C00"/>
    <w:rsid w:val="00820D75"/>
    <w:rsid w:val="008213C3"/>
    <w:rsid w:val="00821518"/>
    <w:rsid w:val="00821777"/>
    <w:rsid w:val="00821DDE"/>
    <w:rsid w:val="0082311B"/>
    <w:rsid w:val="008237A3"/>
    <w:rsid w:val="00823EE0"/>
    <w:rsid w:val="0082445B"/>
    <w:rsid w:val="00824B9F"/>
    <w:rsid w:val="00825A00"/>
    <w:rsid w:val="00826965"/>
    <w:rsid w:val="00826B5B"/>
    <w:rsid w:val="008276E1"/>
    <w:rsid w:val="00827839"/>
    <w:rsid w:val="008279BA"/>
    <w:rsid w:val="00827E65"/>
    <w:rsid w:val="00830182"/>
    <w:rsid w:val="0083021B"/>
    <w:rsid w:val="008303D6"/>
    <w:rsid w:val="0083050D"/>
    <w:rsid w:val="00830C70"/>
    <w:rsid w:val="00830E59"/>
    <w:rsid w:val="00831000"/>
    <w:rsid w:val="008312E7"/>
    <w:rsid w:val="0083146E"/>
    <w:rsid w:val="008317D4"/>
    <w:rsid w:val="00831A16"/>
    <w:rsid w:val="008322A6"/>
    <w:rsid w:val="008324F1"/>
    <w:rsid w:val="008328BA"/>
    <w:rsid w:val="008328D3"/>
    <w:rsid w:val="0083304A"/>
    <w:rsid w:val="00833298"/>
    <w:rsid w:val="0083336B"/>
    <w:rsid w:val="00833990"/>
    <w:rsid w:val="00833E72"/>
    <w:rsid w:val="0083450C"/>
    <w:rsid w:val="008348D7"/>
    <w:rsid w:val="008353E9"/>
    <w:rsid w:val="008357D0"/>
    <w:rsid w:val="00835F21"/>
    <w:rsid w:val="008362AE"/>
    <w:rsid w:val="008363CB"/>
    <w:rsid w:val="00836517"/>
    <w:rsid w:val="00836F31"/>
    <w:rsid w:val="00837395"/>
    <w:rsid w:val="00837874"/>
    <w:rsid w:val="00837C4F"/>
    <w:rsid w:val="00837D30"/>
    <w:rsid w:val="00840C64"/>
    <w:rsid w:val="00841528"/>
    <w:rsid w:val="00842D5C"/>
    <w:rsid w:val="00842F52"/>
    <w:rsid w:val="008430DC"/>
    <w:rsid w:val="00843339"/>
    <w:rsid w:val="0084348B"/>
    <w:rsid w:val="008436A6"/>
    <w:rsid w:val="0084385B"/>
    <w:rsid w:val="00843A8D"/>
    <w:rsid w:val="008440E2"/>
    <w:rsid w:val="00844648"/>
    <w:rsid w:val="008446BE"/>
    <w:rsid w:val="00844952"/>
    <w:rsid w:val="00845AD5"/>
    <w:rsid w:val="00845E05"/>
    <w:rsid w:val="00846402"/>
    <w:rsid w:val="00846433"/>
    <w:rsid w:val="00846F4A"/>
    <w:rsid w:val="00847C10"/>
    <w:rsid w:val="00850201"/>
    <w:rsid w:val="0085029D"/>
    <w:rsid w:val="008506AA"/>
    <w:rsid w:val="00850940"/>
    <w:rsid w:val="008509D2"/>
    <w:rsid w:val="00851B4E"/>
    <w:rsid w:val="00851DDC"/>
    <w:rsid w:val="00852315"/>
    <w:rsid w:val="00852912"/>
    <w:rsid w:val="00852A97"/>
    <w:rsid w:val="00852E5C"/>
    <w:rsid w:val="00852FAC"/>
    <w:rsid w:val="008531CF"/>
    <w:rsid w:val="008535AA"/>
    <w:rsid w:val="00853B6C"/>
    <w:rsid w:val="00854267"/>
    <w:rsid w:val="008543EF"/>
    <w:rsid w:val="00854F60"/>
    <w:rsid w:val="008550F6"/>
    <w:rsid w:val="0085564C"/>
    <w:rsid w:val="0085594E"/>
    <w:rsid w:val="00855DB5"/>
    <w:rsid w:val="00855F00"/>
    <w:rsid w:val="00856680"/>
    <w:rsid w:val="008566B0"/>
    <w:rsid w:val="008572D0"/>
    <w:rsid w:val="00857501"/>
    <w:rsid w:val="00857D4F"/>
    <w:rsid w:val="00857D96"/>
    <w:rsid w:val="00857F9E"/>
    <w:rsid w:val="0086043A"/>
    <w:rsid w:val="00860514"/>
    <w:rsid w:val="0086064A"/>
    <w:rsid w:val="00860787"/>
    <w:rsid w:val="00860E13"/>
    <w:rsid w:val="00861750"/>
    <w:rsid w:val="00861A74"/>
    <w:rsid w:val="00861BDC"/>
    <w:rsid w:val="00861DD1"/>
    <w:rsid w:val="008621F0"/>
    <w:rsid w:val="00862707"/>
    <w:rsid w:val="008627D1"/>
    <w:rsid w:val="008627DE"/>
    <w:rsid w:val="00863279"/>
    <w:rsid w:val="008642F3"/>
    <w:rsid w:val="00864C96"/>
    <w:rsid w:val="00865574"/>
    <w:rsid w:val="00865DBA"/>
    <w:rsid w:val="00866162"/>
    <w:rsid w:val="00866953"/>
    <w:rsid w:val="008670C8"/>
    <w:rsid w:val="00867231"/>
    <w:rsid w:val="00867623"/>
    <w:rsid w:val="008676C6"/>
    <w:rsid w:val="00867999"/>
    <w:rsid w:val="00867A88"/>
    <w:rsid w:val="00867D3F"/>
    <w:rsid w:val="00867E57"/>
    <w:rsid w:val="00870771"/>
    <w:rsid w:val="008708F0"/>
    <w:rsid w:val="00870DAA"/>
    <w:rsid w:val="00870F0D"/>
    <w:rsid w:val="00871462"/>
    <w:rsid w:val="00871A96"/>
    <w:rsid w:val="00871B35"/>
    <w:rsid w:val="0087212E"/>
    <w:rsid w:val="008722F5"/>
    <w:rsid w:val="00872963"/>
    <w:rsid w:val="008735BC"/>
    <w:rsid w:val="00873BBD"/>
    <w:rsid w:val="00874D24"/>
    <w:rsid w:val="00875EDB"/>
    <w:rsid w:val="00875F5C"/>
    <w:rsid w:val="008760FA"/>
    <w:rsid w:val="0087617A"/>
    <w:rsid w:val="00877268"/>
    <w:rsid w:val="008776A1"/>
    <w:rsid w:val="00877AC3"/>
    <w:rsid w:val="00877D4B"/>
    <w:rsid w:val="008812F0"/>
    <w:rsid w:val="00881B14"/>
    <w:rsid w:val="00881D22"/>
    <w:rsid w:val="0088232D"/>
    <w:rsid w:val="00882390"/>
    <w:rsid w:val="0088243A"/>
    <w:rsid w:val="0088297B"/>
    <w:rsid w:val="0088450A"/>
    <w:rsid w:val="008846C1"/>
    <w:rsid w:val="008849C7"/>
    <w:rsid w:val="00884D38"/>
    <w:rsid w:val="00885558"/>
    <w:rsid w:val="00885CD0"/>
    <w:rsid w:val="0088607A"/>
    <w:rsid w:val="008862E8"/>
    <w:rsid w:val="008867D8"/>
    <w:rsid w:val="00886930"/>
    <w:rsid w:val="00886BA6"/>
    <w:rsid w:val="00886BB7"/>
    <w:rsid w:val="00887034"/>
    <w:rsid w:val="0088718C"/>
    <w:rsid w:val="008874F2"/>
    <w:rsid w:val="00887A48"/>
    <w:rsid w:val="00887EAB"/>
    <w:rsid w:val="008901A0"/>
    <w:rsid w:val="008905BE"/>
    <w:rsid w:val="00890B1C"/>
    <w:rsid w:val="00890EF5"/>
    <w:rsid w:val="00891779"/>
    <w:rsid w:val="0089198E"/>
    <w:rsid w:val="0089248B"/>
    <w:rsid w:val="008924D6"/>
    <w:rsid w:val="00892C0A"/>
    <w:rsid w:val="00892CFB"/>
    <w:rsid w:val="00892D23"/>
    <w:rsid w:val="0089371A"/>
    <w:rsid w:val="008939CA"/>
    <w:rsid w:val="00893A47"/>
    <w:rsid w:val="00893CA0"/>
    <w:rsid w:val="00894025"/>
    <w:rsid w:val="00894046"/>
    <w:rsid w:val="008943E4"/>
    <w:rsid w:val="008948AF"/>
    <w:rsid w:val="00894C14"/>
    <w:rsid w:val="008950C6"/>
    <w:rsid w:val="008950DC"/>
    <w:rsid w:val="00895EA9"/>
    <w:rsid w:val="00896449"/>
    <w:rsid w:val="00896C88"/>
    <w:rsid w:val="00896E94"/>
    <w:rsid w:val="00897B60"/>
    <w:rsid w:val="008A079C"/>
    <w:rsid w:val="008A0D93"/>
    <w:rsid w:val="008A0FCF"/>
    <w:rsid w:val="008A1256"/>
    <w:rsid w:val="008A1ACA"/>
    <w:rsid w:val="008A22B6"/>
    <w:rsid w:val="008A24F9"/>
    <w:rsid w:val="008A30AE"/>
    <w:rsid w:val="008A34AE"/>
    <w:rsid w:val="008A3ABD"/>
    <w:rsid w:val="008A4235"/>
    <w:rsid w:val="008A4690"/>
    <w:rsid w:val="008A46E2"/>
    <w:rsid w:val="008A52AF"/>
    <w:rsid w:val="008A5D0B"/>
    <w:rsid w:val="008A699E"/>
    <w:rsid w:val="008A6A80"/>
    <w:rsid w:val="008A6B19"/>
    <w:rsid w:val="008A6DD3"/>
    <w:rsid w:val="008A70C7"/>
    <w:rsid w:val="008A77A1"/>
    <w:rsid w:val="008A77F5"/>
    <w:rsid w:val="008A7B1D"/>
    <w:rsid w:val="008A7EE0"/>
    <w:rsid w:val="008A7F76"/>
    <w:rsid w:val="008B00E1"/>
    <w:rsid w:val="008B05BC"/>
    <w:rsid w:val="008B0723"/>
    <w:rsid w:val="008B0887"/>
    <w:rsid w:val="008B11CA"/>
    <w:rsid w:val="008B15E2"/>
    <w:rsid w:val="008B186E"/>
    <w:rsid w:val="008B1FEC"/>
    <w:rsid w:val="008B2384"/>
    <w:rsid w:val="008B2732"/>
    <w:rsid w:val="008B27CC"/>
    <w:rsid w:val="008B2970"/>
    <w:rsid w:val="008B2D53"/>
    <w:rsid w:val="008B2EA2"/>
    <w:rsid w:val="008B317E"/>
    <w:rsid w:val="008B380F"/>
    <w:rsid w:val="008B3DE2"/>
    <w:rsid w:val="008B5F27"/>
    <w:rsid w:val="008B6DAD"/>
    <w:rsid w:val="008B7F72"/>
    <w:rsid w:val="008C079D"/>
    <w:rsid w:val="008C0C22"/>
    <w:rsid w:val="008C12EF"/>
    <w:rsid w:val="008C1324"/>
    <w:rsid w:val="008C1D32"/>
    <w:rsid w:val="008C1FB7"/>
    <w:rsid w:val="008C26BF"/>
    <w:rsid w:val="008C278A"/>
    <w:rsid w:val="008C2864"/>
    <w:rsid w:val="008C2C08"/>
    <w:rsid w:val="008C2E4F"/>
    <w:rsid w:val="008C3128"/>
    <w:rsid w:val="008C33FF"/>
    <w:rsid w:val="008C344C"/>
    <w:rsid w:val="008C3CAA"/>
    <w:rsid w:val="008C3CBE"/>
    <w:rsid w:val="008C3DC6"/>
    <w:rsid w:val="008C4317"/>
    <w:rsid w:val="008C465D"/>
    <w:rsid w:val="008C48B9"/>
    <w:rsid w:val="008C48F2"/>
    <w:rsid w:val="008C4C4E"/>
    <w:rsid w:val="008C50E8"/>
    <w:rsid w:val="008C5177"/>
    <w:rsid w:val="008C54DF"/>
    <w:rsid w:val="008C5545"/>
    <w:rsid w:val="008C5BE3"/>
    <w:rsid w:val="008C6040"/>
    <w:rsid w:val="008C643C"/>
    <w:rsid w:val="008C6ED7"/>
    <w:rsid w:val="008C77D4"/>
    <w:rsid w:val="008C7B29"/>
    <w:rsid w:val="008C7B6D"/>
    <w:rsid w:val="008C7C6B"/>
    <w:rsid w:val="008D0C5F"/>
    <w:rsid w:val="008D1141"/>
    <w:rsid w:val="008D14B2"/>
    <w:rsid w:val="008D1B9E"/>
    <w:rsid w:val="008D20E4"/>
    <w:rsid w:val="008D21D1"/>
    <w:rsid w:val="008D2393"/>
    <w:rsid w:val="008D2550"/>
    <w:rsid w:val="008D3B1C"/>
    <w:rsid w:val="008D41F1"/>
    <w:rsid w:val="008D4342"/>
    <w:rsid w:val="008D4790"/>
    <w:rsid w:val="008D483D"/>
    <w:rsid w:val="008D540F"/>
    <w:rsid w:val="008D55DC"/>
    <w:rsid w:val="008D572D"/>
    <w:rsid w:val="008D5C97"/>
    <w:rsid w:val="008D5E69"/>
    <w:rsid w:val="008D6372"/>
    <w:rsid w:val="008D6CE4"/>
    <w:rsid w:val="008D6D5E"/>
    <w:rsid w:val="008D6DD0"/>
    <w:rsid w:val="008D7359"/>
    <w:rsid w:val="008D75A3"/>
    <w:rsid w:val="008D777C"/>
    <w:rsid w:val="008D7B97"/>
    <w:rsid w:val="008D7E84"/>
    <w:rsid w:val="008E06DA"/>
    <w:rsid w:val="008E1099"/>
    <w:rsid w:val="008E127F"/>
    <w:rsid w:val="008E1A5E"/>
    <w:rsid w:val="008E1C47"/>
    <w:rsid w:val="008E2EA9"/>
    <w:rsid w:val="008E37EA"/>
    <w:rsid w:val="008E3BB7"/>
    <w:rsid w:val="008E3DBB"/>
    <w:rsid w:val="008E3F72"/>
    <w:rsid w:val="008E5014"/>
    <w:rsid w:val="008E578C"/>
    <w:rsid w:val="008E5F6C"/>
    <w:rsid w:val="008E61A1"/>
    <w:rsid w:val="008E6602"/>
    <w:rsid w:val="008E66BF"/>
    <w:rsid w:val="008E675C"/>
    <w:rsid w:val="008E6865"/>
    <w:rsid w:val="008E687C"/>
    <w:rsid w:val="008F02DC"/>
    <w:rsid w:val="008F0E3B"/>
    <w:rsid w:val="008F21CE"/>
    <w:rsid w:val="008F2E2E"/>
    <w:rsid w:val="008F2E84"/>
    <w:rsid w:val="008F3A7C"/>
    <w:rsid w:val="008F3E2F"/>
    <w:rsid w:val="008F3FE8"/>
    <w:rsid w:val="008F42E1"/>
    <w:rsid w:val="008F4321"/>
    <w:rsid w:val="008F43A3"/>
    <w:rsid w:val="008F4424"/>
    <w:rsid w:val="008F4D80"/>
    <w:rsid w:val="008F501A"/>
    <w:rsid w:val="008F56A9"/>
    <w:rsid w:val="008F5718"/>
    <w:rsid w:val="008F5A26"/>
    <w:rsid w:val="008F5E61"/>
    <w:rsid w:val="008F61B0"/>
    <w:rsid w:val="008F6399"/>
    <w:rsid w:val="008F640F"/>
    <w:rsid w:val="008F6928"/>
    <w:rsid w:val="008F698A"/>
    <w:rsid w:val="008F6AD8"/>
    <w:rsid w:val="008F6BAE"/>
    <w:rsid w:val="008F6E83"/>
    <w:rsid w:val="008F6FB9"/>
    <w:rsid w:val="008F71FD"/>
    <w:rsid w:val="008F72E1"/>
    <w:rsid w:val="008F7BAB"/>
    <w:rsid w:val="009003DB"/>
    <w:rsid w:val="0090057F"/>
    <w:rsid w:val="00900C08"/>
    <w:rsid w:val="00900DE5"/>
    <w:rsid w:val="0090141C"/>
    <w:rsid w:val="0090162F"/>
    <w:rsid w:val="0090174A"/>
    <w:rsid w:val="00901F62"/>
    <w:rsid w:val="009029D7"/>
    <w:rsid w:val="00902A91"/>
    <w:rsid w:val="00902CB2"/>
    <w:rsid w:val="00902DB3"/>
    <w:rsid w:val="009038B2"/>
    <w:rsid w:val="009040A8"/>
    <w:rsid w:val="00904487"/>
    <w:rsid w:val="00904871"/>
    <w:rsid w:val="00904F95"/>
    <w:rsid w:val="00904FB5"/>
    <w:rsid w:val="0090593E"/>
    <w:rsid w:val="0090621D"/>
    <w:rsid w:val="0090649C"/>
    <w:rsid w:val="00906521"/>
    <w:rsid w:val="00906A47"/>
    <w:rsid w:val="00907179"/>
    <w:rsid w:val="009073EF"/>
    <w:rsid w:val="009076AB"/>
    <w:rsid w:val="00907768"/>
    <w:rsid w:val="00907FB8"/>
    <w:rsid w:val="00910102"/>
    <w:rsid w:val="009107CC"/>
    <w:rsid w:val="00911204"/>
    <w:rsid w:val="009116C6"/>
    <w:rsid w:val="00911D22"/>
    <w:rsid w:val="0091259C"/>
    <w:rsid w:val="0091262B"/>
    <w:rsid w:val="00912694"/>
    <w:rsid w:val="009126F7"/>
    <w:rsid w:val="009131F7"/>
    <w:rsid w:val="00913223"/>
    <w:rsid w:val="00913AC2"/>
    <w:rsid w:val="0091480B"/>
    <w:rsid w:val="00914C25"/>
    <w:rsid w:val="00914DF6"/>
    <w:rsid w:val="009150C5"/>
    <w:rsid w:val="0091518B"/>
    <w:rsid w:val="0091590B"/>
    <w:rsid w:val="00915F7E"/>
    <w:rsid w:val="00916241"/>
    <w:rsid w:val="00916714"/>
    <w:rsid w:val="009168A5"/>
    <w:rsid w:val="0091698D"/>
    <w:rsid w:val="00916D5D"/>
    <w:rsid w:val="0091717B"/>
    <w:rsid w:val="009175E3"/>
    <w:rsid w:val="00917B93"/>
    <w:rsid w:val="00917CC1"/>
    <w:rsid w:val="009202F2"/>
    <w:rsid w:val="00920357"/>
    <w:rsid w:val="009203E2"/>
    <w:rsid w:val="00920673"/>
    <w:rsid w:val="0092089A"/>
    <w:rsid w:val="00920980"/>
    <w:rsid w:val="00920E32"/>
    <w:rsid w:val="00920E6F"/>
    <w:rsid w:val="009211E9"/>
    <w:rsid w:val="009214D4"/>
    <w:rsid w:val="0092159B"/>
    <w:rsid w:val="00921866"/>
    <w:rsid w:val="00921BFD"/>
    <w:rsid w:val="009225B0"/>
    <w:rsid w:val="00922A49"/>
    <w:rsid w:val="00922E87"/>
    <w:rsid w:val="009230A1"/>
    <w:rsid w:val="00923421"/>
    <w:rsid w:val="00923781"/>
    <w:rsid w:val="00923D85"/>
    <w:rsid w:val="00923DB9"/>
    <w:rsid w:val="00923F6A"/>
    <w:rsid w:val="009242BF"/>
    <w:rsid w:val="00924619"/>
    <w:rsid w:val="0092462A"/>
    <w:rsid w:val="00924724"/>
    <w:rsid w:val="009247E3"/>
    <w:rsid w:val="00924A3E"/>
    <w:rsid w:val="00925637"/>
    <w:rsid w:val="009256A6"/>
    <w:rsid w:val="00925754"/>
    <w:rsid w:val="00925C4D"/>
    <w:rsid w:val="00925D77"/>
    <w:rsid w:val="0092682E"/>
    <w:rsid w:val="00927143"/>
    <w:rsid w:val="00927661"/>
    <w:rsid w:val="009278B3"/>
    <w:rsid w:val="009303DC"/>
    <w:rsid w:val="00930445"/>
    <w:rsid w:val="00930650"/>
    <w:rsid w:val="00930937"/>
    <w:rsid w:val="00930CCF"/>
    <w:rsid w:val="009310C0"/>
    <w:rsid w:val="0093183C"/>
    <w:rsid w:val="00931B61"/>
    <w:rsid w:val="00931E0C"/>
    <w:rsid w:val="00931FCB"/>
    <w:rsid w:val="00932537"/>
    <w:rsid w:val="00932573"/>
    <w:rsid w:val="00932F41"/>
    <w:rsid w:val="009332B6"/>
    <w:rsid w:val="00933822"/>
    <w:rsid w:val="00933C99"/>
    <w:rsid w:val="009342A1"/>
    <w:rsid w:val="009345A0"/>
    <w:rsid w:val="009346EE"/>
    <w:rsid w:val="0093472F"/>
    <w:rsid w:val="009348F3"/>
    <w:rsid w:val="00934902"/>
    <w:rsid w:val="00935321"/>
    <w:rsid w:val="00935346"/>
    <w:rsid w:val="00935A89"/>
    <w:rsid w:val="00935EA9"/>
    <w:rsid w:val="00936D31"/>
    <w:rsid w:val="00936EEF"/>
    <w:rsid w:val="00937226"/>
    <w:rsid w:val="0093742A"/>
    <w:rsid w:val="00937D02"/>
    <w:rsid w:val="009401EF"/>
    <w:rsid w:val="00940744"/>
    <w:rsid w:val="00940CE5"/>
    <w:rsid w:val="00940F4E"/>
    <w:rsid w:val="0094114D"/>
    <w:rsid w:val="009411E7"/>
    <w:rsid w:val="0094159F"/>
    <w:rsid w:val="00941DFB"/>
    <w:rsid w:val="00941F30"/>
    <w:rsid w:val="00941F74"/>
    <w:rsid w:val="00942031"/>
    <w:rsid w:val="00942FDC"/>
    <w:rsid w:val="009434B8"/>
    <w:rsid w:val="0094409E"/>
    <w:rsid w:val="009449DC"/>
    <w:rsid w:val="00944A09"/>
    <w:rsid w:val="00944F62"/>
    <w:rsid w:val="009453FC"/>
    <w:rsid w:val="00945480"/>
    <w:rsid w:val="00945567"/>
    <w:rsid w:val="00945803"/>
    <w:rsid w:val="0094633F"/>
    <w:rsid w:val="009465FC"/>
    <w:rsid w:val="00946775"/>
    <w:rsid w:val="009469D8"/>
    <w:rsid w:val="00946C4F"/>
    <w:rsid w:val="00946F95"/>
    <w:rsid w:val="009473DE"/>
    <w:rsid w:val="0094795C"/>
    <w:rsid w:val="00947DA1"/>
    <w:rsid w:val="00950544"/>
    <w:rsid w:val="00950AD0"/>
    <w:rsid w:val="00950E95"/>
    <w:rsid w:val="00951416"/>
    <w:rsid w:val="009514FB"/>
    <w:rsid w:val="00951632"/>
    <w:rsid w:val="009516DB"/>
    <w:rsid w:val="0095181F"/>
    <w:rsid w:val="00951C20"/>
    <w:rsid w:val="00951C3A"/>
    <w:rsid w:val="0095213D"/>
    <w:rsid w:val="00952275"/>
    <w:rsid w:val="009525A3"/>
    <w:rsid w:val="00952DB4"/>
    <w:rsid w:val="00952E67"/>
    <w:rsid w:val="00953399"/>
    <w:rsid w:val="00953845"/>
    <w:rsid w:val="00953CF5"/>
    <w:rsid w:val="00953EB0"/>
    <w:rsid w:val="009540BF"/>
    <w:rsid w:val="00954A56"/>
    <w:rsid w:val="00955055"/>
    <w:rsid w:val="009557C3"/>
    <w:rsid w:val="00955955"/>
    <w:rsid w:val="00955B74"/>
    <w:rsid w:val="00955DB6"/>
    <w:rsid w:val="00955E3E"/>
    <w:rsid w:val="009560D5"/>
    <w:rsid w:val="00956281"/>
    <w:rsid w:val="00956400"/>
    <w:rsid w:val="00956B7C"/>
    <w:rsid w:val="00956D1F"/>
    <w:rsid w:val="00956EFB"/>
    <w:rsid w:val="0095749A"/>
    <w:rsid w:val="00957639"/>
    <w:rsid w:val="00957951"/>
    <w:rsid w:val="00957AB3"/>
    <w:rsid w:val="00957DDA"/>
    <w:rsid w:val="00960629"/>
    <w:rsid w:val="00960919"/>
    <w:rsid w:val="00960ECB"/>
    <w:rsid w:val="0096158C"/>
    <w:rsid w:val="00961979"/>
    <w:rsid w:val="009620C9"/>
    <w:rsid w:val="0096214D"/>
    <w:rsid w:val="0096235D"/>
    <w:rsid w:val="00962671"/>
    <w:rsid w:val="009627FD"/>
    <w:rsid w:val="00962C37"/>
    <w:rsid w:val="00963404"/>
    <w:rsid w:val="0096389B"/>
    <w:rsid w:val="00963A2C"/>
    <w:rsid w:val="00963A73"/>
    <w:rsid w:val="0096412D"/>
    <w:rsid w:val="0096511A"/>
    <w:rsid w:val="00965133"/>
    <w:rsid w:val="00965231"/>
    <w:rsid w:val="0096531C"/>
    <w:rsid w:val="009654A8"/>
    <w:rsid w:val="0096584A"/>
    <w:rsid w:val="00965DC4"/>
    <w:rsid w:val="00966C62"/>
    <w:rsid w:val="00966D50"/>
    <w:rsid w:val="00967862"/>
    <w:rsid w:val="00967AE8"/>
    <w:rsid w:val="00967D6B"/>
    <w:rsid w:val="00970138"/>
    <w:rsid w:val="009706D9"/>
    <w:rsid w:val="0097150E"/>
    <w:rsid w:val="009718DE"/>
    <w:rsid w:val="00971F0C"/>
    <w:rsid w:val="009722DE"/>
    <w:rsid w:val="0097247E"/>
    <w:rsid w:val="00973F65"/>
    <w:rsid w:val="00974939"/>
    <w:rsid w:val="00974AB1"/>
    <w:rsid w:val="00974E66"/>
    <w:rsid w:val="00974E8F"/>
    <w:rsid w:val="00975A23"/>
    <w:rsid w:val="00975E10"/>
    <w:rsid w:val="0097698F"/>
    <w:rsid w:val="00977FEC"/>
    <w:rsid w:val="0098078A"/>
    <w:rsid w:val="009811E2"/>
    <w:rsid w:val="009812D7"/>
    <w:rsid w:val="0098163A"/>
    <w:rsid w:val="00981EF3"/>
    <w:rsid w:val="0098242B"/>
    <w:rsid w:val="00982B68"/>
    <w:rsid w:val="00982E9B"/>
    <w:rsid w:val="00982F62"/>
    <w:rsid w:val="00983662"/>
    <w:rsid w:val="0098370E"/>
    <w:rsid w:val="009837DA"/>
    <w:rsid w:val="00983AB3"/>
    <w:rsid w:val="00983E1B"/>
    <w:rsid w:val="009842D8"/>
    <w:rsid w:val="00984774"/>
    <w:rsid w:val="00984ABB"/>
    <w:rsid w:val="00984E35"/>
    <w:rsid w:val="009850F4"/>
    <w:rsid w:val="009851EF"/>
    <w:rsid w:val="009855BB"/>
    <w:rsid w:val="00985BB8"/>
    <w:rsid w:val="00985D32"/>
    <w:rsid w:val="00985EA9"/>
    <w:rsid w:val="00986334"/>
    <w:rsid w:val="009866C7"/>
    <w:rsid w:val="00986766"/>
    <w:rsid w:val="009867DD"/>
    <w:rsid w:val="0098690A"/>
    <w:rsid w:val="009872A2"/>
    <w:rsid w:val="00987F69"/>
    <w:rsid w:val="00990661"/>
    <w:rsid w:val="009908AE"/>
    <w:rsid w:val="00990C75"/>
    <w:rsid w:val="00991170"/>
    <w:rsid w:val="00991934"/>
    <w:rsid w:val="009927D9"/>
    <w:rsid w:val="00992BD2"/>
    <w:rsid w:val="00992D36"/>
    <w:rsid w:val="00993CA3"/>
    <w:rsid w:val="00993F39"/>
    <w:rsid w:val="00993FE6"/>
    <w:rsid w:val="00994658"/>
    <w:rsid w:val="0099482E"/>
    <w:rsid w:val="009949DF"/>
    <w:rsid w:val="009967F1"/>
    <w:rsid w:val="0099684A"/>
    <w:rsid w:val="0099743E"/>
    <w:rsid w:val="009978E9"/>
    <w:rsid w:val="009A01BB"/>
    <w:rsid w:val="009A04A6"/>
    <w:rsid w:val="009A0E61"/>
    <w:rsid w:val="009A0FB7"/>
    <w:rsid w:val="009A1325"/>
    <w:rsid w:val="009A13C1"/>
    <w:rsid w:val="009A1573"/>
    <w:rsid w:val="009A1E07"/>
    <w:rsid w:val="009A1E7E"/>
    <w:rsid w:val="009A26EB"/>
    <w:rsid w:val="009A2970"/>
    <w:rsid w:val="009A2D26"/>
    <w:rsid w:val="009A424B"/>
    <w:rsid w:val="009A455F"/>
    <w:rsid w:val="009A4E4C"/>
    <w:rsid w:val="009A5335"/>
    <w:rsid w:val="009A542F"/>
    <w:rsid w:val="009A71B3"/>
    <w:rsid w:val="009A7A8A"/>
    <w:rsid w:val="009A7AF5"/>
    <w:rsid w:val="009A7C67"/>
    <w:rsid w:val="009B0F21"/>
    <w:rsid w:val="009B102C"/>
    <w:rsid w:val="009B1521"/>
    <w:rsid w:val="009B236A"/>
    <w:rsid w:val="009B279A"/>
    <w:rsid w:val="009B32A9"/>
    <w:rsid w:val="009B34A6"/>
    <w:rsid w:val="009B3619"/>
    <w:rsid w:val="009B3869"/>
    <w:rsid w:val="009B396C"/>
    <w:rsid w:val="009B488D"/>
    <w:rsid w:val="009B5397"/>
    <w:rsid w:val="009B58AC"/>
    <w:rsid w:val="009B58F3"/>
    <w:rsid w:val="009B6382"/>
    <w:rsid w:val="009B6D41"/>
    <w:rsid w:val="009B6D69"/>
    <w:rsid w:val="009B6E41"/>
    <w:rsid w:val="009B7959"/>
    <w:rsid w:val="009C03BE"/>
    <w:rsid w:val="009C0751"/>
    <w:rsid w:val="009C0D36"/>
    <w:rsid w:val="009C0F79"/>
    <w:rsid w:val="009C20F1"/>
    <w:rsid w:val="009C21C4"/>
    <w:rsid w:val="009C22F6"/>
    <w:rsid w:val="009C2378"/>
    <w:rsid w:val="009C258D"/>
    <w:rsid w:val="009C2644"/>
    <w:rsid w:val="009C27EA"/>
    <w:rsid w:val="009C2841"/>
    <w:rsid w:val="009C29D1"/>
    <w:rsid w:val="009C3112"/>
    <w:rsid w:val="009C32D1"/>
    <w:rsid w:val="009C3716"/>
    <w:rsid w:val="009C405A"/>
    <w:rsid w:val="009C4144"/>
    <w:rsid w:val="009C42FA"/>
    <w:rsid w:val="009C4E41"/>
    <w:rsid w:val="009C5363"/>
    <w:rsid w:val="009C59CB"/>
    <w:rsid w:val="009C5EBB"/>
    <w:rsid w:val="009C6132"/>
    <w:rsid w:val="009C64BC"/>
    <w:rsid w:val="009C65B5"/>
    <w:rsid w:val="009C6E26"/>
    <w:rsid w:val="009C73E8"/>
    <w:rsid w:val="009C787B"/>
    <w:rsid w:val="009C7CE1"/>
    <w:rsid w:val="009D0BB8"/>
    <w:rsid w:val="009D0C66"/>
    <w:rsid w:val="009D0C8E"/>
    <w:rsid w:val="009D0FD3"/>
    <w:rsid w:val="009D1077"/>
    <w:rsid w:val="009D1322"/>
    <w:rsid w:val="009D1F8B"/>
    <w:rsid w:val="009D24E5"/>
    <w:rsid w:val="009D295A"/>
    <w:rsid w:val="009D2DEC"/>
    <w:rsid w:val="009D3516"/>
    <w:rsid w:val="009D3F2C"/>
    <w:rsid w:val="009D450D"/>
    <w:rsid w:val="009D4B6D"/>
    <w:rsid w:val="009D5960"/>
    <w:rsid w:val="009D6879"/>
    <w:rsid w:val="009D6C07"/>
    <w:rsid w:val="009D7077"/>
    <w:rsid w:val="009D712F"/>
    <w:rsid w:val="009E02C8"/>
    <w:rsid w:val="009E08FB"/>
    <w:rsid w:val="009E0B11"/>
    <w:rsid w:val="009E0B3C"/>
    <w:rsid w:val="009E0EE4"/>
    <w:rsid w:val="009E13DA"/>
    <w:rsid w:val="009E14D7"/>
    <w:rsid w:val="009E26BF"/>
    <w:rsid w:val="009E2CA3"/>
    <w:rsid w:val="009E3117"/>
    <w:rsid w:val="009E34F8"/>
    <w:rsid w:val="009E38D3"/>
    <w:rsid w:val="009E3E02"/>
    <w:rsid w:val="009E4175"/>
    <w:rsid w:val="009E41D6"/>
    <w:rsid w:val="009E421D"/>
    <w:rsid w:val="009E4223"/>
    <w:rsid w:val="009E42D1"/>
    <w:rsid w:val="009E4E35"/>
    <w:rsid w:val="009E5082"/>
    <w:rsid w:val="009E561F"/>
    <w:rsid w:val="009E586F"/>
    <w:rsid w:val="009E5AC9"/>
    <w:rsid w:val="009E6012"/>
    <w:rsid w:val="009E65A6"/>
    <w:rsid w:val="009E78C9"/>
    <w:rsid w:val="009E7F71"/>
    <w:rsid w:val="009F0C12"/>
    <w:rsid w:val="009F1079"/>
    <w:rsid w:val="009F231E"/>
    <w:rsid w:val="009F2887"/>
    <w:rsid w:val="009F3C3A"/>
    <w:rsid w:val="009F3EA0"/>
    <w:rsid w:val="009F40AC"/>
    <w:rsid w:val="009F4336"/>
    <w:rsid w:val="009F44D0"/>
    <w:rsid w:val="009F4BB6"/>
    <w:rsid w:val="009F4BDC"/>
    <w:rsid w:val="009F5102"/>
    <w:rsid w:val="009F530E"/>
    <w:rsid w:val="009F57EA"/>
    <w:rsid w:val="009F597D"/>
    <w:rsid w:val="009F5AEC"/>
    <w:rsid w:val="009F5DBB"/>
    <w:rsid w:val="009F6112"/>
    <w:rsid w:val="009F6E8D"/>
    <w:rsid w:val="009F6EB8"/>
    <w:rsid w:val="009F72E4"/>
    <w:rsid w:val="009F7F0F"/>
    <w:rsid w:val="009F7F73"/>
    <w:rsid w:val="00A00D03"/>
    <w:rsid w:val="00A01071"/>
    <w:rsid w:val="00A01B57"/>
    <w:rsid w:val="00A022BC"/>
    <w:rsid w:val="00A02701"/>
    <w:rsid w:val="00A02995"/>
    <w:rsid w:val="00A03F0C"/>
    <w:rsid w:val="00A04015"/>
    <w:rsid w:val="00A05635"/>
    <w:rsid w:val="00A05856"/>
    <w:rsid w:val="00A05A62"/>
    <w:rsid w:val="00A06141"/>
    <w:rsid w:val="00A061BF"/>
    <w:rsid w:val="00A06DAC"/>
    <w:rsid w:val="00A06DEB"/>
    <w:rsid w:val="00A073B3"/>
    <w:rsid w:val="00A0744E"/>
    <w:rsid w:val="00A10753"/>
    <w:rsid w:val="00A10A0D"/>
    <w:rsid w:val="00A10D7E"/>
    <w:rsid w:val="00A112CE"/>
    <w:rsid w:val="00A11BC6"/>
    <w:rsid w:val="00A1234E"/>
    <w:rsid w:val="00A1289D"/>
    <w:rsid w:val="00A12BA8"/>
    <w:rsid w:val="00A1313F"/>
    <w:rsid w:val="00A1338E"/>
    <w:rsid w:val="00A13AA4"/>
    <w:rsid w:val="00A13CB0"/>
    <w:rsid w:val="00A13FD6"/>
    <w:rsid w:val="00A13FF6"/>
    <w:rsid w:val="00A1400B"/>
    <w:rsid w:val="00A14139"/>
    <w:rsid w:val="00A14DCA"/>
    <w:rsid w:val="00A15000"/>
    <w:rsid w:val="00A154A1"/>
    <w:rsid w:val="00A16379"/>
    <w:rsid w:val="00A16384"/>
    <w:rsid w:val="00A16A68"/>
    <w:rsid w:val="00A16DE2"/>
    <w:rsid w:val="00A16FEC"/>
    <w:rsid w:val="00A1738A"/>
    <w:rsid w:val="00A17646"/>
    <w:rsid w:val="00A17FA7"/>
    <w:rsid w:val="00A205CB"/>
    <w:rsid w:val="00A20932"/>
    <w:rsid w:val="00A21273"/>
    <w:rsid w:val="00A2180D"/>
    <w:rsid w:val="00A21935"/>
    <w:rsid w:val="00A21CD3"/>
    <w:rsid w:val="00A22188"/>
    <w:rsid w:val="00A227BF"/>
    <w:rsid w:val="00A22FBB"/>
    <w:rsid w:val="00A232B0"/>
    <w:rsid w:val="00A24228"/>
    <w:rsid w:val="00A24F6D"/>
    <w:rsid w:val="00A253AE"/>
    <w:rsid w:val="00A25848"/>
    <w:rsid w:val="00A264D8"/>
    <w:rsid w:val="00A26BCA"/>
    <w:rsid w:val="00A2710B"/>
    <w:rsid w:val="00A27383"/>
    <w:rsid w:val="00A27E30"/>
    <w:rsid w:val="00A27FE5"/>
    <w:rsid w:val="00A3007F"/>
    <w:rsid w:val="00A30129"/>
    <w:rsid w:val="00A303DE"/>
    <w:rsid w:val="00A3072A"/>
    <w:rsid w:val="00A30835"/>
    <w:rsid w:val="00A30F39"/>
    <w:rsid w:val="00A31EA1"/>
    <w:rsid w:val="00A322C1"/>
    <w:rsid w:val="00A32446"/>
    <w:rsid w:val="00A32C15"/>
    <w:rsid w:val="00A3335C"/>
    <w:rsid w:val="00A338AD"/>
    <w:rsid w:val="00A33C31"/>
    <w:rsid w:val="00A33C5A"/>
    <w:rsid w:val="00A34AE2"/>
    <w:rsid w:val="00A355BD"/>
    <w:rsid w:val="00A35CA0"/>
    <w:rsid w:val="00A35ECE"/>
    <w:rsid w:val="00A3601C"/>
    <w:rsid w:val="00A36273"/>
    <w:rsid w:val="00A36413"/>
    <w:rsid w:val="00A36978"/>
    <w:rsid w:val="00A370F0"/>
    <w:rsid w:val="00A37177"/>
    <w:rsid w:val="00A37842"/>
    <w:rsid w:val="00A37E45"/>
    <w:rsid w:val="00A40195"/>
    <w:rsid w:val="00A406C2"/>
    <w:rsid w:val="00A406DC"/>
    <w:rsid w:val="00A40990"/>
    <w:rsid w:val="00A40A68"/>
    <w:rsid w:val="00A411E4"/>
    <w:rsid w:val="00A41752"/>
    <w:rsid w:val="00A41E79"/>
    <w:rsid w:val="00A41E8E"/>
    <w:rsid w:val="00A41EA1"/>
    <w:rsid w:val="00A41FF6"/>
    <w:rsid w:val="00A4200B"/>
    <w:rsid w:val="00A42095"/>
    <w:rsid w:val="00A42243"/>
    <w:rsid w:val="00A423F4"/>
    <w:rsid w:val="00A4254A"/>
    <w:rsid w:val="00A42654"/>
    <w:rsid w:val="00A42C93"/>
    <w:rsid w:val="00A42C96"/>
    <w:rsid w:val="00A433F7"/>
    <w:rsid w:val="00A43997"/>
    <w:rsid w:val="00A43CF7"/>
    <w:rsid w:val="00A43D01"/>
    <w:rsid w:val="00A43F04"/>
    <w:rsid w:val="00A445F1"/>
    <w:rsid w:val="00A447F7"/>
    <w:rsid w:val="00A44B00"/>
    <w:rsid w:val="00A44D34"/>
    <w:rsid w:val="00A451FE"/>
    <w:rsid w:val="00A45237"/>
    <w:rsid w:val="00A45368"/>
    <w:rsid w:val="00A4555C"/>
    <w:rsid w:val="00A457B1"/>
    <w:rsid w:val="00A45977"/>
    <w:rsid w:val="00A45D23"/>
    <w:rsid w:val="00A45D4F"/>
    <w:rsid w:val="00A461AC"/>
    <w:rsid w:val="00A468E9"/>
    <w:rsid w:val="00A47380"/>
    <w:rsid w:val="00A477A3"/>
    <w:rsid w:val="00A47A77"/>
    <w:rsid w:val="00A47CD2"/>
    <w:rsid w:val="00A50295"/>
    <w:rsid w:val="00A507AF"/>
    <w:rsid w:val="00A50AE4"/>
    <w:rsid w:val="00A50DDF"/>
    <w:rsid w:val="00A50FB5"/>
    <w:rsid w:val="00A5143F"/>
    <w:rsid w:val="00A51A3D"/>
    <w:rsid w:val="00A51AB2"/>
    <w:rsid w:val="00A51CD1"/>
    <w:rsid w:val="00A51FED"/>
    <w:rsid w:val="00A52B28"/>
    <w:rsid w:val="00A53AF2"/>
    <w:rsid w:val="00A541E0"/>
    <w:rsid w:val="00A54D06"/>
    <w:rsid w:val="00A54E00"/>
    <w:rsid w:val="00A552C8"/>
    <w:rsid w:val="00A555CF"/>
    <w:rsid w:val="00A55B45"/>
    <w:rsid w:val="00A55D24"/>
    <w:rsid w:val="00A56262"/>
    <w:rsid w:val="00A563CA"/>
    <w:rsid w:val="00A563EC"/>
    <w:rsid w:val="00A56775"/>
    <w:rsid w:val="00A57207"/>
    <w:rsid w:val="00A576C9"/>
    <w:rsid w:val="00A579E8"/>
    <w:rsid w:val="00A57AEA"/>
    <w:rsid w:val="00A57CC1"/>
    <w:rsid w:val="00A60B51"/>
    <w:rsid w:val="00A61084"/>
    <w:rsid w:val="00A61387"/>
    <w:rsid w:val="00A61439"/>
    <w:rsid w:val="00A617C5"/>
    <w:rsid w:val="00A61DB1"/>
    <w:rsid w:val="00A6264C"/>
    <w:rsid w:val="00A62A2D"/>
    <w:rsid w:val="00A62B50"/>
    <w:rsid w:val="00A632C1"/>
    <w:rsid w:val="00A6383C"/>
    <w:rsid w:val="00A6383E"/>
    <w:rsid w:val="00A63997"/>
    <w:rsid w:val="00A63AB3"/>
    <w:rsid w:val="00A6446E"/>
    <w:rsid w:val="00A64608"/>
    <w:rsid w:val="00A64B41"/>
    <w:rsid w:val="00A64FCB"/>
    <w:rsid w:val="00A65418"/>
    <w:rsid w:val="00A65BAB"/>
    <w:rsid w:val="00A671FF"/>
    <w:rsid w:val="00A67B66"/>
    <w:rsid w:val="00A67F1B"/>
    <w:rsid w:val="00A70D22"/>
    <w:rsid w:val="00A712BF"/>
    <w:rsid w:val="00A716C2"/>
    <w:rsid w:val="00A7192A"/>
    <w:rsid w:val="00A71A00"/>
    <w:rsid w:val="00A71A96"/>
    <w:rsid w:val="00A71BC1"/>
    <w:rsid w:val="00A721F2"/>
    <w:rsid w:val="00A72304"/>
    <w:rsid w:val="00A728DC"/>
    <w:rsid w:val="00A72F04"/>
    <w:rsid w:val="00A72F0A"/>
    <w:rsid w:val="00A73199"/>
    <w:rsid w:val="00A731E7"/>
    <w:rsid w:val="00A73666"/>
    <w:rsid w:val="00A73EE2"/>
    <w:rsid w:val="00A74473"/>
    <w:rsid w:val="00A74715"/>
    <w:rsid w:val="00A74981"/>
    <w:rsid w:val="00A749D3"/>
    <w:rsid w:val="00A74E7B"/>
    <w:rsid w:val="00A74F15"/>
    <w:rsid w:val="00A75252"/>
    <w:rsid w:val="00A75FF2"/>
    <w:rsid w:val="00A76113"/>
    <w:rsid w:val="00A762E7"/>
    <w:rsid w:val="00A76448"/>
    <w:rsid w:val="00A76764"/>
    <w:rsid w:val="00A77311"/>
    <w:rsid w:val="00A7761E"/>
    <w:rsid w:val="00A776D6"/>
    <w:rsid w:val="00A7782F"/>
    <w:rsid w:val="00A77B08"/>
    <w:rsid w:val="00A77B4B"/>
    <w:rsid w:val="00A77F10"/>
    <w:rsid w:val="00A802CA"/>
    <w:rsid w:val="00A809C1"/>
    <w:rsid w:val="00A809D3"/>
    <w:rsid w:val="00A813C6"/>
    <w:rsid w:val="00A814F2"/>
    <w:rsid w:val="00A81C70"/>
    <w:rsid w:val="00A81E7C"/>
    <w:rsid w:val="00A826CB"/>
    <w:rsid w:val="00A82EF9"/>
    <w:rsid w:val="00A837A0"/>
    <w:rsid w:val="00A84553"/>
    <w:rsid w:val="00A845F1"/>
    <w:rsid w:val="00A84994"/>
    <w:rsid w:val="00A84AB9"/>
    <w:rsid w:val="00A85A58"/>
    <w:rsid w:val="00A863C7"/>
    <w:rsid w:val="00A86AC0"/>
    <w:rsid w:val="00A8759A"/>
    <w:rsid w:val="00A876BB"/>
    <w:rsid w:val="00A879CB"/>
    <w:rsid w:val="00A87C6B"/>
    <w:rsid w:val="00A906C1"/>
    <w:rsid w:val="00A9091A"/>
    <w:rsid w:val="00A90938"/>
    <w:rsid w:val="00A919D2"/>
    <w:rsid w:val="00A921C3"/>
    <w:rsid w:val="00A92227"/>
    <w:rsid w:val="00A92271"/>
    <w:rsid w:val="00A92C7F"/>
    <w:rsid w:val="00A93337"/>
    <w:rsid w:val="00A93AF7"/>
    <w:rsid w:val="00A93F48"/>
    <w:rsid w:val="00A9415E"/>
    <w:rsid w:val="00A94D9E"/>
    <w:rsid w:val="00A94EC4"/>
    <w:rsid w:val="00A9549C"/>
    <w:rsid w:val="00A956A6"/>
    <w:rsid w:val="00A95EB7"/>
    <w:rsid w:val="00A96375"/>
    <w:rsid w:val="00A96574"/>
    <w:rsid w:val="00A96744"/>
    <w:rsid w:val="00A969E2"/>
    <w:rsid w:val="00A96C18"/>
    <w:rsid w:val="00A96D22"/>
    <w:rsid w:val="00A96EDD"/>
    <w:rsid w:val="00A96F13"/>
    <w:rsid w:val="00A978BA"/>
    <w:rsid w:val="00A97CDB"/>
    <w:rsid w:val="00AA0430"/>
    <w:rsid w:val="00AA08AB"/>
    <w:rsid w:val="00AA08CC"/>
    <w:rsid w:val="00AA0A44"/>
    <w:rsid w:val="00AA1080"/>
    <w:rsid w:val="00AA14FA"/>
    <w:rsid w:val="00AA25F6"/>
    <w:rsid w:val="00AA36A9"/>
    <w:rsid w:val="00AA404D"/>
    <w:rsid w:val="00AA4394"/>
    <w:rsid w:val="00AA49D0"/>
    <w:rsid w:val="00AA4AA2"/>
    <w:rsid w:val="00AA4B99"/>
    <w:rsid w:val="00AA4BD1"/>
    <w:rsid w:val="00AA5899"/>
    <w:rsid w:val="00AA595E"/>
    <w:rsid w:val="00AA5A18"/>
    <w:rsid w:val="00AA5D39"/>
    <w:rsid w:val="00AA6048"/>
    <w:rsid w:val="00AA616B"/>
    <w:rsid w:val="00AA61D5"/>
    <w:rsid w:val="00AA6E54"/>
    <w:rsid w:val="00AA6F14"/>
    <w:rsid w:val="00AA7241"/>
    <w:rsid w:val="00AA7383"/>
    <w:rsid w:val="00AA741B"/>
    <w:rsid w:val="00AA78AF"/>
    <w:rsid w:val="00AB01A1"/>
    <w:rsid w:val="00AB041C"/>
    <w:rsid w:val="00AB0605"/>
    <w:rsid w:val="00AB1532"/>
    <w:rsid w:val="00AB1C8C"/>
    <w:rsid w:val="00AB1D52"/>
    <w:rsid w:val="00AB1F97"/>
    <w:rsid w:val="00AB21DB"/>
    <w:rsid w:val="00AB2A48"/>
    <w:rsid w:val="00AB2CCC"/>
    <w:rsid w:val="00AB2E83"/>
    <w:rsid w:val="00AB3677"/>
    <w:rsid w:val="00AB371C"/>
    <w:rsid w:val="00AB3C1F"/>
    <w:rsid w:val="00AB47DD"/>
    <w:rsid w:val="00AB4B82"/>
    <w:rsid w:val="00AB61D0"/>
    <w:rsid w:val="00AB6738"/>
    <w:rsid w:val="00AB6B37"/>
    <w:rsid w:val="00AB6F32"/>
    <w:rsid w:val="00AB703C"/>
    <w:rsid w:val="00AB7316"/>
    <w:rsid w:val="00AB7647"/>
    <w:rsid w:val="00AB768E"/>
    <w:rsid w:val="00AB7797"/>
    <w:rsid w:val="00AC0EE5"/>
    <w:rsid w:val="00AC128C"/>
    <w:rsid w:val="00AC1515"/>
    <w:rsid w:val="00AC1B4D"/>
    <w:rsid w:val="00AC1B57"/>
    <w:rsid w:val="00AC1F36"/>
    <w:rsid w:val="00AC25C4"/>
    <w:rsid w:val="00AC2617"/>
    <w:rsid w:val="00AC2BF7"/>
    <w:rsid w:val="00AC347C"/>
    <w:rsid w:val="00AC3C41"/>
    <w:rsid w:val="00AC3CAF"/>
    <w:rsid w:val="00AC3E6F"/>
    <w:rsid w:val="00AC4282"/>
    <w:rsid w:val="00AC4742"/>
    <w:rsid w:val="00AC484D"/>
    <w:rsid w:val="00AC5622"/>
    <w:rsid w:val="00AC58BD"/>
    <w:rsid w:val="00AC5E0A"/>
    <w:rsid w:val="00AC5E69"/>
    <w:rsid w:val="00AC662E"/>
    <w:rsid w:val="00AC6DF7"/>
    <w:rsid w:val="00AC6E41"/>
    <w:rsid w:val="00AC70B6"/>
    <w:rsid w:val="00AC7158"/>
    <w:rsid w:val="00AC719C"/>
    <w:rsid w:val="00AC74AD"/>
    <w:rsid w:val="00AC757C"/>
    <w:rsid w:val="00AC789B"/>
    <w:rsid w:val="00AD057B"/>
    <w:rsid w:val="00AD060A"/>
    <w:rsid w:val="00AD0947"/>
    <w:rsid w:val="00AD10B4"/>
    <w:rsid w:val="00AD1CDD"/>
    <w:rsid w:val="00AD1FF4"/>
    <w:rsid w:val="00AD2747"/>
    <w:rsid w:val="00AD2CF8"/>
    <w:rsid w:val="00AD3068"/>
    <w:rsid w:val="00AD341A"/>
    <w:rsid w:val="00AD3AC8"/>
    <w:rsid w:val="00AD4134"/>
    <w:rsid w:val="00AD42E1"/>
    <w:rsid w:val="00AD4C11"/>
    <w:rsid w:val="00AD55CD"/>
    <w:rsid w:val="00AD627F"/>
    <w:rsid w:val="00AD64E1"/>
    <w:rsid w:val="00AD6C21"/>
    <w:rsid w:val="00AD7BAB"/>
    <w:rsid w:val="00AE019B"/>
    <w:rsid w:val="00AE3020"/>
    <w:rsid w:val="00AE3125"/>
    <w:rsid w:val="00AE3310"/>
    <w:rsid w:val="00AE34C6"/>
    <w:rsid w:val="00AE3729"/>
    <w:rsid w:val="00AE3AB9"/>
    <w:rsid w:val="00AE3D04"/>
    <w:rsid w:val="00AE3F62"/>
    <w:rsid w:val="00AE3FDA"/>
    <w:rsid w:val="00AE4394"/>
    <w:rsid w:val="00AE47C1"/>
    <w:rsid w:val="00AE5045"/>
    <w:rsid w:val="00AE53F6"/>
    <w:rsid w:val="00AE58E2"/>
    <w:rsid w:val="00AE59A3"/>
    <w:rsid w:val="00AE5BFD"/>
    <w:rsid w:val="00AE6AA0"/>
    <w:rsid w:val="00AE6E5F"/>
    <w:rsid w:val="00AE7F1A"/>
    <w:rsid w:val="00AE7FAD"/>
    <w:rsid w:val="00AF0696"/>
    <w:rsid w:val="00AF0B14"/>
    <w:rsid w:val="00AF0D34"/>
    <w:rsid w:val="00AF1515"/>
    <w:rsid w:val="00AF1A52"/>
    <w:rsid w:val="00AF2262"/>
    <w:rsid w:val="00AF2920"/>
    <w:rsid w:val="00AF2B59"/>
    <w:rsid w:val="00AF2C43"/>
    <w:rsid w:val="00AF2E70"/>
    <w:rsid w:val="00AF329E"/>
    <w:rsid w:val="00AF3E4C"/>
    <w:rsid w:val="00AF4445"/>
    <w:rsid w:val="00AF47E6"/>
    <w:rsid w:val="00AF4ADA"/>
    <w:rsid w:val="00AF4DE9"/>
    <w:rsid w:val="00AF4E9E"/>
    <w:rsid w:val="00AF4FFD"/>
    <w:rsid w:val="00AF53E7"/>
    <w:rsid w:val="00AF5513"/>
    <w:rsid w:val="00AF5B64"/>
    <w:rsid w:val="00AF6309"/>
    <w:rsid w:val="00AF63A0"/>
    <w:rsid w:val="00AF676A"/>
    <w:rsid w:val="00AF6D17"/>
    <w:rsid w:val="00AF6D88"/>
    <w:rsid w:val="00AF7489"/>
    <w:rsid w:val="00AF7680"/>
    <w:rsid w:val="00AF7941"/>
    <w:rsid w:val="00AF7F5A"/>
    <w:rsid w:val="00B00516"/>
    <w:rsid w:val="00B00B1D"/>
    <w:rsid w:val="00B00BF3"/>
    <w:rsid w:val="00B00DA0"/>
    <w:rsid w:val="00B0148B"/>
    <w:rsid w:val="00B02653"/>
    <w:rsid w:val="00B031F6"/>
    <w:rsid w:val="00B0343B"/>
    <w:rsid w:val="00B03842"/>
    <w:rsid w:val="00B03F65"/>
    <w:rsid w:val="00B04D50"/>
    <w:rsid w:val="00B04E1C"/>
    <w:rsid w:val="00B050C0"/>
    <w:rsid w:val="00B053D6"/>
    <w:rsid w:val="00B05461"/>
    <w:rsid w:val="00B0551D"/>
    <w:rsid w:val="00B0573E"/>
    <w:rsid w:val="00B0592D"/>
    <w:rsid w:val="00B05A1C"/>
    <w:rsid w:val="00B0627C"/>
    <w:rsid w:val="00B06763"/>
    <w:rsid w:val="00B069BC"/>
    <w:rsid w:val="00B07091"/>
    <w:rsid w:val="00B07857"/>
    <w:rsid w:val="00B079CD"/>
    <w:rsid w:val="00B07C97"/>
    <w:rsid w:val="00B07FB8"/>
    <w:rsid w:val="00B07FE0"/>
    <w:rsid w:val="00B104F9"/>
    <w:rsid w:val="00B1096F"/>
    <w:rsid w:val="00B10A4A"/>
    <w:rsid w:val="00B10C72"/>
    <w:rsid w:val="00B10D8E"/>
    <w:rsid w:val="00B11372"/>
    <w:rsid w:val="00B11809"/>
    <w:rsid w:val="00B11F78"/>
    <w:rsid w:val="00B11F87"/>
    <w:rsid w:val="00B123EC"/>
    <w:rsid w:val="00B12592"/>
    <w:rsid w:val="00B12B73"/>
    <w:rsid w:val="00B12D06"/>
    <w:rsid w:val="00B13352"/>
    <w:rsid w:val="00B13480"/>
    <w:rsid w:val="00B135DC"/>
    <w:rsid w:val="00B1383B"/>
    <w:rsid w:val="00B138A7"/>
    <w:rsid w:val="00B13F7F"/>
    <w:rsid w:val="00B145DF"/>
    <w:rsid w:val="00B15482"/>
    <w:rsid w:val="00B155A9"/>
    <w:rsid w:val="00B15B4D"/>
    <w:rsid w:val="00B15D9E"/>
    <w:rsid w:val="00B15E38"/>
    <w:rsid w:val="00B16105"/>
    <w:rsid w:val="00B16369"/>
    <w:rsid w:val="00B16E66"/>
    <w:rsid w:val="00B16FD2"/>
    <w:rsid w:val="00B1729C"/>
    <w:rsid w:val="00B173B6"/>
    <w:rsid w:val="00B173D1"/>
    <w:rsid w:val="00B1764F"/>
    <w:rsid w:val="00B17AD1"/>
    <w:rsid w:val="00B17CEF"/>
    <w:rsid w:val="00B17DB1"/>
    <w:rsid w:val="00B17F47"/>
    <w:rsid w:val="00B205A9"/>
    <w:rsid w:val="00B20A0A"/>
    <w:rsid w:val="00B20AFC"/>
    <w:rsid w:val="00B21164"/>
    <w:rsid w:val="00B211BC"/>
    <w:rsid w:val="00B213E8"/>
    <w:rsid w:val="00B21D13"/>
    <w:rsid w:val="00B21F40"/>
    <w:rsid w:val="00B2210D"/>
    <w:rsid w:val="00B228C2"/>
    <w:rsid w:val="00B2295B"/>
    <w:rsid w:val="00B23180"/>
    <w:rsid w:val="00B234B1"/>
    <w:rsid w:val="00B23E2A"/>
    <w:rsid w:val="00B2467B"/>
    <w:rsid w:val="00B249ED"/>
    <w:rsid w:val="00B24CAC"/>
    <w:rsid w:val="00B264E2"/>
    <w:rsid w:val="00B26888"/>
    <w:rsid w:val="00B268F6"/>
    <w:rsid w:val="00B26FFD"/>
    <w:rsid w:val="00B2740B"/>
    <w:rsid w:val="00B27D0E"/>
    <w:rsid w:val="00B27E35"/>
    <w:rsid w:val="00B3007B"/>
    <w:rsid w:val="00B3057F"/>
    <w:rsid w:val="00B305BB"/>
    <w:rsid w:val="00B309EF"/>
    <w:rsid w:val="00B30B8E"/>
    <w:rsid w:val="00B30BFB"/>
    <w:rsid w:val="00B31048"/>
    <w:rsid w:val="00B31AA2"/>
    <w:rsid w:val="00B31B47"/>
    <w:rsid w:val="00B31C89"/>
    <w:rsid w:val="00B32260"/>
    <w:rsid w:val="00B32AD3"/>
    <w:rsid w:val="00B33093"/>
    <w:rsid w:val="00B332C6"/>
    <w:rsid w:val="00B334EB"/>
    <w:rsid w:val="00B34555"/>
    <w:rsid w:val="00B34830"/>
    <w:rsid w:val="00B35F12"/>
    <w:rsid w:val="00B3613E"/>
    <w:rsid w:val="00B36B36"/>
    <w:rsid w:val="00B37A90"/>
    <w:rsid w:val="00B37BFE"/>
    <w:rsid w:val="00B37CDF"/>
    <w:rsid w:val="00B37EFF"/>
    <w:rsid w:val="00B40185"/>
    <w:rsid w:val="00B40680"/>
    <w:rsid w:val="00B40BDE"/>
    <w:rsid w:val="00B40C2E"/>
    <w:rsid w:val="00B40C9C"/>
    <w:rsid w:val="00B41225"/>
    <w:rsid w:val="00B41509"/>
    <w:rsid w:val="00B41A4F"/>
    <w:rsid w:val="00B41B4A"/>
    <w:rsid w:val="00B42152"/>
    <w:rsid w:val="00B425BB"/>
    <w:rsid w:val="00B42D30"/>
    <w:rsid w:val="00B432BD"/>
    <w:rsid w:val="00B43B40"/>
    <w:rsid w:val="00B43E52"/>
    <w:rsid w:val="00B444FB"/>
    <w:rsid w:val="00B44610"/>
    <w:rsid w:val="00B4526A"/>
    <w:rsid w:val="00B454A3"/>
    <w:rsid w:val="00B4577F"/>
    <w:rsid w:val="00B45DEB"/>
    <w:rsid w:val="00B4645D"/>
    <w:rsid w:val="00B46694"/>
    <w:rsid w:val="00B467EB"/>
    <w:rsid w:val="00B4697A"/>
    <w:rsid w:val="00B47802"/>
    <w:rsid w:val="00B47CDC"/>
    <w:rsid w:val="00B506B9"/>
    <w:rsid w:val="00B50932"/>
    <w:rsid w:val="00B50B74"/>
    <w:rsid w:val="00B50CE0"/>
    <w:rsid w:val="00B50DCB"/>
    <w:rsid w:val="00B50DE7"/>
    <w:rsid w:val="00B50F5B"/>
    <w:rsid w:val="00B51493"/>
    <w:rsid w:val="00B516FD"/>
    <w:rsid w:val="00B519AF"/>
    <w:rsid w:val="00B51E6C"/>
    <w:rsid w:val="00B52FFB"/>
    <w:rsid w:val="00B53B65"/>
    <w:rsid w:val="00B54110"/>
    <w:rsid w:val="00B5459B"/>
    <w:rsid w:val="00B54B65"/>
    <w:rsid w:val="00B5526D"/>
    <w:rsid w:val="00B554F6"/>
    <w:rsid w:val="00B55AAE"/>
    <w:rsid w:val="00B55B35"/>
    <w:rsid w:val="00B56264"/>
    <w:rsid w:val="00B566D3"/>
    <w:rsid w:val="00B5688A"/>
    <w:rsid w:val="00B5712E"/>
    <w:rsid w:val="00B5735E"/>
    <w:rsid w:val="00B57497"/>
    <w:rsid w:val="00B57690"/>
    <w:rsid w:val="00B60474"/>
    <w:rsid w:val="00B608F8"/>
    <w:rsid w:val="00B60961"/>
    <w:rsid w:val="00B6096B"/>
    <w:rsid w:val="00B60990"/>
    <w:rsid w:val="00B60A29"/>
    <w:rsid w:val="00B60C38"/>
    <w:rsid w:val="00B6105E"/>
    <w:rsid w:val="00B612A5"/>
    <w:rsid w:val="00B615A6"/>
    <w:rsid w:val="00B61759"/>
    <w:rsid w:val="00B61C05"/>
    <w:rsid w:val="00B62449"/>
    <w:rsid w:val="00B62897"/>
    <w:rsid w:val="00B62E81"/>
    <w:rsid w:val="00B639EB"/>
    <w:rsid w:val="00B640B5"/>
    <w:rsid w:val="00B64125"/>
    <w:rsid w:val="00B645DF"/>
    <w:rsid w:val="00B64A4E"/>
    <w:rsid w:val="00B65076"/>
    <w:rsid w:val="00B6606C"/>
    <w:rsid w:val="00B66255"/>
    <w:rsid w:val="00B67D59"/>
    <w:rsid w:val="00B67F44"/>
    <w:rsid w:val="00B70578"/>
    <w:rsid w:val="00B70586"/>
    <w:rsid w:val="00B70765"/>
    <w:rsid w:val="00B70C52"/>
    <w:rsid w:val="00B728E2"/>
    <w:rsid w:val="00B72CAB"/>
    <w:rsid w:val="00B73CCD"/>
    <w:rsid w:val="00B73E3B"/>
    <w:rsid w:val="00B741F7"/>
    <w:rsid w:val="00B745D3"/>
    <w:rsid w:val="00B75778"/>
    <w:rsid w:val="00B758DE"/>
    <w:rsid w:val="00B75D84"/>
    <w:rsid w:val="00B75FA6"/>
    <w:rsid w:val="00B7653C"/>
    <w:rsid w:val="00B769AA"/>
    <w:rsid w:val="00B76B95"/>
    <w:rsid w:val="00B76EAD"/>
    <w:rsid w:val="00B77808"/>
    <w:rsid w:val="00B80738"/>
    <w:rsid w:val="00B80870"/>
    <w:rsid w:val="00B80D5B"/>
    <w:rsid w:val="00B814FA"/>
    <w:rsid w:val="00B8188F"/>
    <w:rsid w:val="00B81930"/>
    <w:rsid w:val="00B81D60"/>
    <w:rsid w:val="00B81DB0"/>
    <w:rsid w:val="00B81FC9"/>
    <w:rsid w:val="00B822CA"/>
    <w:rsid w:val="00B82332"/>
    <w:rsid w:val="00B827F4"/>
    <w:rsid w:val="00B82844"/>
    <w:rsid w:val="00B829A1"/>
    <w:rsid w:val="00B83289"/>
    <w:rsid w:val="00B832D5"/>
    <w:rsid w:val="00B83D16"/>
    <w:rsid w:val="00B84099"/>
    <w:rsid w:val="00B84446"/>
    <w:rsid w:val="00B848A4"/>
    <w:rsid w:val="00B84B07"/>
    <w:rsid w:val="00B8526E"/>
    <w:rsid w:val="00B853A5"/>
    <w:rsid w:val="00B86079"/>
    <w:rsid w:val="00B8650A"/>
    <w:rsid w:val="00B86829"/>
    <w:rsid w:val="00B86AFE"/>
    <w:rsid w:val="00B870E4"/>
    <w:rsid w:val="00B9004C"/>
    <w:rsid w:val="00B904E1"/>
    <w:rsid w:val="00B905C4"/>
    <w:rsid w:val="00B909FF"/>
    <w:rsid w:val="00B911A2"/>
    <w:rsid w:val="00B91C60"/>
    <w:rsid w:val="00B91E3D"/>
    <w:rsid w:val="00B91FCF"/>
    <w:rsid w:val="00B92920"/>
    <w:rsid w:val="00B92978"/>
    <w:rsid w:val="00B92E0E"/>
    <w:rsid w:val="00B94501"/>
    <w:rsid w:val="00B94737"/>
    <w:rsid w:val="00B9491F"/>
    <w:rsid w:val="00B952F2"/>
    <w:rsid w:val="00B958FC"/>
    <w:rsid w:val="00B95973"/>
    <w:rsid w:val="00B963C3"/>
    <w:rsid w:val="00B96BF6"/>
    <w:rsid w:val="00B9749D"/>
    <w:rsid w:val="00B97753"/>
    <w:rsid w:val="00BA0366"/>
    <w:rsid w:val="00BA0907"/>
    <w:rsid w:val="00BA1211"/>
    <w:rsid w:val="00BA12B2"/>
    <w:rsid w:val="00BA1738"/>
    <w:rsid w:val="00BA1BBE"/>
    <w:rsid w:val="00BA212C"/>
    <w:rsid w:val="00BA2180"/>
    <w:rsid w:val="00BA22E4"/>
    <w:rsid w:val="00BA270E"/>
    <w:rsid w:val="00BA28AA"/>
    <w:rsid w:val="00BA2DC4"/>
    <w:rsid w:val="00BA2EF5"/>
    <w:rsid w:val="00BA3043"/>
    <w:rsid w:val="00BA36A8"/>
    <w:rsid w:val="00BA3743"/>
    <w:rsid w:val="00BA3959"/>
    <w:rsid w:val="00BA3C8D"/>
    <w:rsid w:val="00BA40A3"/>
    <w:rsid w:val="00BA4761"/>
    <w:rsid w:val="00BA4D20"/>
    <w:rsid w:val="00BA5000"/>
    <w:rsid w:val="00BA51ED"/>
    <w:rsid w:val="00BA52CC"/>
    <w:rsid w:val="00BA5368"/>
    <w:rsid w:val="00BA576D"/>
    <w:rsid w:val="00BA5A6E"/>
    <w:rsid w:val="00BA5DE5"/>
    <w:rsid w:val="00BA6332"/>
    <w:rsid w:val="00BA657B"/>
    <w:rsid w:val="00BA68F7"/>
    <w:rsid w:val="00BA6A27"/>
    <w:rsid w:val="00BA6FCC"/>
    <w:rsid w:val="00BA71F9"/>
    <w:rsid w:val="00BA7E7D"/>
    <w:rsid w:val="00BB0D78"/>
    <w:rsid w:val="00BB17D4"/>
    <w:rsid w:val="00BB1946"/>
    <w:rsid w:val="00BB1D57"/>
    <w:rsid w:val="00BB1F09"/>
    <w:rsid w:val="00BB1F7D"/>
    <w:rsid w:val="00BB2960"/>
    <w:rsid w:val="00BB2D2B"/>
    <w:rsid w:val="00BB3208"/>
    <w:rsid w:val="00BB3440"/>
    <w:rsid w:val="00BB3586"/>
    <w:rsid w:val="00BB3588"/>
    <w:rsid w:val="00BB38EE"/>
    <w:rsid w:val="00BB3BA8"/>
    <w:rsid w:val="00BB3C84"/>
    <w:rsid w:val="00BB41CC"/>
    <w:rsid w:val="00BB497B"/>
    <w:rsid w:val="00BB4DE3"/>
    <w:rsid w:val="00BB542F"/>
    <w:rsid w:val="00BB5631"/>
    <w:rsid w:val="00BB64DA"/>
    <w:rsid w:val="00BB65A9"/>
    <w:rsid w:val="00BB6CE4"/>
    <w:rsid w:val="00BB710C"/>
    <w:rsid w:val="00BB74C2"/>
    <w:rsid w:val="00BB76F6"/>
    <w:rsid w:val="00BB78EC"/>
    <w:rsid w:val="00BC083F"/>
    <w:rsid w:val="00BC0955"/>
    <w:rsid w:val="00BC0C6F"/>
    <w:rsid w:val="00BC13FE"/>
    <w:rsid w:val="00BC1C22"/>
    <w:rsid w:val="00BC1D35"/>
    <w:rsid w:val="00BC1E41"/>
    <w:rsid w:val="00BC21EE"/>
    <w:rsid w:val="00BC264A"/>
    <w:rsid w:val="00BC2971"/>
    <w:rsid w:val="00BC2B96"/>
    <w:rsid w:val="00BC411A"/>
    <w:rsid w:val="00BC6A8C"/>
    <w:rsid w:val="00BC714E"/>
    <w:rsid w:val="00BC7196"/>
    <w:rsid w:val="00BC71E9"/>
    <w:rsid w:val="00BC74FB"/>
    <w:rsid w:val="00BD0971"/>
    <w:rsid w:val="00BD0A0F"/>
    <w:rsid w:val="00BD0D81"/>
    <w:rsid w:val="00BD1507"/>
    <w:rsid w:val="00BD1515"/>
    <w:rsid w:val="00BD151D"/>
    <w:rsid w:val="00BD1972"/>
    <w:rsid w:val="00BD1DD8"/>
    <w:rsid w:val="00BD2425"/>
    <w:rsid w:val="00BD298A"/>
    <w:rsid w:val="00BD2B5D"/>
    <w:rsid w:val="00BD2CDA"/>
    <w:rsid w:val="00BD33C6"/>
    <w:rsid w:val="00BD45F1"/>
    <w:rsid w:val="00BD463B"/>
    <w:rsid w:val="00BD4D67"/>
    <w:rsid w:val="00BD54F8"/>
    <w:rsid w:val="00BD55F2"/>
    <w:rsid w:val="00BD5EA3"/>
    <w:rsid w:val="00BD657B"/>
    <w:rsid w:val="00BD690C"/>
    <w:rsid w:val="00BD6C85"/>
    <w:rsid w:val="00BD6F7A"/>
    <w:rsid w:val="00BD7012"/>
    <w:rsid w:val="00BD72CB"/>
    <w:rsid w:val="00BD7779"/>
    <w:rsid w:val="00BD7AF8"/>
    <w:rsid w:val="00BD7C84"/>
    <w:rsid w:val="00BE0174"/>
    <w:rsid w:val="00BE023A"/>
    <w:rsid w:val="00BE107E"/>
    <w:rsid w:val="00BE1434"/>
    <w:rsid w:val="00BE1C23"/>
    <w:rsid w:val="00BE1DC7"/>
    <w:rsid w:val="00BE2302"/>
    <w:rsid w:val="00BE25E9"/>
    <w:rsid w:val="00BE2B07"/>
    <w:rsid w:val="00BE2E48"/>
    <w:rsid w:val="00BE3272"/>
    <w:rsid w:val="00BE37B5"/>
    <w:rsid w:val="00BE38FE"/>
    <w:rsid w:val="00BE3B3A"/>
    <w:rsid w:val="00BE3F07"/>
    <w:rsid w:val="00BE4096"/>
    <w:rsid w:val="00BE4162"/>
    <w:rsid w:val="00BE464D"/>
    <w:rsid w:val="00BE4B18"/>
    <w:rsid w:val="00BE519B"/>
    <w:rsid w:val="00BE5470"/>
    <w:rsid w:val="00BE5613"/>
    <w:rsid w:val="00BE5844"/>
    <w:rsid w:val="00BE5FE1"/>
    <w:rsid w:val="00BE616D"/>
    <w:rsid w:val="00BE6414"/>
    <w:rsid w:val="00BE67AB"/>
    <w:rsid w:val="00BE69BD"/>
    <w:rsid w:val="00BE6C9A"/>
    <w:rsid w:val="00BE6D5A"/>
    <w:rsid w:val="00BE71CD"/>
    <w:rsid w:val="00BE775A"/>
    <w:rsid w:val="00BE788A"/>
    <w:rsid w:val="00BE7C2C"/>
    <w:rsid w:val="00BF0314"/>
    <w:rsid w:val="00BF04B2"/>
    <w:rsid w:val="00BF0B94"/>
    <w:rsid w:val="00BF0C78"/>
    <w:rsid w:val="00BF0F6B"/>
    <w:rsid w:val="00BF1027"/>
    <w:rsid w:val="00BF169E"/>
    <w:rsid w:val="00BF19DB"/>
    <w:rsid w:val="00BF1B44"/>
    <w:rsid w:val="00BF1B45"/>
    <w:rsid w:val="00BF1BE1"/>
    <w:rsid w:val="00BF244E"/>
    <w:rsid w:val="00BF2740"/>
    <w:rsid w:val="00BF2911"/>
    <w:rsid w:val="00BF2E27"/>
    <w:rsid w:val="00BF3097"/>
    <w:rsid w:val="00BF3E7B"/>
    <w:rsid w:val="00BF45B8"/>
    <w:rsid w:val="00BF4AAA"/>
    <w:rsid w:val="00BF4D04"/>
    <w:rsid w:val="00BF5182"/>
    <w:rsid w:val="00BF5D59"/>
    <w:rsid w:val="00BF661A"/>
    <w:rsid w:val="00BF6F2C"/>
    <w:rsid w:val="00BF7E3E"/>
    <w:rsid w:val="00BF7F89"/>
    <w:rsid w:val="00C003FF"/>
    <w:rsid w:val="00C009AF"/>
    <w:rsid w:val="00C015ED"/>
    <w:rsid w:val="00C017B2"/>
    <w:rsid w:val="00C01899"/>
    <w:rsid w:val="00C018DB"/>
    <w:rsid w:val="00C01DE8"/>
    <w:rsid w:val="00C01F73"/>
    <w:rsid w:val="00C01FF6"/>
    <w:rsid w:val="00C029A5"/>
    <w:rsid w:val="00C02CE8"/>
    <w:rsid w:val="00C03552"/>
    <w:rsid w:val="00C03727"/>
    <w:rsid w:val="00C038D7"/>
    <w:rsid w:val="00C03D81"/>
    <w:rsid w:val="00C04353"/>
    <w:rsid w:val="00C04822"/>
    <w:rsid w:val="00C0483E"/>
    <w:rsid w:val="00C04CA5"/>
    <w:rsid w:val="00C05064"/>
    <w:rsid w:val="00C051ED"/>
    <w:rsid w:val="00C05AE7"/>
    <w:rsid w:val="00C05B0B"/>
    <w:rsid w:val="00C06177"/>
    <w:rsid w:val="00C06516"/>
    <w:rsid w:val="00C067F4"/>
    <w:rsid w:val="00C06973"/>
    <w:rsid w:val="00C06B99"/>
    <w:rsid w:val="00C0706B"/>
    <w:rsid w:val="00C0723F"/>
    <w:rsid w:val="00C07780"/>
    <w:rsid w:val="00C079E7"/>
    <w:rsid w:val="00C07AF3"/>
    <w:rsid w:val="00C07B5E"/>
    <w:rsid w:val="00C07DA1"/>
    <w:rsid w:val="00C07E0F"/>
    <w:rsid w:val="00C100AD"/>
    <w:rsid w:val="00C10982"/>
    <w:rsid w:val="00C10E20"/>
    <w:rsid w:val="00C10FED"/>
    <w:rsid w:val="00C116C1"/>
    <w:rsid w:val="00C11720"/>
    <w:rsid w:val="00C13100"/>
    <w:rsid w:val="00C13F4B"/>
    <w:rsid w:val="00C146DC"/>
    <w:rsid w:val="00C14F62"/>
    <w:rsid w:val="00C151BE"/>
    <w:rsid w:val="00C15630"/>
    <w:rsid w:val="00C15F61"/>
    <w:rsid w:val="00C166E5"/>
    <w:rsid w:val="00C16E17"/>
    <w:rsid w:val="00C1714C"/>
    <w:rsid w:val="00C17997"/>
    <w:rsid w:val="00C20157"/>
    <w:rsid w:val="00C201B5"/>
    <w:rsid w:val="00C2028A"/>
    <w:rsid w:val="00C20F70"/>
    <w:rsid w:val="00C212F2"/>
    <w:rsid w:val="00C21BE9"/>
    <w:rsid w:val="00C21D0E"/>
    <w:rsid w:val="00C22018"/>
    <w:rsid w:val="00C2207B"/>
    <w:rsid w:val="00C22580"/>
    <w:rsid w:val="00C22D5A"/>
    <w:rsid w:val="00C23115"/>
    <w:rsid w:val="00C23192"/>
    <w:rsid w:val="00C231A6"/>
    <w:rsid w:val="00C2321F"/>
    <w:rsid w:val="00C232DE"/>
    <w:rsid w:val="00C244AC"/>
    <w:rsid w:val="00C245BE"/>
    <w:rsid w:val="00C247B8"/>
    <w:rsid w:val="00C24DF4"/>
    <w:rsid w:val="00C25789"/>
    <w:rsid w:val="00C25A39"/>
    <w:rsid w:val="00C25EF3"/>
    <w:rsid w:val="00C2619D"/>
    <w:rsid w:val="00C26B04"/>
    <w:rsid w:val="00C26C3E"/>
    <w:rsid w:val="00C26D2D"/>
    <w:rsid w:val="00C27025"/>
    <w:rsid w:val="00C27157"/>
    <w:rsid w:val="00C2746B"/>
    <w:rsid w:val="00C274B4"/>
    <w:rsid w:val="00C27AA5"/>
    <w:rsid w:val="00C27B3C"/>
    <w:rsid w:val="00C27D04"/>
    <w:rsid w:val="00C30996"/>
    <w:rsid w:val="00C30B61"/>
    <w:rsid w:val="00C31364"/>
    <w:rsid w:val="00C31C5E"/>
    <w:rsid w:val="00C32335"/>
    <w:rsid w:val="00C32683"/>
    <w:rsid w:val="00C33E4E"/>
    <w:rsid w:val="00C3478F"/>
    <w:rsid w:val="00C34946"/>
    <w:rsid w:val="00C34AC0"/>
    <w:rsid w:val="00C34E50"/>
    <w:rsid w:val="00C354BC"/>
    <w:rsid w:val="00C355C9"/>
    <w:rsid w:val="00C356FE"/>
    <w:rsid w:val="00C358D5"/>
    <w:rsid w:val="00C359EB"/>
    <w:rsid w:val="00C359EC"/>
    <w:rsid w:val="00C35B25"/>
    <w:rsid w:val="00C3624D"/>
    <w:rsid w:val="00C366F6"/>
    <w:rsid w:val="00C36ADA"/>
    <w:rsid w:val="00C36BD9"/>
    <w:rsid w:val="00C36D12"/>
    <w:rsid w:val="00C36E60"/>
    <w:rsid w:val="00C37A29"/>
    <w:rsid w:val="00C37AE4"/>
    <w:rsid w:val="00C37B05"/>
    <w:rsid w:val="00C37B96"/>
    <w:rsid w:val="00C37D81"/>
    <w:rsid w:val="00C40481"/>
    <w:rsid w:val="00C40B5F"/>
    <w:rsid w:val="00C40BAB"/>
    <w:rsid w:val="00C410DF"/>
    <w:rsid w:val="00C42CFC"/>
    <w:rsid w:val="00C42EC5"/>
    <w:rsid w:val="00C43608"/>
    <w:rsid w:val="00C43725"/>
    <w:rsid w:val="00C4388A"/>
    <w:rsid w:val="00C44157"/>
    <w:rsid w:val="00C448F4"/>
    <w:rsid w:val="00C452AC"/>
    <w:rsid w:val="00C452F2"/>
    <w:rsid w:val="00C456A9"/>
    <w:rsid w:val="00C45915"/>
    <w:rsid w:val="00C46807"/>
    <w:rsid w:val="00C46F0C"/>
    <w:rsid w:val="00C4713A"/>
    <w:rsid w:val="00C4753D"/>
    <w:rsid w:val="00C5013F"/>
    <w:rsid w:val="00C5059B"/>
    <w:rsid w:val="00C5094B"/>
    <w:rsid w:val="00C51678"/>
    <w:rsid w:val="00C51BE7"/>
    <w:rsid w:val="00C51E70"/>
    <w:rsid w:val="00C51F1D"/>
    <w:rsid w:val="00C5217F"/>
    <w:rsid w:val="00C521EA"/>
    <w:rsid w:val="00C52454"/>
    <w:rsid w:val="00C5269E"/>
    <w:rsid w:val="00C52B90"/>
    <w:rsid w:val="00C52EBB"/>
    <w:rsid w:val="00C52F0B"/>
    <w:rsid w:val="00C53CD5"/>
    <w:rsid w:val="00C53D5D"/>
    <w:rsid w:val="00C54ED6"/>
    <w:rsid w:val="00C55594"/>
    <w:rsid w:val="00C557F3"/>
    <w:rsid w:val="00C55BED"/>
    <w:rsid w:val="00C56112"/>
    <w:rsid w:val="00C563AD"/>
    <w:rsid w:val="00C56608"/>
    <w:rsid w:val="00C56EC1"/>
    <w:rsid w:val="00C572B7"/>
    <w:rsid w:val="00C5797C"/>
    <w:rsid w:val="00C57CE0"/>
    <w:rsid w:val="00C60267"/>
    <w:rsid w:val="00C602A8"/>
    <w:rsid w:val="00C60568"/>
    <w:rsid w:val="00C606C5"/>
    <w:rsid w:val="00C607A6"/>
    <w:rsid w:val="00C60F35"/>
    <w:rsid w:val="00C61531"/>
    <w:rsid w:val="00C6186D"/>
    <w:rsid w:val="00C61CD5"/>
    <w:rsid w:val="00C621B2"/>
    <w:rsid w:val="00C62403"/>
    <w:rsid w:val="00C631D1"/>
    <w:rsid w:val="00C6378F"/>
    <w:rsid w:val="00C63B03"/>
    <w:rsid w:val="00C63D26"/>
    <w:rsid w:val="00C640C5"/>
    <w:rsid w:val="00C64887"/>
    <w:rsid w:val="00C64D97"/>
    <w:rsid w:val="00C65177"/>
    <w:rsid w:val="00C65894"/>
    <w:rsid w:val="00C65F9F"/>
    <w:rsid w:val="00C663F7"/>
    <w:rsid w:val="00C668D5"/>
    <w:rsid w:val="00C67C3E"/>
    <w:rsid w:val="00C70574"/>
    <w:rsid w:val="00C70B71"/>
    <w:rsid w:val="00C71233"/>
    <w:rsid w:val="00C7179B"/>
    <w:rsid w:val="00C71A59"/>
    <w:rsid w:val="00C71BA6"/>
    <w:rsid w:val="00C71E40"/>
    <w:rsid w:val="00C7282C"/>
    <w:rsid w:val="00C72AEC"/>
    <w:rsid w:val="00C72D80"/>
    <w:rsid w:val="00C73035"/>
    <w:rsid w:val="00C73131"/>
    <w:rsid w:val="00C7336F"/>
    <w:rsid w:val="00C7444F"/>
    <w:rsid w:val="00C74D40"/>
    <w:rsid w:val="00C74D5A"/>
    <w:rsid w:val="00C759D4"/>
    <w:rsid w:val="00C7696C"/>
    <w:rsid w:val="00C76ACB"/>
    <w:rsid w:val="00C76CA3"/>
    <w:rsid w:val="00C776FD"/>
    <w:rsid w:val="00C77A7C"/>
    <w:rsid w:val="00C77BE9"/>
    <w:rsid w:val="00C77CE5"/>
    <w:rsid w:val="00C801C9"/>
    <w:rsid w:val="00C81297"/>
    <w:rsid w:val="00C81481"/>
    <w:rsid w:val="00C817B7"/>
    <w:rsid w:val="00C81CE0"/>
    <w:rsid w:val="00C81F3E"/>
    <w:rsid w:val="00C822AF"/>
    <w:rsid w:val="00C82916"/>
    <w:rsid w:val="00C83A32"/>
    <w:rsid w:val="00C83B8C"/>
    <w:rsid w:val="00C83CA2"/>
    <w:rsid w:val="00C8420A"/>
    <w:rsid w:val="00C8436C"/>
    <w:rsid w:val="00C8439D"/>
    <w:rsid w:val="00C84450"/>
    <w:rsid w:val="00C85417"/>
    <w:rsid w:val="00C86015"/>
    <w:rsid w:val="00C864DA"/>
    <w:rsid w:val="00C865F0"/>
    <w:rsid w:val="00C86861"/>
    <w:rsid w:val="00C87F27"/>
    <w:rsid w:val="00C87FAB"/>
    <w:rsid w:val="00C90A0D"/>
    <w:rsid w:val="00C920F9"/>
    <w:rsid w:val="00C9288A"/>
    <w:rsid w:val="00C92D1C"/>
    <w:rsid w:val="00C92DE3"/>
    <w:rsid w:val="00C932C1"/>
    <w:rsid w:val="00C93B09"/>
    <w:rsid w:val="00C94A12"/>
    <w:rsid w:val="00C94DC1"/>
    <w:rsid w:val="00C94DCF"/>
    <w:rsid w:val="00C951F7"/>
    <w:rsid w:val="00C95223"/>
    <w:rsid w:val="00C95C25"/>
    <w:rsid w:val="00C96162"/>
    <w:rsid w:val="00C96916"/>
    <w:rsid w:val="00C96EB8"/>
    <w:rsid w:val="00C97298"/>
    <w:rsid w:val="00C974CF"/>
    <w:rsid w:val="00C9756B"/>
    <w:rsid w:val="00C977C0"/>
    <w:rsid w:val="00C97871"/>
    <w:rsid w:val="00CA0002"/>
    <w:rsid w:val="00CA01FE"/>
    <w:rsid w:val="00CA070E"/>
    <w:rsid w:val="00CA09FF"/>
    <w:rsid w:val="00CA0C6D"/>
    <w:rsid w:val="00CA0C96"/>
    <w:rsid w:val="00CA0CFF"/>
    <w:rsid w:val="00CA0F4C"/>
    <w:rsid w:val="00CA15E4"/>
    <w:rsid w:val="00CA19F2"/>
    <w:rsid w:val="00CA1BC3"/>
    <w:rsid w:val="00CA1E01"/>
    <w:rsid w:val="00CA2449"/>
    <w:rsid w:val="00CA2D64"/>
    <w:rsid w:val="00CA3BB8"/>
    <w:rsid w:val="00CA4098"/>
    <w:rsid w:val="00CA435E"/>
    <w:rsid w:val="00CA4B4A"/>
    <w:rsid w:val="00CA4DC1"/>
    <w:rsid w:val="00CA4E82"/>
    <w:rsid w:val="00CA5534"/>
    <w:rsid w:val="00CA5FAE"/>
    <w:rsid w:val="00CA5FBB"/>
    <w:rsid w:val="00CA6102"/>
    <w:rsid w:val="00CA63BE"/>
    <w:rsid w:val="00CA6657"/>
    <w:rsid w:val="00CA6AD8"/>
    <w:rsid w:val="00CA6D2B"/>
    <w:rsid w:val="00CA6D59"/>
    <w:rsid w:val="00CA6E49"/>
    <w:rsid w:val="00CA6F5A"/>
    <w:rsid w:val="00CA7668"/>
    <w:rsid w:val="00CA7840"/>
    <w:rsid w:val="00CA7ABA"/>
    <w:rsid w:val="00CB059E"/>
    <w:rsid w:val="00CB08F3"/>
    <w:rsid w:val="00CB0E05"/>
    <w:rsid w:val="00CB1206"/>
    <w:rsid w:val="00CB163E"/>
    <w:rsid w:val="00CB170C"/>
    <w:rsid w:val="00CB1AE7"/>
    <w:rsid w:val="00CB1C4C"/>
    <w:rsid w:val="00CB2300"/>
    <w:rsid w:val="00CB2398"/>
    <w:rsid w:val="00CB2A36"/>
    <w:rsid w:val="00CB2D1B"/>
    <w:rsid w:val="00CB319D"/>
    <w:rsid w:val="00CB35CC"/>
    <w:rsid w:val="00CB3971"/>
    <w:rsid w:val="00CB39B4"/>
    <w:rsid w:val="00CB3B9A"/>
    <w:rsid w:val="00CB3DEB"/>
    <w:rsid w:val="00CB3EF7"/>
    <w:rsid w:val="00CB4649"/>
    <w:rsid w:val="00CB4882"/>
    <w:rsid w:val="00CB4990"/>
    <w:rsid w:val="00CB62CE"/>
    <w:rsid w:val="00CB66EB"/>
    <w:rsid w:val="00CB6B11"/>
    <w:rsid w:val="00CB79CC"/>
    <w:rsid w:val="00CB7C08"/>
    <w:rsid w:val="00CC0516"/>
    <w:rsid w:val="00CC0B1F"/>
    <w:rsid w:val="00CC131E"/>
    <w:rsid w:val="00CC18B1"/>
    <w:rsid w:val="00CC1D1D"/>
    <w:rsid w:val="00CC1ED9"/>
    <w:rsid w:val="00CC22B5"/>
    <w:rsid w:val="00CC2885"/>
    <w:rsid w:val="00CC33C3"/>
    <w:rsid w:val="00CC38AB"/>
    <w:rsid w:val="00CC3970"/>
    <w:rsid w:val="00CC3C93"/>
    <w:rsid w:val="00CC44EB"/>
    <w:rsid w:val="00CC460C"/>
    <w:rsid w:val="00CC5226"/>
    <w:rsid w:val="00CC5FB4"/>
    <w:rsid w:val="00CC601B"/>
    <w:rsid w:val="00CC60F0"/>
    <w:rsid w:val="00CC621C"/>
    <w:rsid w:val="00CC6410"/>
    <w:rsid w:val="00CC6414"/>
    <w:rsid w:val="00CC6434"/>
    <w:rsid w:val="00CC71A0"/>
    <w:rsid w:val="00CC75EA"/>
    <w:rsid w:val="00CC7C6A"/>
    <w:rsid w:val="00CD019F"/>
    <w:rsid w:val="00CD055B"/>
    <w:rsid w:val="00CD0DB5"/>
    <w:rsid w:val="00CD20A9"/>
    <w:rsid w:val="00CD22BF"/>
    <w:rsid w:val="00CD2F67"/>
    <w:rsid w:val="00CD3029"/>
    <w:rsid w:val="00CD307C"/>
    <w:rsid w:val="00CD3318"/>
    <w:rsid w:val="00CD344D"/>
    <w:rsid w:val="00CD37DE"/>
    <w:rsid w:val="00CD3D61"/>
    <w:rsid w:val="00CD3F38"/>
    <w:rsid w:val="00CD418E"/>
    <w:rsid w:val="00CD4613"/>
    <w:rsid w:val="00CD4F2D"/>
    <w:rsid w:val="00CD52D8"/>
    <w:rsid w:val="00CD5A3E"/>
    <w:rsid w:val="00CD5BBD"/>
    <w:rsid w:val="00CD5FD2"/>
    <w:rsid w:val="00CD6244"/>
    <w:rsid w:val="00CD6655"/>
    <w:rsid w:val="00CD66F7"/>
    <w:rsid w:val="00CD7637"/>
    <w:rsid w:val="00CD7B97"/>
    <w:rsid w:val="00CD7ED6"/>
    <w:rsid w:val="00CE054C"/>
    <w:rsid w:val="00CE0CC3"/>
    <w:rsid w:val="00CE10B4"/>
    <w:rsid w:val="00CE1298"/>
    <w:rsid w:val="00CE18F2"/>
    <w:rsid w:val="00CE195A"/>
    <w:rsid w:val="00CE1D71"/>
    <w:rsid w:val="00CE237E"/>
    <w:rsid w:val="00CE2792"/>
    <w:rsid w:val="00CE2832"/>
    <w:rsid w:val="00CE2866"/>
    <w:rsid w:val="00CE2D69"/>
    <w:rsid w:val="00CE32E4"/>
    <w:rsid w:val="00CE34C5"/>
    <w:rsid w:val="00CE36FB"/>
    <w:rsid w:val="00CE43B6"/>
    <w:rsid w:val="00CE4ED1"/>
    <w:rsid w:val="00CE5597"/>
    <w:rsid w:val="00CE580C"/>
    <w:rsid w:val="00CE594C"/>
    <w:rsid w:val="00CE59A8"/>
    <w:rsid w:val="00CE5B24"/>
    <w:rsid w:val="00CE5B9B"/>
    <w:rsid w:val="00CE6517"/>
    <w:rsid w:val="00CE65D8"/>
    <w:rsid w:val="00CE66D7"/>
    <w:rsid w:val="00CE66ED"/>
    <w:rsid w:val="00CE689A"/>
    <w:rsid w:val="00CE745D"/>
    <w:rsid w:val="00CE76B6"/>
    <w:rsid w:val="00CE77EC"/>
    <w:rsid w:val="00CE7B4A"/>
    <w:rsid w:val="00CE7CD6"/>
    <w:rsid w:val="00CE7D94"/>
    <w:rsid w:val="00CE7E9D"/>
    <w:rsid w:val="00CF0336"/>
    <w:rsid w:val="00CF0364"/>
    <w:rsid w:val="00CF0782"/>
    <w:rsid w:val="00CF09CE"/>
    <w:rsid w:val="00CF0A8C"/>
    <w:rsid w:val="00CF0AD3"/>
    <w:rsid w:val="00CF0CE4"/>
    <w:rsid w:val="00CF20D5"/>
    <w:rsid w:val="00CF23C8"/>
    <w:rsid w:val="00CF27BD"/>
    <w:rsid w:val="00CF33B0"/>
    <w:rsid w:val="00CF3781"/>
    <w:rsid w:val="00CF383B"/>
    <w:rsid w:val="00CF3FBA"/>
    <w:rsid w:val="00CF3FCD"/>
    <w:rsid w:val="00CF452E"/>
    <w:rsid w:val="00CF453D"/>
    <w:rsid w:val="00CF48B5"/>
    <w:rsid w:val="00CF4C37"/>
    <w:rsid w:val="00CF4E67"/>
    <w:rsid w:val="00CF5DF4"/>
    <w:rsid w:val="00CF5FCE"/>
    <w:rsid w:val="00CF642F"/>
    <w:rsid w:val="00CF6DFC"/>
    <w:rsid w:val="00CF6E81"/>
    <w:rsid w:val="00CF7213"/>
    <w:rsid w:val="00CF752E"/>
    <w:rsid w:val="00CF7965"/>
    <w:rsid w:val="00CF7B49"/>
    <w:rsid w:val="00CF7B97"/>
    <w:rsid w:val="00D005DF"/>
    <w:rsid w:val="00D005FE"/>
    <w:rsid w:val="00D00916"/>
    <w:rsid w:val="00D01280"/>
    <w:rsid w:val="00D017CF"/>
    <w:rsid w:val="00D026CA"/>
    <w:rsid w:val="00D03397"/>
    <w:rsid w:val="00D038FD"/>
    <w:rsid w:val="00D03F74"/>
    <w:rsid w:val="00D04430"/>
    <w:rsid w:val="00D04493"/>
    <w:rsid w:val="00D04858"/>
    <w:rsid w:val="00D0529B"/>
    <w:rsid w:val="00D056F6"/>
    <w:rsid w:val="00D059DB"/>
    <w:rsid w:val="00D06016"/>
    <w:rsid w:val="00D0604D"/>
    <w:rsid w:val="00D0611D"/>
    <w:rsid w:val="00D079CC"/>
    <w:rsid w:val="00D07B13"/>
    <w:rsid w:val="00D07BF9"/>
    <w:rsid w:val="00D100BE"/>
    <w:rsid w:val="00D1037A"/>
    <w:rsid w:val="00D1080C"/>
    <w:rsid w:val="00D114F9"/>
    <w:rsid w:val="00D11B46"/>
    <w:rsid w:val="00D129FC"/>
    <w:rsid w:val="00D12B0E"/>
    <w:rsid w:val="00D12B58"/>
    <w:rsid w:val="00D1310E"/>
    <w:rsid w:val="00D1349A"/>
    <w:rsid w:val="00D13566"/>
    <w:rsid w:val="00D144E9"/>
    <w:rsid w:val="00D148EE"/>
    <w:rsid w:val="00D14DC4"/>
    <w:rsid w:val="00D15244"/>
    <w:rsid w:val="00D165DC"/>
    <w:rsid w:val="00D16F8B"/>
    <w:rsid w:val="00D17467"/>
    <w:rsid w:val="00D20023"/>
    <w:rsid w:val="00D203EA"/>
    <w:rsid w:val="00D2082C"/>
    <w:rsid w:val="00D211B4"/>
    <w:rsid w:val="00D2174D"/>
    <w:rsid w:val="00D217A0"/>
    <w:rsid w:val="00D217B4"/>
    <w:rsid w:val="00D21827"/>
    <w:rsid w:val="00D218C0"/>
    <w:rsid w:val="00D228FE"/>
    <w:rsid w:val="00D23E63"/>
    <w:rsid w:val="00D242D1"/>
    <w:rsid w:val="00D24B19"/>
    <w:rsid w:val="00D24B89"/>
    <w:rsid w:val="00D24E95"/>
    <w:rsid w:val="00D253FA"/>
    <w:rsid w:val="00D256B6"/>
    <w:rsid w:val="00D2588B"/>
    <w:rsid w:val="00D25AED"/>
    <w:rsid w:val="00D25E6C"/>
    <w:rsid w:val="00D26160"/>
    <w:rsid w:val="00D262CB"/>
    <w:rsid w:val="00D263E8"/>
    <w:rsid w:val="00D266F5"/>
    <w:rsid w:val="00D26F1B"/>
    <w:rsid w:val="00D2709A"/>
    <w:rsid w:val="00D27A75"/>
    <w:rsid w:val="00D27C92"/>
    <w:rsid w:val="00D27E94"/>
    <w:rsid w:val="00D27F90"/>
    <w:rsid w:val="00D30308"/>
    <w:rsid w:val="00D303F9"/>
    <w:rsid w:val="00D30438"/>
    <w:rsid w:val="00D3054F"/>
    <w:rsid w:val="00D31300"/>
    <w:rsid w:val="00D31517"/>
    <w:rsid w:val="00D3183F"/>
    <w:rsid w:val="00D31A2A"/>
    <w:rsid w:val="00D3248E"/>
    <w:rsid w:val="00D330D8"/>
    <w:rsid w:val="00D33317"/>
    <w:rsid w:val="00D33332"/>
    <w:rsid w:val="00D3352B"/>
    <w:rsid w:val="00D33BE9"/>
    <w:rsid w:val="00D3411F"/>
    <w:rsid w:val="00D347E1"/>
    <w:rsid w:val="00D34808"/>
    <w:rsid w:val="00D34EAF"/>
    <w:rsid w:val="00D350CF"/>
    <w:rsid w:val="00D3518E"/>
    <w:rsid w:val="00D3541B"/>
    <w:rsid w:val="00D35AE2"/>
    <w:rsid w:val="00D35C40"/>
    <w:rsid w:val="00D35D25"/>
    <w:rsid w:val="00D36204"/>
    <w:rsid w:val="00D36477"/>
    <w:rsid w:val="00D36490"/>
    <w:rsid w:val="00D365FE"/>
    <w:rsid w:val="00D36A25"/>
    <w:rsid w:val="00D400B5"/>
    <w:rsid w:val="00D4018B"/>
    <w:rsid w:val="00D40D11"/>
    <w:rsid w:val="00D41AD2"/>
    <w:rsid w:val="00D41BFC"/>
    <w:rsid w:val="00D421AE"/>
    <w:rsid w:val="00D4224E"/>
    <w:rsid w:val="00D425AC"/>
    <w:rsid w:val="00D433CE"/>
    <w:rsid w:val="00D43490"/>
    <w:rsid w:val="00D43B22"/>
    <w:rsid w:val="00D43D24"/>
    <w:rsid w:val="00D43EAC"/>
    <w:rsid w:val="00D44591"/>
    <w:rsid w:val="00D447AB"/>
    <w:rsid w:val="00D44F54"/>
    <w:rsid w:val="00D45868"/>
    <w:rsid w:val="00D463FC"/>
    <w:rsid w:val="00D46773"/>
    <w:rsid w:val="00D46838"/>
    <w:rsid w:val="00D4688C"/>
    <w:rsid w:val="00D46AB8"/>
    <w:rsid w:val="00D46F49"/>
    <w:rsid w:val="00D46FA3"/>
    <w:rsid w:val="00D477E5"/>
    <w:rsid w:val="00D47958"/>
    <w:rsid w:val="00D47D2B"/>
    <w:rsid w:val="00D5142F"/>
    <w:rsid w:val="00D517DA"/>
    <w:rsid w:val="00D522C9"/>
    <w:rsid w:val="00D52680"/>
    <w:rsid w:val="00D526C7"/>
    <w:rsid w:val="00D5295F"/>
    <w:rsid w:val="00D530FB"/>
    <w:rsid w:val="00D532A7"/>
    <w:rsid w:val="00D53896"/>
    <w:rsid w:val="00D53D2D"/>
    <w:rsid w:val="00D54170"/>
    <w:rsid w:val="00D54174"/>
    <w:rsid w:val="00D54BA0"/>
    <w:rsid w:val="00D557BE"/>
    <w:rsid w:val="00D56049"/>
    <w:rsid w:val="00D5620A"/>
    <w:rsid w:val="00D56816"/>
    <w:rsid w:val="00D56FE5"/>
    <w:rsid w:val="00D57053"/>
    <w:rsid w:val="00D57411"/>
    <w:rsid w:val="00D5792B"/>
    <w:rsid w:val="00D57B7C"/>
    <w:rsid w:val="00D60669"/>
    <w:rsid w:val="00D60DE7"/>
    <w:rsid w:val="00D60E1F"/>
    <w:rsid w:val="00D617AA"/>
    <w:rsid w:val="00D617B7"/>
    <w:rsid w:val="00D62511"/>
    <w:rsid w:val="00D629D8"/>
    <w:rsid w:val="00D64467"/>
    <w:rsid w:val="00D6483F"/>
    <w:rsid w:val="00D653F7"/>
    <w:rsid w:val="00D65991"/>
    <w:rsid w:val="00D65BFB"/>
    <w:rsid w:val="00D660AD"/>
    <w:rsid w:val="00D665B8"/>
    <w:rsid w:val="00D6673A"/>
    <w:rsid w:val="00D6698E"/>
    <w:rsid w:val="00D66CC6"/>
    <w:rsid w:val="00D67154"/>
    <w:rsid w:val="00D67609"/>
    <w:rsid w:val="00D676DF"/>
    <w:rsid w:val="00D67878"/>
    <w:rsid w:val="00D67DA9"/>
    <w:rsid w:val="00D67F53"/>
    <w:rsid w:val="00D70552"/>
    <w:rsid w:val="00D705A8"/>
    <w:rsid w:val="00D708F8"/>
    <w:rsid w:val="00D70A9C"/>
    <w:rsid w:val="00D70FEF"/>
    <w:rsid w:val="00D71E7D"/>
    <w:rsid w:val="00D730DD"/>
    <w:rsid w:val="00D73450"/>
    <w:rsid w:val="00D73705"/>
    <w:rsid w:val="00D73897"/>
    <w:rsid w:val="00D739B0"/>
    <w:rsid w:val="00D73E5D"/>
    <w:rsid w:val="00D73F2B"/>
    <w:rsid w:val="00D7407E"/>
    <w:rsid w:val="00D741CA"/>
    <w:rsid w:val="00D7454B"/>
    <w:rsid w:val="00D74AC4"/>
    <w:rsid w:val="00D74F22"/>
    <w:rsid w:val="00D75035"/>
    <w:rsid w:val="00D75117"/>
    <w:rsid w:val="00D759EE"/>
    <w:rsid w:val="00D75A91"/>
    <w:rsid w:val="00D75C79"/>
    <w:rsid w:val="00D76137"/>
    <w:rsid w:val="00D7688C"/>
    <w:rsid w:val="00D77895"/>
    <w:rsid w:val="00D77FA5"/>
    <w:rsid w:val="00D805D8"/>
    <w:rsid w:val="00D80F45"/>
    <w:rsid w:val="00D813FA"/>
    <w:rsid w:val="00D816E0"/>
    <w:rsid w:val="00D81AC3"/>
    <w:rsid w:val="00D81BFF"/>
    <w:rsid w:val="00D821F1"/>
    <w:rsid w:val="00D82741"/>
    <w:rsid w:val="00D82911"/>
    <w:rsid w:val="00D82AE4"/>
    <w:rsid w:val="00D82B1F"/>
    <w:rsid w:val="00D82B5E"/>
    <w:rsid w:val="00D831D3"/>
    <w:rsid w:val="00D835FA"/>
    <w:rsid w:val="00D836CB"/>
    <w:rsid w:val="00D83E43"/>
    <w:rsid w:val="00D83FAB"/>
    <w:rsid w:val="00D840C8"/>
    <w:rsid w:val="00D84A6A"/>
    <w:rsid w:val="00D84AD6"/>
    <w:rsid w:val="00D850B0"/>
    <w:rsid w:val="00D856BC"/>
    <w:rsid w:val="00D85B44"/>
    <w:rsid w:val="00D85BA3"/>
    <w:rsid w:val="00D85CDF"/>
    <w:rsid w:val="00D86271"/>
    <w:rsid w:val="00D86C5F"/>
    <w:rsid w:val="00D8731D"/>
    <w:rsid w:val="00D875FE"/>
    <w:rsid w:val="00D87A2C"/>
    <w:rsid w:val="00D87D65"/>
    <w:rsid w:val="00D87EC4"/>
    <w:rsid w:val="00D90CBE"/>
    <w:rsid w:val="00D90E15"/>
    <w:rsid w:val="00D91EC8"/>
    <w:rsid w:val="00D924CD"/>
    <w:rsid w:val="00D928D8"/>
    <w:rsid w:val="00D92AD0"/>
    <w:rsid w:val="00D92D08"/>
    <w:rsid w:val="00D92E6D"/>
    <w:rsid w:val="00D936F1"/>
    <w:rsid w:val="00D93884"/>
    <w:rsid w:val="00D93D6C"/>
    <w:rsid w:val="00D93DE6"/>
    <w:rsid w:val="00D93F1D"/>
    <w:rsid w:val="00D94381"/>
    <w:rsid w:val="00D94E25"/>
    <w:rsid w:val="00D95801"/>
    <w:rsid w:val="00D95CAC"/>
    <w:rsid w:val="00D95CC6"/>
    <w:rsid w:val="00D963B1"/>
    <w:rsid w:val="00D96548"/>
    <w:rsid w:val="00D97373"/>
    <w:rsid w:val="00D9772E"/>
    <w:rsid w:val="00D97FB6"/>
    <w:rsid w:val="00DA001A"/>
    <w:rsid w:val="00DA02F8"/>
    <w:rsid w:val="00DA0DA0"/>
    <w:rsid w:val="00DA1661"/>
    <w:rsid w:val="00DA17F5"/>
    <w:rsid w:val="00DA1B4A"/>
    <w:rsid w:val="00DA1BFB"/>
    <w:rsid w:val="00DA21D5"/>
    <w:rsid w:val="00DA25F4"/>
    <w:rsid w:val="00DA2AAB"/>
    <w:rsid w:val="00DA2CA1"/>
    <w:rsid w:val="00DA333B"/>
    <w:rsid w:val="00DA37E6"/>
    <w:rsid w:val="00DA39FB"/>
    <w:rsid w:val="00DA3C7F"/>
    <w:rsid w:val="00DA3F88"/>
    <w:rsid w:val="00DA5557"/>
    <w:rsid w:val="00DA5650"/>
    <w:rsid w:val="00DA5824"/>
    <w:rsid w:val="00DA61E0"/>
    <w:rsid w:val="00DA7629"/>
    <w:rsid w:val="00DA7830"/>
    <w:rsid w:val="00DB00D4"/>
    <w:rsid w:val="00DB01A7"/>
    <w:rsid w:val="00DB0511"/>
    <w:rsid w:val="00DB0B33"/>
    <w:rsid w:val="00DB12AB"/>
    <w:rsid w:val="00DB147E"/>
    <w:rsid w:val="00DB158F"/>
    <w:rsid w:val="00DB1785"/>
    <w:rsid w:val="00DB2F44"/>
    <w:rsid w:val="00DB3583"/>
    <w:rsid w:val="00DB3CC5"/>
    <w:rsid w:val="00DB48AD"/>
    <w:rsid w:val="00DB48F5"/>
    <w:rsid w:val="00DB499E"/>
    <w:rsid w:val="00DB4F20"/>
    <w:rsid w:val="00DB4FDA"/>
    <w:rsid w:val="00DB5534"/>
    <w:rsid w:val="00DB55C4"/>
    <w:rsid w:val="00DB588F"/>
    <w:rsid w:val="00DB60F7"/>
    <w:rsid w:val="00DB6305"/>
    <w:rsid w:val="00DB6353"/>
    <w:rsid w:val="00DB6472"/>
    <w:rsid w:val="00DB69B9"/>
    <w:rsid w:val="00DB6B45"/>
    <w:rsid w:val="00DB6C59"/>
    <w:rsid w:val="00DB706D"/>
    <w:rsid w:val="00DB7426"/>
    <w:rsid w:val="00DB7C17"/>
    <w:rsid w:val="00DB7D80"/>
    <w:rsid w:val="00DC02E4"/>
    <w:rsid w:val="00DC0E37"/>
    <w:rsid w:val="00DC1AF7"/>
    <w:rsid w:val="00DC1CC2"/>
    <w:rsid w:val="00DC27F9"/>
    <w:rsid w:val="00DC2DB9"/>
    <w:rsid w:val="00DC34B8"/>
    <w:rsid w:val="00DC3593"/>
    <w:rsid w:val="00DC363C"/>
    <w:rsid w:val="00DC3CFC"/>
    <w:rsid w:val="00DC3D8D"/>
    <w:rsid w:val="00DC4777"/>
    <w:rsid w:val="00DC4F14"/>
    <w:rsid w:val="00DC50FF"/>
    <w:rsid w:val="00DC5524"/>
    <w:rsid w:val="00DC60AE"/>
    <w:rsid w:val="00DC62EF"/>
    <w:rsid w:val="00DC6440"/>
    <w:rsid w:val="00DC64E6"/>
    <w:rsid w:val="00DC6A03"/>
    <w:rsid w:val="00DC6CAA"/>
    <w:rsid w:val="00DC6E2D"/>
    <w:rsid w:val="00DC6EA6"/>
    <w:rsid w:val="00DC6FF7"/>
    <w:rsid w:val="00DC70BA"/>
    <w:rsid w:val="00DC715F"/>
    <w:rsid w:val="00DC71B1"/>
    <w:rsid w:val="00DC72D3"/>
    <w:rsid w:val="00DC77E4"/>
    <w:rsid w:val="00DC7C6E"/>
    <w:rsid w:val="00DC7C7D"/>
    <w:rsid w:val="00DD037A"/>
    <w:rsid w:val="00DD078D"/>
    <w:rsid w:val="00DD0963"/>
    <w:rsid w:val="00DD0DA9"/>
    <w:rsid w:val="00DD0E77"/>
    <w:rsid w:val="00DD1442"/>
    <w:rsid w:val="00DD1DB1"/>
    <w:rsid w:val="00DD1FBC"/>
    <w:rsid w:val="00DD24ED"/>
    <w:rsid w:val="00DD27EB"/>
    <w:rsid w:val="00DD2991"/>
    <w:rsid w:val="00DD2A36"/>
    <w:rsid w:val="00DD2EEA"/>
    <w:rsid w:val="00DD374D"/>
    <w:rsid w:val="00DD3C18"/>
    <w:rsid w:val="00DD44A9"/>
    <w:rsid w:val="00DD45E0"/>
    <w:rsid w:val="00DD4A6D"/>
    <w:rsid w:val="00DD4C4D"/>
    <w:rsid w:val="00DD589A"/>
    <w:rsid w:val="00DD5C38"/>
    <w:rsid w:val="00DD5CD2"/>
    <w:rsid w:val="00DD610B"/>
    <w:rsid w:val="00DD6F94"/>
    <w:rsid w:val="00DE0594"/>
    <w:rsid w:val="00DE05F1"/>
    <w:rsid w:val="00DE06DE"/>
    <w:rsid w:val="00DE1707"/>
    <w:rsid w:val="00DE1DD0"/>
    <w:rsid w:val="00DE2319"/>
    <w:rsid w:val="00DE24EB"/>
    <w:rsid w:val="00DE2692"/>
    <w:rsid w:val="00DE2923"/>
    <w:rsid w:val="00DE2C9B"/>
    <w:rsid w:val="00DE2D8A"/>
    <w:rsid w:val="00DE3030"/>
    <w:rsid w:val="00DE34FC"/>
    <w:rsid w:val="00DE372B"/>
    <w:rsid w:val="00DE3886"/>
    <w:rsid w:val="00DE38C2"/>
    <w:rsid w:val="00DE38F3"/>
    <w:rsid w:val="00DE3FD2"/>
    <w:rsid w:val="00DE4171"/>
    <w:rsid w:val="00DE4248"/>
    <w:rsid w:val="00DE4368"/>
    <w:rsid w:val="00DE4AAB"/>
    <w:rsid w:val="00DE4E6B"/>
    <w:rsid w:val="00DE4F21"/>
    <w:rsid w:val="00DE535A"/>
    <w:rsid w:val="00DE65F0"/>
    <w:rsid w:val="00DE6A78"/>
    <w:rsid w:val="00DE7AC0"/>
    <w:rsid w:val="00DF0501"/>
    <w:rsid w:val="00DF138E"/>
    <w:rsid w:val="00DF1449"/>
    <w:rsid w:val="00DF2743"/>
    <w:rsid w:val="00DF294A"/>
    <w:rsid w:val="00DF365A"/>
    <w:rsid w:val="00DF37BC"/>
    <w:rsid w:val="00DF3D22"/>
    <w:rsid w:val="00DF44A3"/>
    <w:rsid w:val="00DF470C"/>
    <w:rsid w:val="00DF587F"/>
    <w:rsid w:val="00DF5B74"/>
    <w:rsid w:val="00DF632C"/>
    <w:rsid w:val="00DF6352"/>
    <w:rsid w:val="00DF64EF"/>
    <w:rsid w:val="00DF69A9"/>
    <w:rsid w:val="00DF69B3"/>
    <w:rsid w:val="00DF70B1"/>
    <w:rsid w:val="00DF7178"/>
    <w:rsid w:val="00DF7C43"/>
    <w:rsid w:val="00E00543"/>
    <w:rsid w:val="00E005AC"/>
    <w:rsid w:val="00E00910"/>
    <w:rsid w:val="00E009A3"/>
    <w:rsid w:val="00E00A81"/>
    <w:rsid w:val="00E00D8D"/>
    <w:rsid w:val="00E01A7E"/>
    <w:rsid w:val="00E01CD2"/>
    <w:rsid w:val="00E02440"/>
    <w:rsid w:val="00E0282A"/>
    <w:rsid w:val="00E028A5"/>
    <w:rsid w:val="00E02AC9"/>
    <w:rsid w:val="00E02B8D"/>
    <w:rsid w:val="00E02DD9"/>
    <w:rsid w:val="00E03196"/>
    <w:rsid w:val="00E031CB"/>
    <w:rsid w:val="00E0329A"/>
    <w:rsid w:val="00E03435"/>
    <w:rsid w:val="00E03587"/>
    <w:rsid w:val="00E0365B"/>
    <w:rsid w:val="00E03E36"/>
    <w:rsid w:val="00E04045"/>
    <w:rsid w:val="00E042DB"/>
    <w:rsid w:val="00E04954"/>
    <w:rsid w:val="00E04B44"/>
    <w:rsid w:val="00E05214"/>
    <w:rsid w:val="00E05B13"/>
    <w:rsid w:val="00E05B1D"/>
    <w:rsid w:val="00E065C5"/>
    <w:rsid w:val="00E06C9F"/>
    <w:rsid w:val="00E06D21"/>
    <w:rsid w:val="00E106F3"/>
    <w:rsid w:val="00E10B02"/>
    <w:rsid w:val="00E113C6"/>
    <w:rsid w:val="00E114A6"/>
    <w:rsid w:val="00E11C67"/>
    <w:rsid w:val="00E11D2A"/>
    <w:rsid w:val="00E11E51"/>
    <w:rsid w:val="00E11EA8"/>
    <w:rsid w:val="00E12221"/>
    <w:rsid w:val="00E129E1"/>
    <w:rsid w:val="00E12A35"/>
    <w:rsid w:val="00E12BB2"/>
    <w:rsid w:val="00E12D37"/>
    <w:rsid w:val="00E12E66"/>
    <w:rsid w:val="00E13432"/>
    <w:rsid w:val="00E1353F"/>
    <w:rsid w:val="00E13595"/>
    <w:rsid w:val="00E13749"/>
    <w:rsid w:val="00E13C92"/>
    <w:rsid w:val="00E15124"/>
    <w:rsid w:val="00E15174"/>
    <w:rsid w:val="00E151E0"/>
    <w:rsid w:val="00E15531"/>
    <w:rsid w:val="00E15ABC"/>
    <w:rsid w:val="00E15B29"/>
    <w:rsid w:val="00E15BE0"/>
    <w:rsid w:val="00E160F9"/>
    <w:rsid w:val="00E16334"/>
    <w:rsid w:val="00E16391"/>
    <w:rsid w:val="00E16D6F"/>
    <w:rsid w:val="00E16E2F"/>
    <w:rsid w:val="00E16F42"/>
    <w:rsid w:val="00E1725F"/>
    <w:rsid w:val="00E17824"/>
    <w:rsid w:val="00E178B2"/>
    <w:rsid w:val="00E17FED"/>
    <w:rsid w:val="00E2033A"/>
    <w:rsid w:val="00E204F1"/>
    <w:rsid w:val="00E20521"/>
    <w:rsid w:val="00E20688"/>
    <w:rsid w:val="00E206AD"/>
    <w:rsid w:val="00E210AE"/>
    <w:rsid w:val="00E22661"/>
    <w:rsid w:val="00E227F9"/>
    <w:rsid w:val="00E228ED"/>
    <w:rsid w:val="00E22E8B"/>
    <w:rsid w:val="00E2347A"/>
    <w:rsid w:val="00E243BF"/>
    <w:rsid w:val="00E24898"/>
    <w:rsid w:val="00E249E9"/>
    <w:rsid w:val="00E24E89"/>
    <w:rsid w:val="00E24FB1"/>
    <w:rsid w:val="00E25066"/>
    <w:rsid w:val="00E25DA3"/>
    <w:rsid w:val="00E25EB9"/>
    <w:rsid w:val="00E26448"/>
    <w:rsid w:val="00E26694"/>
    <w:rsid w:val="00E26A7F"/>
    <w:rsid w:val="00E26C94"/>
    <w:rsid w:val="00E26CBE"/>
    <w:rsid w:val="00E26D7D"/>
    <w:rsid w:val="00E27457"/>
    <w:rsid w:val="00E278C4"/>
    <w:rsid w:val="00E303FD"/>
    <w:rsid w:val="00E30833"/>
    <w:rsid w:val="00E308D1"/>
    <w:rsid w:val="00E30A41"/>
    <w:rsid w:val="00E30AE1"/>
    <w:rsid w:val="00E30C89"/>
    <w:rsid w:val="00E3159B"/>
    <w:rsid w:val="00E3179A"/>
    <w:rsid w:val="00E318EF"/>
    <w:rsid w:val="00E3202C"/>
    <w:rsid w:val="00E320EA"/>
    <w:rsid w:val="00E321C2"/>
    <w:rsid w:val="00E32235"/>
    <w:rsid w:val="00E3281A"/>
    <w:rsid w:val="00E32C2D"/>
    <w:rsid w:val="00E32D69"/>
    <w:rsid w:val="00E32D81"/>
    <w:rsid w:val="00E33168"/>
    <w:rsid w:val="00E33CBF"/>
    <w:rsid w:val="00E3467A"/>
    <w:rsid w:val="00E347ED"/>
    <w:rsid w:val="00E3485A"/>
    <w:rsid w:val="00E34B7B"/>
    <w:rsid w:val="00E351EE"/>
    <w:rsid w:val="00E3535C"/>
    <w:rsid w:val="00E3544A"/>
    <w:rsid w:val="00E35592"/>
    <w:rsid w:val="00E35BE6"/>
    <w:rsid w:val="00E35C16"/>
    <w:rsid w:val="00E366C9"/>
    <w:rsid w:val="00E3676E"/>
    <w:rsid w:val="00E378C7"/>
    <w:rsid w:val="00E379D8"/>
    <w:rsid w:val="00E404CB"/>
    <w:rsid w:val="00E404D4"/>
    <w:rsid w:val="00E40E27"/>
    <w:rsid w:val="00E4159E"/>
    <w:rsid w:val="00E415A3"/>
    <w:rsid w:val="00E42455"/>
    <w:rsid w:val="00E4248C"/>
    <w:rsid w:val="00E43528"/>
    <w:rsid w:val="00E4389A"/>
    <w:rsid w:val="00E43AFC"/>
    <w:rsid w:val="00E43E1B"/>
    <w:rsid w:val="00E4411F"/>
    <w:rsid w:val="00E4608E"/>
    <w:rsid w:val="00E460E5"/>
    <w:rsid w:val="00E46B3A"/>
    <w:rsid w:val="00E46CA5"/>
    <w:rsid w:val="00E46E8B"/>
    <w:rsid w:val="00E4714E"/>
    <w:rsid w:val="00E474B4"/>
    <w:rsid w:val="00E479B9"/>
    <w:rsid w:val="00E5084A"/>
    <w:rsid w:val="00E51253"/>
    <w:rsid w:val="00E5171C"/>
    <w:rsid w:val="00E5171F"/>
    <w:rsid w:val="00E51884"/>
    <w:rsid w:val="00E522BD"/>
    <w:rsid w:val="00E531C8"/>
    <w:rsid w:val="00E5334F"/>
    <w:rsid w:val="00E53D3B"/>
    <w:rsid w:val="00E53D5D"/>
    <w:rsid w:val="00E53F3C"/>
    <w:rsid w:val="00E5449E"/>
    <w:rsid w:val="00E54668"/>
    <w:rsid w:val="00E54997"/>
    <w:rsid w:val="00E54D9B"/>
    <w:rsid w:val="00E5554B"/>
    <w:rsid w:val="00E5590F"/>
    <w:rsid w:val="00E56194"/>
    <w:rsid w:val="00E56550"/>
    <w:rsid w:val="00E573E6"/>
    <w:rsid w:val="00E5740B"/>
    <w:rsid w:val="00E57471"/>
    <w:rsid w:val="00E57588"/>
    <w:rsid w:val="00E6026E"/>
    <w:rsid w:val="00E6040F"/>
    <w:rsid w:val="00E60672"/>
    <w:rsid w:val="00E60D0D"/>
    <w:rsid w:val="00E610A8"/>
    <w:rsid w:val="00E61AB5"/>
    <w:rsid w:val="00E61BA1"/>
    <w:rsid w:val="00E626A2"/>
    <w:rsid w:val="00E62775"/>
    <w:rsid w:val="00E6348D"/>
    <w:rsid w:val="00E63A89"/>
    <w:rsid w:val="00E63B8C"/>
    <w:rsid w:val="00E63C95"/>
    <w:rsid w:val="00E63F6F"/>
    <w:rsid w:val="00E64254"/>
    <w:rsid w:val="00E648D3"/>
    <w:rsid w:val="00E64E97"/>
    <w:rsid w:val="00E65319"/>
    <w:rsid w:val="00E6541F"/>
    <w:rsid w:val="00E657F0"/>
    <w:rsid w:val="00E66162"/>
    <w:rsid w:val="00E67305"/>
    <w:rsid w:val="00E67491"/>
    <w:rsid w:val="00E679D1"/>
    <w:rsid w:val="00E67A85"/>
    <w:rsid w:val="00E70461"/>
    <w:rsid w:val="00E70709"/>
    <w:rsid w:val="00E709B7"/>
    <w:rsid w:val="00E70BF6"/>
    <w:rsid w:val="00E70CA1"/>
    <w:rsid w:val="00E70F77"/>
    <w:rsid w:val="00E711F3"/>
    <w:rsid w:val="00E71737"/>
    <w:rsid w:val="00E734D8"/>
    <w:rsid w:val="00E7358D"/>
    <w:rsid w:val="00E7393A"/>
    <w:rsid w:val="00E739AD"/>
    <w:rsid w:val="00E73CB6"/>
    <w:rsid w:val="00E741F0"/>
    <w:rsid w:val="00E74243"/>
    <w:rsid w:val="00E74287"/>
    <w:rsid w:val="00E74F18"/>
    <w:rsid w:val="00E750F4"/>
    <w:rsid w:val="00E753E6"/>
    <w:rsid w:val="00E76021"/>
    <w:rsid w:val="00E763B5"/>
    <w:rsid w:val="00E7662B"/>
    <w:rsid w:val="00E767FF"/>
    <w:rsid w:val="00E76A2C"/>
    <w:rsid w:val="00E77447"/>
    <w:rsid w:val="00E77B27"/>
    <w:rsid w:val="00E77B94"/>
    <w:rsid w:val="00E77C3E"/>
    <w:rsid w:val="00E8060A"/>
    <w:rsid w:val="00E80711"/>
    <w:rsid w:val="00E80FA1"/>
    <w:rsid w:val="00E81353"/>
    <w:rsid w:val="00E8139E"/>
    <w:rsid w:val="00E81749"/>
    <w:rsid w:val="00E81B8F"/>
    <w:rsid w:val="00E81E6C"/>
    <w:rsid w:val="00E82479"/>
    <w:rsid w:val="00E8255D"/>
    <w:rsid w:val="00E82A6E"/>
    <w:rsid w:val="00E82EA5"/>
    <w:rsid w:val="00E83277"/>
    <w:rsid w:val="00E83357"/>
    <w:rsid w:val="00E8381A"/>
    <w:rsid w:val="00E83840"/>
    <w:rsid w:val="00E83CFB"/>
    <w:rsid w:val="00E84C6C"/>
    <w:rsid w:val="00E84DC3"/>
    <w:rsid w:val="00E8524C"/>
    <w:rsid w:val="00E856DA"/>
    <w:rsid w:val="00E85780"/>
    <w:rsid w:val="00E85E8C"/>
    <w:rsid w:val="00E85ED3"/>
    <w:rsid w:val="00E867CE"/>
    <w:rsid w:val="00E86DC9"/>
    <w:rsid w:val="00E870D2"/>
    <w:rsid w:val="00E8744A"/>
    <w:rsid w:val="00E87738"/>
    <w:rsid w:val="00E87753"/>
    <w:rsid w:val="00E8786F"/>
    <w:rsid w:val="00E87956"/>
    <w:rsid w:val="00E87FF6"/>
    <w:rsid w:val="00E9095A"/>
    <w:rsid w:val="00E90A5C"/>
    <w:rsid w:val="00E90AEE"/>
    <w:rsid w:val="00E90BC2"/>
    <w:rsid w:val="00E90C34"/>
    <w:rsid w:val="00E90E62"/>
    <w:rsid w:val="00E91062"/>
    <w:rsid w:val="00E9140B"/>
    <w:rsid w:val="00E9153C"/>
    <w:rsid w:val="00E92037"/>
    <w:rsid w:val="00E923C5"/>
    <w:rsid w:val="00E92500"/>
    <w:rsid w:val="00E93308"/>
    <w:rsid w:val="00E93AED"/>
    <w:rsid w:val="00E93F3B"/>
    <w:rsid w:val="00E9455F"/>
    <w:rsid w:val="00E94CEE"/>
    <w:rsid w:val="00E94F54"/>
    <w:rsid w:val="00E9517A"/>
    <w:rsid w:val="00E95ABC"/>
    <w:rsid w:val="00E95E84"/>
    <w:rsid w:val="00E96176"/>
    <w:rsid w:val="00E962C4"/>
    <w:rsid w:val="00E9644C"/>
    <w:rsid w:val="00E965AB"/>
    <w:rsid w:val="00E968C5"/>
    <w:rsid w:val="00E96B79"/>
    <w:rsid w:val="00E97258"/>
    <w:rsid w:val="00E9777D"/>
    <w:rsid w:val="00E978F7"/>
    <w:rsid w:val="00E97970"/>
    <w:rsid w:val="00E97E5F"/>
    <w:rsid w:val="00E97E9E"/>
    <w:rsid w:val="00EA0519"/>
    <w:rsid w:val="00EA05B3"/>
    <w:rsid w:val="00EA0CE3"/>
    <w:rsid w:val="00EA223D"/>
    <w:rsid w:val="00EA3516"/>
    <w:rsid w:val="00EA35F8"/>
    <w:rsid w:val="00EA43C0"/>
    <w:rsid w:val="00EA46B1"/>
    <w:rsid w:val="00EA4B76"/>
    <w:rsid w:val="00EA51D1"/>
    <w:rsid w:val="00EA5623"/>
    <w:rsid w:val="00EA5A27"/>
    <w:rsid w:val="00EA5BFC"/>
    <w:rsid w:val="00EA5F17"/>
    <w:rsid w:val="00EA645B"/>
    <w:rsid w:val="00EA6504"/>
    <w:rsid w:val="00EA6996"/>
    <w:rsid w:val="00EA6ABE"/>
    <w:rsid w:val="00EA6BEE"/>
    <w:rsid w:val="00EA7D81"/>
    <w:rsid w:val="00EA7EE1"/>
    <w:rsid w:val="00EB0770"/>
    <w:rsid w:val="00EB1061"/>
    <w:rsid w:val="00EB1A0D"/>
    <w:rsid w:val="00EB27B8"/>
    <w:rsid w:val="00EB2AD4"/>
    <w:rsid w:val="00EB3679"/>
    <w:rsid w:val="00EB36F5"/>
    <w:rsid w:val="00EB3757"/>
    <w:rsid w:val="00EB391F"/>
    <w:rsid w:val="00EB3E5B"/>
    <w:rsid w:val="00EB41A2"/>
    <w:rsid w:val="00EB4BCB"/>
    <w:rsid w:val="00EB5BE6"/>
    <w:rsid w:val="00EB5C24"/>
    <w:rsid w:val="00EB5DB1"/>
    <w:rsid w:val="00EB625F"/>
    <w:rsid w:val="00EB649C"/>
    <w:rsid w:val="00EB66FB"/>
    <w:rsid w:val="00EB6A30"/>
    <w:rsid w:val="00EB6A6D"/>
    <w:rsid w:val="00EB6D9B"/>
    <w:rsid w:val="00EB7633"/>
    <w:rsid w:val="00EB7DBF"/>
    <w:rsid w:val="00EC026E"/>
    <w:rsid w:val="00EC037B"/>
    <w:rsid w:val="00EC03FE"/>
    <w:rsid w:val="00EC0B29"/>
    <w:rsid w:val="00EC0DB1"/>
    <w:rsid w:val="00EC0F22"/>
    <w:rsid w:val="00EC17A5"/>
    <w:rsid w:val="00EC1BD4"/>
    <w:rsid w:val="00EC1CA3"/>
    <w:rsid w:val="00EC1E47"/>
    <w:rsid w:val="00EC1E4D"/>
    <w:rsid w:val="00EC26DE"/>
    <w:rsid w:val="00EC2C69"/>
    <w:rsid w:val="00EC2DC8"/>
    <w:rsid w:val="00EC30DA"/>
    <w:rsid w:val="00EC352E"/>
    <w:rsid w:val="00EC3916"/>
    <w:rsid w:val="00EC3951"/>
    <w:rsid w:val="00EC39F8"/>
    <w:rsid w:val="00EC3BC5"/>
    <w:rsid w:val="00EC3EBA"/>
    <w:rsid w:val="00EC4375"/>
    <w:rsid w:val="00EC4520"/>
    <w:rsid w:val="00EC4550"/>
    <w:rsid w:val="00EC47BB"/>
    <w:rsid w:val="00EC4A2D"/>
    <w:rsid w:val="00EC519C"/>
    <w:rsid w:val="00EC55FD"/>
    <w:rsid w:val="00EC57A3"/>
    <w:rsid w:val="00EC5BDB"/>
    <w:rsid w:val="00EC5D5A"/>
    <w:rsid w:val="00EC60B9"/>
    <w:rsid w:val="00EC6660"/>
    <w:rsid w:val="00EC6791"/>
    <w:rsid w:val="00EC7A7B"/>
    <w:rsid w:val="00ED05A0"/>
    <w:rsid w:val="00ED08E5"/>
    <w:rsid w:val="00ED090C"/>
    <w:rsid w:val="00ED14E6"/>
    <w:rsid w:val="00ED21C5"/>
    <w:rsid w:val="00ED24ED"/>
    <w:rsid w:val="00ED256B"/>
    <w:rsid w:val="00ED267A"/>
    <w:rsid w:val="00ED279C"/>
    <w:rsid w:val="00ED28FA"/>
    <w:rsid w:val="00ED3268"/>
    <w:rsid w:val="00ED48AA"/>
    <w:rsid w:val="00ED4F13"/>
    <w:rsid w:val="00ED50B5"/>
    <w:rsid w:val="00ED5207"/>
    <w:rsid w:val="00ED5DC9"/>
    <w:rsid w:val="00ED66C0"/>
    <w:rsid w:val="00ED687A"/>
    <w:rsid w:val="00ED76A6"/>
    <w:rsid w:val="00ED796B"/>
    <w:rsid w:val="00ED7C7C"/>
    <w:rsid w:val="00EE0E1C"/>
    <w:rsid w:val="00EE0F72"/>
    <w:rsid w:val="00EE0FDE"/>
    <w:rsid w:val="00EE17B6"/>
    <w:rsid w:val="00EE20BB"/>
    <w:rsid w:val="00EE215D"/>
    <w:rsid w:val="00EE26F5"/>
    <w:rsid w:val="00EE2CF2"/>
    <w:rsid w:val="00EE2D4B"/>
    <w:rsid w:val="00EE2E1F"/>
    <w:rsid w:val="00EE2F0B"/>
    <w:rsid w:val="00EE3867"/>
    <w:rsid w:val="00EE395F"/>
    <w:rsid w:val="00EE3D21"/>
    <w:rsid w:val="00EE42AF"/>
    <w:rsid w:val="00EE49E3"/>
    <w:rsid w:val="00EE4CE3"/>
    <w:rsid w:val="00EE5A99"/>
    <w:rsid w:val="00EE5B07"/>
    <w:rsid w:val="00EE5CB0"/>
    <w:rsid w:val="00EE5E82"/>
    <w:rsid w:val="00EE5EDF"/>
    <w:rsid w:val="00EE5F53"/>
    <w:rsid w:val="00EE61C3"/>
    <w:rsid w:val="00EE6F1A"/>
    <w:rsid w:val="00EE7A01"/>
    <w:rsid w:val="00EF03D1"/>
    <w:rsid w:val="00EF0BB1"/>
    <w:rsid w:val="00EF15BB"/>
    <w:rsid w:val="00EF17A1"/>
    <w:rsid w:val="00EF1915"/>
    <w:rsid w:val="00EF1ABC"/>
    <w:rsid w:val="00EF1BA4"/>
    <w:rsid w:val="00EF2B3D"/>
    <w:rsid w:val="00EF2CD2"/>
    <w:rsid w:val="00EF2DE5"/>
    <w:rsid w:val="00EF357B"/>
    <w:rsid w:val="00EF3A52"/>
    <w:rsid w:val="00EF3B0B"/>
    <w:rsid w:val="00EF3DBF"/>
    <w:rsid w:val="00EF3E63"/>
    <w:rsid w:val="00EF426D"/>
    <w:rsid w:val="00EF4A80"/>
    <w:rsid w:val="00EF557B"/>
    <w:rsid w:val="00EF566B"/>
    <w:rsid w:val="00EF5A11"/>
    <w:rsid w:val="00EF5CD1"/>
    <w:rsid w:val="00EF5ED0"/>
    <w:rsid w:val="00EF645A"/>
    <w:rsid w:val="00EF6828"/>
    <w:rsid w:val="00EF6B1C"/>
    <w:rsid w:val="00EF6E78"/>
    <w:rsid w:val="00EF7114"/>
    <w:rsid w:val="00EF726B"/>
    <w:rsid w:val="00EF7D90"/>
    <w:rsid w:val="00EF7E34"/>
    <w:rsid w:val="00F00912"/>
    <w:rsid w:val="00F00B5E"/>
    <w:rsid w:val="00F00DA0"/>
    <w:rsid w:val="00F00EDB"/>
    <w:rsid w:val="00F0104B"/>
    <w:rsid w:val="00F017FF"/>
    <w:rsid w:val="00F01C3D"/>
    <w:rsid w:val="00F0263A"/>
    <w:rsid w:val="00F02BF4"/>
    <w:rsid w:val="00F030A9"/>
    <w:rsid w:val="00F032BB"/>
    <w:rsid w:val="00F03325"/>
    <w:rsid w:val="00F03376"/>
    <w:rsid w:val="00F03690"/>
    <w:rsid w:val="00F03FF6"/>
    <w:rsid w:val="00F0429C"/>
    <w:rsid w:val="00F04667"/>
    <w:rsid w:val="00F0479E"/>
    <w:rsid w:val="00F048B1"/>
    <w:rsid w:val="00F04DB6"/>
    <w:rsid w:val="00F0560C"/>
    <w:rsid w:val="00F0594E"/>
    <w:rsid w:val="00F05B6D"/>
    <w:rsid w:val="00F05F2F"/>
    <w:rsid w:val="00F05FAB"/>
    <w:rsid w:val="00F06445"/>
    <w:rsid w:val="00F067C2"/>
    <w:rsid w:val="00F06A3C"/>
    <w:rsid w:val="00F070A7"/>
    <w:rsid w:val="00F07362"/>
    <w:rsid w:val="00F1064A"/>
    <w:rsid w:val="00F11129"/>
    <w:rsid w:val="00F1160A"/>
    <w:rsid w:val="00F116F4"/>
    <w:rsid w:val="00F1190F"/>
    <w:rsid w:val="00F11CC0"/>
    <w:rsid w:val="00F12263"/>
    <w:rsid w:val="00F13504"/>
    <w:rsid w:val="00F13559"/>
    <w:rsid w:val="00F13594"/>
    <w:rsid w:val="00F14204"/>
    <w:rsid w:val="00F14AAE"/>
    <w:rsid w:val="00F14CBC"/>
    <w:rsid w:val="00F15418"/>
    <w:rsid w:val="00F15572"/>
    <w:rsid w:val="00F158FE"/>
    <w:rsid w:val="00F15B87"/>
    <w:rsid w:val="00F15F52"/>
    <w:rsid w:val="00F1656F"/>
    <w:rsid w:val="00F16E8C"/>
    <w:rsid w:val="00F16F91"/>
    <w:rsid w:val="00F17003"/>
    <w:rsid w:val="00F1720C"/>
    <w:rsid w:val="00F175DA"/>
    <w:rsid w:val="00F175DD"/>
    <w:rsid w:val="00F17B88"/>
    <w:rsid w:val="00F17C5B"/>
    <w:rsid w:val="00F17F29"/>
    <w:rsid w:val="00F206E6"/>
    <w:rsid w:val="00F20A43"/>
    <w:rsid w:val="00F20B22"/>
    <w:rsid w:val="00F2134D"/>
    <w:rsid w:val="00F215CC"/>
    <w:rsid w:val="00F217A8"/>
    <w:rsid w:val="00F22D56"/>
    <w:rsid w:val="00F22DC0"/>
    <w:rsid w:val="00F22E99"/>
    <w:rsid w:val="00F2335A"/>
    <w:rsid w:val="00F23D14"/>
    <w:rsid w:val="00F244FD"/>
    <w:rsid w:val="00F248A8"/>
    <w:rsid w:val="00F24CFC"/>
    <w:rsid w:val="00F25444"/>
    <w:rsid w:val="00F25AF9"/>
    <w:rsid w:val="00F25DBB"/>
    <w:rsid w:val="00F26793"/>
    <w:rsid w:val="00F27FE6"/>
    <w:rsid w:val="00F302E2"/>
    <w:rsid w:val="00F308C2"/>
    <w:rsid w:val="00F309A7"/>
    <w:rsid w:val="00F3119C"/>
    <w:rsid w:val="00F31377"/>
    <w:rsid w:val="00F3184D"/>
    <w:rsid w:val="00F319CD"/>
    <w:rsid w:val="00F32200"/>
    <w:rsid w:val="00F32764"/>
    <w:rsid w:val="00F3295B"/>
    <w:rsid w:val="00F32BF4"/>
    <w:rsid w:val="00F32C49"/>
    <w:rsid w:val="00F330BA"/>
    <w:rsid w:val="00F3350C"/>
    <w:rsid w:val="00F33E05"/>
    <w:rsid w:val="00F343E2"/>
    <w:rsid w:val="00F345B8"/>
    <w:rsid w:val="00F3498F"/>
    <w:rsid w:val="00F34B50"/>
    <w:rsid w:val="00F34FE9"/>
    <w:rsid w:val="00F3537B"/>
    <w:rsid w:val="00F355AE"/>
    <w:rsid w:val="00F35F7D"/>
    <w:rsid w:val="00F35F80"/>
    <w:rsid w:val="00F3611C"/>
    <w:rsid w:val="00F36A98"/>
    <w:rsid w:val="00F36DDD"/>
    <w:rsid w:val="00F37208"/>
    <w:rsid w:val="00F37794"/>
    <w:rsid w:val="00F37F8F"/>
    <w:rsid w:val="00F40035"/>
    <w:rsid w:val="00F40576"/>
    <w:rsid w:val="00F40B3E"/>
    <w:rsid w:val="00F41086"/>
    <w:rsid w:val="00F41219"/>
    <w:rsid w:val="00F41256"/>
    <w:rsid w:val="00F41487"/>
    <w:rsid w:val="00F417B0"/>
    <w:rsid w:val="00F4189B"/>
    <w:rsid w:val="00F4216D"/>
    <w:rsid w:val="00F4293E"/>
    <w:rsid w:val="00F4338D"/>
    <w:rsid w:val="00F434A7"/>
    <w:rsid w:val="00F43EEE"/>
    <w:rsid w:val="00F43F54"/>
    <w:rsid w:val="00F43FE5"/>
    <w:rsid w:val="00F4404C"/>
    <w:rsid w:val="00F4432E"/>
    <w:rsid w:val="00F45414"/>
    <w:rsid w:val="00F45482"/>
    <w:rsid w:val="00F4568C"/>
    <w:rsid w:val="00F4569E"/>
    <w:rsid w:val="00F46A3F"/>
    <w:rsid w:val="00F4766A"/>
    <w:rsid w:val="00F50F52"/>
    <w:rsid w:val="00F51F85"/>
    <w:rsid w:val="00F52137"/>
    <w:rsid w:val="00F52720"/>
    <w:rsid w:val="00F528FB"/>
    <w:rsid w:val="00F52AAD"/>
    <w:rsid w:val="00F53267"/>
    <w:rsid w:val="00F532AE"/>
    <w:rsid w:val="00F53FE5"/>
    <w:rsid w:val="00F54311"/>
    <w:rsid w:val="00F55543"/>
    <w:rsid w:val="00F555A8"/>
    <w:rsid w:val="00F55806"/>
    <w:rsid w:val="00F55908"/>
    <w:rsid w:val="00F55BAA"/>
    <w:rsid w:val="00F56D33"/>
    <w:rsid w:val="00F5766F"/>
    <w:rsid w:val="00F57C05"/>
    <w:rsid w:val="00F57F72"/>
    <w:rsid w:val="00F60934"/>
    <w:rsid w:val="00F612FC"/>
    <w:rsid w:val="00F617D9"/>
    <w:rsid w:val="00F61899"/>
    <w:rsid w:val="00F61C45"/>
    <w:rsid w:val="00F623BF"/>
    <w:rsid w:val="00F62625"/>
    <w:rsid w:val="00F627C8"/>
    <w:rsid w:val="00F62E9C"/>
    <w:rsid w:val="00F631E0"/>
    <w:rsid w:val="00F6397F"/>
    <w:rsid w:val="00F639B8"/>
    <w:rsid w:val="00F63AA4"/>
    <w:rsid w:val="00F63F55"/>
    <w:rsid w:val="00F6410E"/>
    <w:rsid w:val="00F641FE"/>
    <w:rsid w:val="00F64497"/>
    <w:rsid w:val="00F64A7D"/>
    <w:rsid w:val="00F652EF"/>
    <w:rsid w:val="00F65400"/>
    <w:rsid w:val="00F65653"/>
    <w:rsid w:val="00F657A5"/>
    <w:rsid w:val="00F65F45"/>
    <w:rsid w:val="00F667AD"/>
    <w:rsid w:val="00F66D97"/>
    <w:rsid w:val="00F6723B"/>
    <w:rsid w:val="00F67311"/>
    <w:rsid w:val="00F67A8A"/>
    <w:rsid w:val="00F70F61"/>
    <w:rsid w:val="00F71447"/>
    <w:rsid w:val="00F71488"/>
    <w:rsid w:val="00F71830"/>
    <w:rsid w:val="00F72C81"/>
    <w:rsid w:val="00F72C9B"/>
    <w:rsid w:val="00F730ED"/>
    <w:rsid w:val="00F73C3E"/>
    <w:rsid w:val="00F7467B"/>
    <w:rsid w:val="00F74CFA"/>
    <w:rsid w:val="00F7541A"/>
    <w:rsid w:val="00F759C9"/>
    <w:rsid w:val="00F759F6"/>
    <w:rsid w:val="00F75A31"/>
    <w:rsid w:val="00F75F40"/>
    <w:rsid w:val="00F76629"/>
    <w:rsid w:val="00F7698F"/>
    <w:rsid w:val="00F76ECD"/>
    <w:rsid w:val="00F773F7"/>
    <w:rsid w:val="00F77CDB"/>
    <w:rsid w:val="00F80571"/>
    <w:rsid w:val="00F8064C"/>
    <w:rsid w:val="00F8069B"/>
    <w:rsid w:val="00F8071E"/>
    <w:rsid w:val="00F80C5A"/>
    <w:rsid w:val="00F80FF1"/>
    <w:rsid w:val="00F8103D"/>
    <w:rsid w:val="00F814C2"/>
    <w:rsid w:val="00F81F46"/>
    <w:rsid w:val="00F8217F"/>
    <w:rsid w:val="00F823A4"/>
    <w:rsid w:val="00F82576"/>
    <w:rsid w:val="00F8271B"/>
    <w:rsid w:val="00F8336A"/>
    <w:rsid w:val="00F8399E"/>
    <w:rsid w:val="00F83AFC"/>
    <w:rsid w:val="00F83E77"/>
    <w:rsid w:val="00F84303"/>
    <w:rsid w:val="00F84F8D"/>
    <w:rsid w:val="00F86DB2"/>
    <w:rsid w:val="00F86FC7"/>
    <w:rsid w:val="00F87217"/>
    <w:rsid w:val="00F87CD1"/>
    <w:rsid w:val="00F9293A"/>
    <w:rsid w:val="00F936BA"/>
    <w:rsid w:val="00F936F5"/>
    <w:rsid w:val="00F937D2"/>
    <w:rsid w:val="00F93A40"/>
    <w:rsid w:val="00F93BE2"/>
    <w:rsid w:val="00F93E6E"/>
    <w:rsid w:val="00F94596"/>
    <w:rsid w:val="00F954A2"/>
    <w:rsid w:val="00F95C73"/>
    <w:rsid w:val="00F96029"/>
    <w:rsid w:val="00F961EE"/>
    <w:rsid w:val="00F96802"/>
    <w:rsid w:val="00F968F4"/>
    <w:rsid w:val="00F96FE1"/>
    <w:rsid w:val="00F97018"/>
    <w:rsid w:val="00F972DF"/>
    <w:rsid w:val="00F976DC"/>
    <w:rsid w:val="00FA086F"/>
    <w:rsid w:val="00FA0B52"/>
    <w:rsid w:val="00FA0E4E"/>
    <w:rsid w:val="00FA1B47"/>
    <w:rsid w:val="00FA1FB9"/>
    <w:rsid w:val="00FA21FC"/>
    <w:rsid w:val="00FA2348"/>
    <w:rsid w:val="00FA2460"/>
    <w:rsid w:val="00FA2710"/>
    <w:rsid w:val="00FA2F4A"/>
    <w:rsid w:val="00FA2FCF"/>
    <w:rsid w:val="00FA3732"/>
    <w:rsid w:val="00FA37E5"/>
    <w:rsid w:val="00FA3E3E"/>
    <w:rsid w:val="00FA44CD"/>
    <w:rsid w:val="00FA586F"/>
    <w:rsid w:val="00FA58F1"/>
    <w:rsid w:val="00FA6343"/>
    <w:rsid w:val="00FA6625"/>
    <w:rsid w:val="00FA6F4E"/>
    <w:rsid w:val="00FA70A3"/>
    <w:rsid w:val="00FA70A6"/>
    <w:rsid w:val="00FA730D"/>
    <w:rsid w:val="00FA738F"/>
    <w:rsid w:val="00FA7561"/>
    <w:rsid w:val="00FB008A"/>
    <w:rsid w:val="00FB0472"/>
    <w:rsid w:val="00FB0906"/>
    <w:rsid w:val="00FB0B3A"/>
    <w:rsid w:val="00FB0D82"/>
    <w:rsid w:val="00FB1519"/>
    <w:rsid w:val="00FB1E14"/>
    <w:rsid w:val="00FB2266"/>
    <w:rsid w:val="00FB2484"/>
    <w:rsid w:val="00FB278F"/>
    <w:rsid w:val="00FB2879"/>
    <w:rsid w:val="00FB2FC6"/>
    <w:rsid w:val="00FB3E33"/>
    <w:rsid w:val="00FB48AA"/>
    <w:rsid w:val="00FB48F6"/>
    <w:rsid w:val="00FB4BB0"/>
    <w:rsid w:val="00FB4E96"/>
    <w:rsid w:val="00FB5872"/>
    <w:rsid w:val="00FB5DC9"/>
    <w:rsid w:val="00FB5E59"/>
    <w:rsid w:val="00FB5ED4"/>
    <w:rsid w:val="00FB5FD0"/>
    <w:rsid w:val="00FB60B5"/>
    <w:rsid w:val="00FB69EB"/>
    <w:rsid w:val="00FB6C6F"/>
    <w:rsid w:val="00FB702C"/>
    <w:rsid w:val="00FC0E5E"/>
    <w:rsid w:val="00FC129F"/>
    <w:rsid w:val="00FC1570"/>
    <w:rsid w:val="00FC21E8"/>
    <w:rsid w:val="00FC2611"/>
    <w:rsid w:val="00FC286F"/>
    <w:rsid w:val="00FC2B44"/>
    <w:rsid w:val="00FC2CB2"/>
    <w:rsid w:val="00FC2CF4"/>
    <w:rsid w:val="00FC39C8"/>
    <w:rsid w:val="00FC3AF7"/>
    <w:rsid w:val="00FC44FA"/>
    <w:rsid w:val="00FC4A80"/>
    <w:rsid w:val="00FC58B4"/>
    <w:rsid w:val="00FC58B8"/>
    <w:rsid w:val="00FC5974"/>
    <w:rsid w:val="00FC5DB1"/>
    <w:rsid w:val="00FC6175"/>
    <w:rsid w:val="00FC6266"/>
    <w:rsid w:val="00FC66BD"/>
    <w:rsid w:val="00FC70FA"/>
    <w:rsid w:val="00FC7848"/>
    <w:rsid w:val="00FC7B7D"/>
    <w:rsid w:val="00FC7CF6"/>
    <w:rsid w:val="00FC7FDF"/>
    <w:rsid w:val="00FD053D"/>
    <w:rsid w:val="00FD09AE"/>
    <w:rsid w:val="00FD09E6"/>
    <w:rsid w:val="00FD105A"/>
    <w:rsid w:val="00FD159A"/>
    <w:rsid w:val="00FD21B4"/>
    <w:rsid w:val="00FD23C7"/>
    <w:rsid w:val="00FD2839"/>
    <w:rsid w:val="00FD28F1"/>
    <w:rsid w:val="00FD2AFB"/>
    <w:rsid w:val="00FD2FFF"/>
    <w:rsid w:val="00FD32A6"/>
    <w:rsid w:val="00FD35FA"/>
    <w:rsid w:val="00FD3720"/>
    <w:rsid w:val="00FD3D5C"/>
    <w:rsid w:val="00FD4248"/>
    <w:rsid w:val="00FD4507"/>
    <w:rsid w:val="00FD472A"/>
    <w:rsid w:val="00FD4A3C"/>
    <w:rsid w:val="00FD4B20"/>
    <w:rsid w:val="00FD5141"/>
    <w:rsid w:val="00FD5523"/>
    <w:rsid w:val="00FD6B2C"/>
    <w:rsid w:val="00FD6B2E"/>
    <w:rsid w:val="00FD6E9B"/>
    <w:rsid w:val="00FD7B44"/>
    <w:rsid w:val="00FE0242"/>
    <w:rsid w:val="00FE098B"/>
    <w:rsid w:val="00FE0BBA"/>
    <w:rsid w:val="00FE12CB"/>
    <w:rsid w:val="00FE12F3"/>
    <w:rsid w:val="00FE1541"/>
    <w:rsid w:val="00FE16F2"/>
    <w:rsid w:val="00FE17B2"/>
    <w:rsid w:val="00FE17BE"/>
    <w:rsid w:val="00FE189B"/>
    <w:rsid w:val="00FE1EDE"/>
    <w:rsid w:val="00FE1F87"/>
    <w:rsid w:val="00FE1F97"/>
    <w:rsid w:val="00FE1FCD"/>
    <w:rsid w:val="00FE292B"/>
    <w:rsid w:val="00FE2AD3"/>
    <w:rsid w:val="00FE304A"/>
    <w:rsid w:val="00FE30F3"/>
    <w:rsid w:val="00FE32EC"/>
    <w:rsid w:val="00FE348D"/>
    <w:rsid w:val="00FE3D0E"/>
    <w:rsid w:val="00FE3ED8"/>
    <w:rsid w:val="00FE4028"/>
    <w:rsid w:val="00FE4F60"/>
    <w:rsid w:val="00FE5337"/>
    <w:rsid w:val="00FE5468"/>
    <w:rsid w:val="00FE608C"/>
    <w:rsid w:val="00FE6221"/>
    <w:rsid w:val="00FE6459"/>
    <w:rsid w:val="00FE66D0"/>
    <w:rsid w:val="00FE72CD"/>
    <w:rsid w:val="00FE786E"/>
    <w:rsid w:val="00FF038A"/>
    <w:rsid w:val="00FF06F1"/>
    <w:rsid w:val="00FF1469"/>
    <w:rsid w:val="00FF14CC"/>
    <w:rsid w:val="00FF1665"/>
    <w:rsid w:val="00FF1FB5"/>
    <w:rsid w:val="00FF280E"/>
    <w:rsid w:val="00FF2C1D"/>
    <w:rsid w:val="00FF38E5"/>
    <w:rsid w:val="00FF3BB5"/>
    <w:rsid w:val="00FF4693"/>
    <w:rsid w:val="00FF4962"/>
    <w:rsid w:val="00FF4993"/>
    <w:rsid w:val="00FF4A6A"/>
    <w:rsid w:val="00FF4DAB"/>
    <w:rsid w:val="00FF55CB"/>
    <w:rsid w:val="00FF5625"/>
    <w:rsid w:val="00FF642C"/>
    <w:rsid w:val="00FF64C5"/>
    <w:rsid w:val="00FF6740"/>
    <w:rsid w:val="00FF6B27"/>
    <w:rsid w:val="00FF6B4A"/>
    <w:rsid w:val="00FF6D7A"/>
    <w:rsid w:val="00FF7020"/>
    <w:rsid w:val="00FF78CD"/>
    <w:rsid w:val="00FF7C0E"/>
    <w:rsid w:val="00FF7E4F"/>
    <w:rsid w:val="00FF7F10"/>
  </w:rsids>
  <m:mathPr>
    <m:mathFont m:val="Cambria Math"/>
    <m:brkBin m:val="before"/>
    <m:brkBinSub m:val="--"/>
    <m:smallFrac m:val="0"/>
    <m:dispDef/>
    <m:lMargin m:val="0"/>
    <m:rMargin m:val="0"/>
    <m:defJc m:val="centerGroup"/>
    <m:wrapIndent m:val="1440"/>
    <m:intLim m:val="subSup"/>
    <m:naryLim m:val="undOvr"/>
  </m:mathPr>
  <w:attachedSchema w:val="http://www.w3.org/2005/Atom"/>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F89"/>
    <w:pPr>
      <w:spacing w:before="240" w:after="0" w:line="360" w:lineRule="auto"/>
      <w:jc w:val="both"/>
    </w:pPr>
    <w:rPr>
      <w:rFonts w:ascii="Times New Roman" w:eastAsia="Calibri" w:hAnsi="Times New Roman" w:cs="Times New Roman"/>
      <w:lang w:val="en-US"/>
    </w:rPr>
  </w:style>
  <w:style w:type="paragraph" w:styleId="Heading1">
    <w:name w:val="heading 1"/>
    <w:basedOn w:val="Normal"/>
    <w:next w:val="Normal"/>
    <w:link w:val="Heading1Char"/>
    <w:autoRedefine/>
    <w:qFormat/>
    <w:rsid w:val="00646533"/>
    <w:pPr>
      <w:keepNext/>
      <w:keepLines/>
      <w:numPr>
        <w:numId w:val="74"/>
      </w:numPr>
      <w:spacing w:before="480"/>
      <w:jc w:val="center"/>
      <w:outlineLvl w:val="0"/>
    </w:pPr>
    <w:rPr>
      <w:rFonts w:eastAsia="Times New Roman"/>
      <w:b/>
      <w:bCs/>
      <w:color w:val="000000" w:themeColor="text1"/>
      <w:sz w:val="28"/>
      <w:szCs w:val="28"/>
    </w:rPr>
  </w:style>
  <w:style w:type="paragraph" w:styleId="Heading2">
    <w:name w:val="heading 2"/>
    <w:basedOn w:val="Normal"/>
    <w:next w:val="Normal"/>
    <w:link w:val="Heading2Char"/>
    <w:autoRedefine/>
    <w:qFormat/>
    <w:rsid w:val="00D263E8"/>
    <w:pPr>
      <w:numPr>
        <w:ilvl w:val="1"/>
        <w:numId w:val="74"/>
      </w:numPr>
      <w:spacing w:before="120" w:after="120" w:line="240" w:lineRule="auto"/>
      <w:outlineLvl w:val="1"/>
    </w:pPr>
    <w:rPr>
      <w:rFonts w:asciiTheme="majorBidi" w:eastAsia="Times New Roman" w:hAnsiTheme="majorBidi" w:cstheme="majorBidi"/>
      <w:b/>
      <w:bCs/>
      <w:i/>
      <w:noProof/>
      <w:color w:val="000000"/>
      <w:lang w:val="nl-NL"/>
    </w:rPr>
  </w:style>
  <w:style w:type="paragraph" w:styleId="Heading3">
    <w:name w:val="heading 3"/>
    <w:basedOn w:val="Heading2"/>
    <w:next w:val="Normal"/>
    <w:link w:val="Heading3Char"/>
    <w:autoRedefine/>
    <w:uiPriority w:val="9"/>
    <w:qFormat/>
    <w:rsid w:val="001F302E"/>
    <w:pPr>
      <w:keepNext/>
      <w:numPr>
        <w:ilvl w:val="2"/>
      </w:numPr>
      <w:shd w:val="clear" w:color="auto" w:fill="FFFFFF"/>
      <w:outlineLvl w:val="2"/>
    </w:pPr>
    <w:rPr>
      <w:snapToGrid w:val="0"/>
      <w:color w:val="000000" w:themeColor="text1"/>
    </w:rPr>
  </w:style>
  <w:style w:type="paragraph" w:styleId="Heading4">
    <w:name w:val="heading 4"/>
    <w:basedOn w:val="Normal"/>
    <w:next w:val="Normal"/>
    <w:link w:val="Heading4Char"/>
    <w:qFormat/>
    <w:rsid w:val="006110DE"/>
    <w:pPr>
      <w:keepNext/>
      <w:keepLines/>
      <w:numPr>
        <w:ilvl w:val="3"/>
        <w:numId w:val="74"/>
      </w:numPr>
      <w:spacing w:before="200"/>
      <w:outlineLvl w:val="3"/>
    </w:pPr>
    <w:rPr>
      <w:rFonts w:ascii="Cambria" w:eastAsia="Times New Roman" w:hAnsi="Cambria"/>
      <w:b/>
      <w:bCs/>
      <w:i/>
      <w:iCs/>
      <w:color w:val="4F81BD"/>
    </w:rPr>
  </w:style>
  <w:style w:type="paragraph" w:styleId="Heading5">
    <w:name w:val="heading 5"/>
    <w:aliases w:val="Point heading"/>
    <w:basedOn w:val="Normal"/>
    <w:next w:val="Normal"/>
    <w:link w:val="Heading5Char"/>
    <w:autoRedefine/>
    <w:uiPriority w:val="9"/>
    <w:unhideWhenUsed/>
    <w:qFormat/>
    <w:rsid w:val="00E26448"/>
    <w:pPr>
      <w:keepNext/>
      <w:keepLines/>
      <w:numPr>
        <w:ilvl w:val="4"/>
        <w:numId w:val="74"/>
      </w:numPr>
      <w:spacing w:before="200" w:after="120"/>
      <w:jc w:val="left"/>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A6657"/>
    <w:pPr>
      <w:keepNext/>
      <w:keepLines/>
      <w:numPr>
        <w:ilvl w:val="5"/>
        <w:numId w:val="7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6657"/>
    <w:pPr>
      <w:keepNext/>
      <w:keepLines/>
      <w:numPr>
        <w:ilvl w:val="6"/>
        <w:numId w:val="7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6657"/>
    <w:pPr>
      <w:keepNext/>
      <w:keepLines/>
      <w:numPr>
        <w:ilvl w:val="7"/>
        <w:numId w:val="7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6657"/>
    <w:pPr>
      <w:keepNext/>
      <w:keepLines/>
      <w:numPr>
        <w:ilvl w:val="8"/>
        <w:numId w:val="7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533"/>
    <w:rPr>
      <w:rFonts w:ascii="Times New Roman" w:eastAsia="Times New Roman" w:hAnsi="Times New Roman" w:cs="Times New Roman"/>
      <w:b/>
      <w:bCs/>
      <w:color w:val="000000" w:themeColor="text1"/>
      <w:sz w:val="28"/>
      <w:szCs w:val="28"/>
      <w:lang w:val="en-US"/>
    </w:rPr>
  </w:style>
  <w:style w:type="character" w:customStyle="1" w:styleId="Heading2Char">
    <w:name w:val="Heading 2 Char"/>
    <w:basedOn w:val="DefaultParagraphFont"/>
    <w:link w:val="Heading2"/>
    <w:rsid w:val="00D263E8"/>
    <w:rPr>
      <w:rFonts w:asciiTheme="majorBidi" w:eastAsia="Times New Roman" w:hAnsiTheme="majorBidi" w:cstheme="majorBidi"/>
      <w:b/>
      <w:bCs/>
      <w:i/>
      <w:noProof/>
      <w:color w:val="000000"/>
      <w:lang w:val="nl-NL"/>
    </w:rPr>
  </w:style>
  <w:style w:type="character" w:customStyle="1" w:styleId="Heading3Char">
    <w:name w:val="Heading 3 Char"/>
    <w:basedOn w:val="DefaultParagraphFont"/>
    <w:link w:val="Heading3"/>
    <w:uiPriority w:val="9"/>
    <w:rsid w:val="001F302E"/>
    <w:rPr>
      <w:rFonts w:asciiTheme="majorBidi" w:eastAsia="Times New Roman" w:hAnsiTheme="majorBidi" w:cstheme="majorBidi"/>
      <w:b/>
      <w:bCs/>
      <w:i/>
      <w:noProof/>
      <w:snapToGrid w:val="0"/>
      <w:color w:val="000000" w:themeColor="text1"/>
      <w:shd w:val="clear" w:color="auto" w:fill="FFFFFF"/>
      <w:lang w:val="nl-NL"/>
    </w:rPr>
  </w:style>
  <w:style w:type="character" w:customStyle="1" w:styleId="Heading4Char">
    <w:name w:val="Heading 4 Char"/>
    <w:basedOn w:val="DefaultParagraphFont"/>
    <w:link w:val="Heading4"/>
    <w:rsid w:val="006110DE"/>
    <w:rPr>
      <w:rFonts w:ascii="Cambria" w:eastAsia="Times New Roman" w:hAnsi="Cambria" w:cs="Times New Roman"/>
      <w:b/>
      <w:bCs/>
      <w:i/>
      <w:iCs/>
      <w:color w:val="4F81BD"/>
      <w:lang w:val="en-US"/>
    </w:rPr>
  </w:style>
  <w:style w:type="paragraph" w:styleId="ListParagraph">
    <w:name w:val="List Paragraph"/>
    <w:basedOn w:val="Normal"/>
    <w:link w:val="ListParagraphChar"/>
    <w:uiPriority w:val="34"/>
    <w:qFormat/>
    <w:rsid w:val="00757AD7"/>
    <w:pPr>
      <w:ind w:left="720"/>
      <w:contextualSpacing/>
    </w:pPr>
  </w:style>
  <w:style w:type="paragraph" w:styleId="CommentText">
    <w:name w:val="annotation text"/>
    <w:basedOn w:val="Normal"/>
    <w:link w:val="CommentTextChar"/>
    <w:uiPriority w:val="99"/>
    <w:unhideWhenUsed/>
    <w:rsid w:val="00757AD7"/>
    <w:pPr>
      <w:spacing w:line="240" w:lineRule="auto"/>
    </w:pPr>
    <w:rPr>
      <w:sz w:val="20"/>
      <w:szCs w:val="20"/>
    </w:rPr>
  </w:style>
  <w:style w:type="character" w:customStyle="1" w:styleId="CommentTextChar">
    <w:name w:val="Comment Text Char"/>
    <w:basedOn w:val="DefaultParagraphFont"/>
    <w:link w:val="CommentText"/>
    <w:uiPriority w:val="99"/>
    <w:rsid w:val="00757AD7"/>
    <w:rPr>
      <w:rFonts w:ascii="Calibri" w:eastAsia="Calibri" w:hAnsi="Calibri" w:cs="Times New Roman"/>
      <w:sz w:val="20"/>
      <w:szCs w:val="20"/>
      <w:lang w:val="en-US"/>
    </w:rPr>
  </w:style>
  <w:style w:type="paragraph" w:styleId="Header">
    <w:name w:val="header"/>
    <w:basedOn w:val="Normal"/>
    <w:link w:val="HeaderChar"/>
    <w:uiPriority w:val="99"/>
    <w:unhideWhenUsed/>
    <w:rsid w:val="00757AD7"/>
    <w:pPr>
      <w:tabs>
        <w:tab w:val="center" w:pos="4680"/>
        <w:tab w:val="right" w:pos="9360"/>
      </w:tabs>
      <w:spacing w:line="240" w:lineRule="auto"/>
    </w:pPr>
  </w:style>
  <w:style w:type="character" w:customStyle="1" w:styleId="HeaderChar">
    <w:name w:val="Header Char"/>
    <w:basedOn w:val="DefaultParagraphFont"/>
    <w:link w:val="Header"/>
    <w:uiPriority w:val="99"/>
    <w:rsid w:val="00757AD7"/>
    <w:rPr>
      <w:rFonts w:ascii="Calibri" w:eastAsia="Calibri" w:hAnsi="Calibri" w:cs="Times New Roman"/>
      <w:lang w:val="en-US"/>
    </w:rPr>
  </w:style>
  <w:style w:type="character" w:customStyle="1" w:styleId="citation">
    <w:name w:val="citation"/>
    <w:rsid w:val="006110DE"/>
    <w:rPr>
      <w:i w:val="0"/>
      <w:iCs w:val="0"/>
    </w:rPr>
  </w:style>
  <w:style w:type="character" w:customStyle="1" w:styleId="cit-print-date">
    <w:name w:val="cit-print-date"/>
    <w:basedOn w:val="DefaultParagraphFont"/>
    <w:rsid w:val="006110DE"/>
  </w:style>
  <w:style w:type="character" w:customStyle="1" w:styleId="cit-vol">
    <w:name w:val="cit-vol"/>
    <w:basedOn w:val="DefaultParagraphFont"/>
    <w:rsid w:val="006110DE"/>
  </w:style>
  <w:style w:type="character" w:customStyle="1" w:styleId="cit-sep2">
    <w:name w:val="cit-sep2"/>
    <w:basedOn w:val="DefaultParagraphFont"/>
    <w:rsid w:val="006110DE"/>
  </w:style>
  <w:style w:type="character" w:customStyle="1" w:styleId="cit-first-page">
    <w:name w:val="cit-first-page"/>
    <w:basedOn w:val="DefaultParagraphFont"/>
    <w:rsid w:val="006110DE"/>
  </w:style>
  <w:style w:type="character" w:customStyle="1" w:styleId="cit-last-page">
    <w:name w:val="cit-last-page"/>
    <w:basedOn w:val="DefaultParagraphFont"/>
    <w:rsid w:val="006110DE"/>
  </w:style>
  <w:style w:type="character" w:customStyle="1" w:styleId="i3">
    <w:name w:val="i3"/>
    <w:rsid w:val="006110DE"/>
    <w:rPr>
      <w:i/>
      <w:iCs/>
    </w:rPr>
  </w:style>
  <w:style w:type="character" w:styleId="CommentReference">
    <w:name w:val="annotation reference"/>
    <w:semiHidden/>
    <w:unhideWhenUsed/>
    <w:rsid w:val="006110DE"/>
    <w:rPr>
      <w:sz w:val="16"/>
      <w:szCs w:val="16"/>
    </w:rPr>
  </w:style>
  <w:style w:type="paragraph" w:styleId="BalloonText">
    <w:name w:val="Balloon Text"/>
    <w:basedOn w:val="Normal"/>
    <w:link w:val="BalloonTextChar"/>
    <w:uiPriority w:val="99"/>
    <w:semiHidden/>
    <w:unhideWhenUsed/>
    <w:rsid w:val="006110DE"/>
    <w:pPr>
      <w:spacing w:line="240" w:lineRule="auto"/>
    </w:pPr>
    <w:rPr>
      <w:rFonts w:ascii="Tahoma" w:hAnsi="Tahoma" w:cs="Cambria"/>
      <w:sz w:val="16"/>
      <w:szCs w:val="16"/>
    </w:rPr>
  </w:style>
  <w:style w:type="character" w:customStyle="1" w:styleId="BalloonTextChar">
    <w:name w:val="Balloon Text Char"/>
    <w:basedOn w:val="DefaultParagraphFont"/>
    <w:link w:val="BalloonText"/>
    <w:uiPriority w:val="99"/>
    <w:semiHidden/>
    <w:rsid w:val="006110DE"/>
    <w:rPr>
      <w:rFonts w:ascii="Tahoma" w:eastAsia="Calibri" w:hAnsi="Tahoma" w:cs="Cambria"/>
      <w:sz w:val="16"/>
      <w:szCs w:val="16"/>
      <w:lang w:val="en-US"/>
    </w:rPr>
  </w:style>
  <w:style w:type="character" w:styleId="Hyperlink">
    <w:name w:val="Hyperlink"/>
    <w:uiPriority w:val="99"/>
    <w:unhideWhenUsed/>
    <w:rsid w:val="006110DE"/>
    <w:rPr>
      <w:color w:val="0000FF"/>
      <w:u w:val="single"/>
    </w:rPr>
  </w:style>
  <w:style w:type="character" w:customStyle="1" w:styleId="name">
    <w:name w:val="name"/>
    <w:basedOn w:val="DefaultParagraphFont"/>
    <w:rsid w:val="006110DE"/>
  </w:style>
  <w:style w:type="character" w:customStyle="1" w:styleId="addmd1">
    <w:name w:val="addmd1"/>
    <w:rsid w:val="006110DE"/>
    <w:rPr>
      <w:sz w:val="20"/>
      <w:szCs w:val="20"/>
    </w:rPr>
  </w:style>
  <w:style w:type="character" w:styleId="Emphasis">
    <w:name w:val="Emphasis"/>
    <w:uiPriority w:val="20"/>
    <w:qFormat/>
    <w:rsid w:val="006110DE"/>
    <w:rPr>
      <w:b w:val="0"/>
      <w:bCs w:val="0"/>
      <w:i/>
      <w:iCs/>
    </w:rPr>
  </w:style>
  <w:style w:type="paragraph" w:styleId="BodyText">
    <w:name w:val="Body Text"/>
    <w:basedOn w:val="Normal"/>
    <w:link w:val="BodyTextChar"/>
    <w:semiHidden/>
    <w:rsid w:val="006110DE"/>
    <w:pPr>
      <w:tabs>
        <w:tab w:val="left" w:pos="360"/>
      </w:tabs>
    </w:pPr>
    <w:rPr>
      <w:noProof/>
      <w:sz w:val="20"/>
    </w:rPr>
  </w:style>
  <w:style w:type="character" w:customStyle="1" w:styleId="BodyTextChar">
    <w:name w:val="Body Text Char"/>
    <w:basedOn w:val="DefaultParagraphFont"/>
    <w:link w:val="BodyText"/>
    <w:semiHidden/>
    <w:rsid w:val="006110DE"/>
    <w:rPr>
      <w:rFonts w:ascii="Times New Roman" w:eastAsia="Calibri" w:hAnsi="Times New Roman" w:cs="Times New Roman"/>
      <w:noProof/>
      <w:sz w:val="20"/>
      <w:lang w:val="en-US"/>
    </w:rPr>
  </w:style>
  <w:style w:type="character" w:customStyle="1" w:styleId="CommentSubjectChar">
    <w:name w:val="Comment Subject Char"/>
    <w:basedOn w:val="CommentTextChar"/>
    <w:link w:val="CommentSubject"/>
    <w:semiHidden/>
    <w:rsid w:val="006110DE"/>
    <w:rPr>
      <w:rFonts w:ascii="Calibri" w:eastAsia="Calibri" w:hAnsi="Calibri" w:cs="Times New Roman"/>
      <w:b/>
      <w:bCs/>
      <w:sz w:val="20"/>
      <w:szCs w:val="20"/>
      <w:lang w:val="en-US"/>
    </w:rPr>
  </w:style>
  <w:style w:type="paragraph" w:styleId="CommentSubject">
    <w:name w:val="annotation subject"/>
    <w:basedOn w:val="CommentText"/>
    <w:next w:val="CommentText"/>
    <w:link w:val="CommentSubjectChar"/>
    <w:semiHidden/>
    <w:unhideWhenUsed/>
    <w:rsid w:val="006110DE"/>
    <w:rPr>
      <w:b/>
      <w:bCs/>
    </w:rPr>
  </w:style>
  <w:style w:type="character" w:customStyle="1" w:styleId="CommentTextChar1">
    <w:name w:val="Comment Text Char1"/>
    <w:uiPriority w:val="99"/>
    <w:rsid w:val="006110DE"/>
    <w:rPr>
      <w:rFonts w:ascii="Calibri" w:eastAsia="Calibri" w:hAnsi="Calibri" w:cs="Times New Roman"/>
      <w:sz w:val="20"/>
      <w:szCs w:val="20"/>
    </w:rPr>
  </w:style>
  <w:style w:type="paragraph" w:customStyle="1" w:styleId="copyright3">
    <w:name w:val="copyright3"/>
    <w:basedOn w:val="Normal"/>
    <w:rsid w:val="006110DE"/>
    <w:pPr>
      <w:spacing w:after="120" w:line="312" w:lineRule="atLeast"/>
    </w:pPr>
    <w:rPr>
      <w:rFonts w:eastAsia="Times New Roman"/>
      <w:color w:val="A3A2A2"/>
      <w:sz w:val="26"/>
      <w:szCs w:val="26"/>
    </w:rPr>
  </w:style>
  <w:style w:type="paragraph" w:customStyle="1" w:styleId="articlecategory9">
    <w:name w:val="articlecategory9"/>
    <w:basedOn w:val="Normal"/>
    <w:rsid w:val="006110DE"/>
    <w:pPr>
      <w:shd w:val="clear" w:color="auto" w:fill="FFFFFF"/>
      <w:spacing w:after="120" w:line="312" w:lineRule="atLeast"/>
    </w:pPr>
    <w:rPr>
      <w:rFonts w:eastAsia="Times New Roman"/>
      <w:b/>
      <w:bCs/>
      <w:color w:val="A3A2A2"/>
      <w:sz w:val="29"/>
      <w:szCs w:val="29"/>
    </w:rPr>
  </w:style>
  <w:style w:type="paragraph" w:styleId="NormalWeb">
    <w:name w:val="Normal (Web)"/>
    <w:basedOn w:val="Normal"/>
    <w:uiPriority w:val="99"/>
    <w:semiHidden/>
    <w:unhideWhenUsed/>
    <w:rsid w:val="006110DE"/>
    <w:pPr>
      <w:spacing w:before="100" w:beforeAutospacing="1" w:after="100" w:afterAutospacing="1" w:line="240" w:lineRule="auto"/>
    </w:pPr>
    <w:rPr>
      <w:rFonts w:eastAsia="Times New Roman"/>
      <w:color w:val="000000"/>
      <w:sz w:val="24"/>
      <w:szCs w:val="24"/>
    </w:rPr>
  </w:style>
  <w:style w:type="character" w:styleId="Strong">
    <w:name w:val="Strong"/>
    <w:uiPriority w:val="22"/>
    <w:qFormat/>
    <w:rsid w:val="006110DE"/>
    <w:rPr>
      <w:b/>
      <w:bCs/>
    </w:rPr>
  </w:style>
  <w:style w:type="character" w:customStyle="1" w:styleId="nlmdegrees">
    <w:name w:val="nlm_degrees"/>
    <w:basedOn w:val="DefaultParagraphFont"/>
    <w:rsid w:val="006110DE"/>
  </w:style>
  <w:style w:type="paragraph" w:styleId="Footer">
    <w:name w:val="footer"/>
    <w:basedOn w:val="Normal"/>
    <w:link w:val="FooterChar"/>
    <w:uiPriority w:val="99"/>
    <w:unhideWhenUsed/>
    <w:rsid w:val="006110DE"/>
    <w:pPr>
      <w:tabs>
        <w:tab w:val="center" w:pos="4680"/>
        <w:tab w:val="right" w:pos="9360"/>
      </w:tabs>
      <w:spacing w:line="240" w:lineRule="auto"/>
    </w:pPr>
  </w:style>
  <w:style w:type="character" w:customStyle="1" w:styleId="FooterChar">
    <w:name w:val="Footer Char"/>
    <w:basedOn w:val="DefaultParagraphFont"/>
    <w:link w:val="Footer"/>
    <w:uiPriority w:val="99"/>
    <w:rsid w:val="006110DE"/>
    <w:rPr>
      <w:rFonts w:ascii="Calibri" w:eastAsia="Calibri" w:hAnsi="Calibri" w:cs="Times New Roman"/>
      <w:lang w:val="en-US"/>
    </w:rPr>
  </w:style>
  <w:style w:type="paragraph" w:styleId="z-TopofForm">
    <w:name w:val="HTML Top of Form"/>
    <w:basedOn w:val="Normal"/>
    <w:next w:val="Normal"/>
    <w:link w:val="z-TopofFormChar"/>
    <w:hidden/>
    <w:uiPriority w:val="99"/>
    <w:unhideWhenUsed/>
    <w:rsid w:val="006110DE"/>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6110DE"/>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6110DE"/>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6110DE"/>
    <w:rPr>
      <w:rFonts w:ascii="Arial" w:eastAsia="Times New Roman" w:hAnsi="Arial" w:cs="Arial"/>
      <w:vanish/>
      <w:sz w:val="16"/>
      <w:szCs w:val="16"/>
      <w:lang w:val="en-US"/>
    </w:rPr>
  </w:style>
  <w:style w:type="paragraph" w:customStyle="1" w:styleId="last">
    <w:name w:val="last"/>
    <w:basedOn w:val="Normal"/>
    <w:rsid w:val="006110DE"/>
    <w:pPr>
      <w:spacing w:before="100" w:beforeAutospacing="1" w:after="100" w:afterAutospacing="1" w:line="240" w:lineRule="auto"/>
    </w:pPr>
    <w:rPr>
      <w:rFonts w:eastAsia="Times New Roman"/>
      <w:sz w:val="24"/>
      <w:szCs w:val="24"/>
    </w:rPr>
  </w:style>
  <w:style w:type="paragraph" w:customStyle="1" w:styleId="authors">
    <w:name w:val="authors"/>
    <w:basedOn w:val="Normal"/>
    <w:rsid w:val="006110DE"/>
    <w:pPr>
      <w:spacing w:before="100" w:beforeAutospacing="1" w:after="100" w:afterAutospacing="1" w:line="240" w:lineRule="auto"/>
    </w:pPr>
    <w:rPr>
      <w:rFonts w:eastAsia="Times New Roman"/>
      <w:sz w:val="24"/>
      <w:szCs w:val="24"/>
    </w:rPr>
  </w:style>
  <w:style w:type="character" w:customStyle="1" w:styleId="doi">
    <w:name w:val="doi"/>
    <w:basedOn w:val="DefaultParagraphFont"/>
    <w:rsid w:val="006110DE"/>
  </w:style>
  <w:style w:type="character" w:customStyle="1" w:styleId="value">
    <w:name w:val="value"/>
    <w:basedOn w:val="DefaultParagraphFont"/>
    <w:rsid w:val="006110DE"/>
  </w:style>
  <w:style w:type="character" w:customStyle="1" w:styleId="label1">
    <w:name w:val="label1"/>
    <w:basedOn w:val="DefaultParagraphFont"/>
    <w:rsid w:val="006110DE"/>
  </w:style>
  <w:style w:type="paragraph" w:customStyle="1" w:styleId="articlecategory1">
    <w:name w:val="articlecategory1"/>
    <w:basedOn w:val="Normal"/>
    <w:rsid w:val="006110DE"/>
    <w:pPr>
      <w:spacing w:before="100" w:beforeAutospacing="1" w:after="100" w:afterAutospacing="1" w:line="240" w:lineRule="auto"/>
    </w:pPr>
    <w:rPr>
      <w:rFonts w:eastAsia="Times New Roman"/>
      <w:caps/>
      <w:sz w:val="24"/>
      <w:szCs w:val="24"/>
    </w:rPr>
  </w:style>
  <w:style w:type="character" w:customStyle="1" w:styleId="pagination">
    <w:name w:val="pagination"/>
    <w:basedOn w:val="DefaultParagraphFont"/>
    <w:rsid w:val="006110DE"/>
  </w:style>
  <w:style w:type="paragraph" w:customStyle="1" w:styleId="first">
    <w:name w:val="first"/>
    <w:basedOn w:val="Normal"/>
    <w:rsid w:val="006110DE"/>
    <w:pPr>
      <w:spacing w:before="100" w:beforeAutospacing="1" w:after="100" w:afterAutospacing="1" w:line="240" w:lineRule="auto"/>
    </w:pPr>
    <w:rPr>
      <w:rFonts w:eastAsia="Times New Roman"/>
      <w:sz w:val="24"/>
      <w:szCs w:val="24"/>
    </w:rPr>
  </w:style>
  <w:style w:type="paragraph" w:customStyle="1" w:styleId="fulltext">
    <w:name w:val="fulltext"/>
    <w:basedOn w:val="Normal"/>
    <w:rsid w:val="006110DE"/>
    <w:pPr>
      <w:spacing w:before="100" w:beforeAutospacing="1" w:after="100" w:afterAutospacing="1" w:line="240" w:lineRule="auto"/>
    </w:pPr>
    <w:rPr>
      <w:rFonts w:eastAsia="Times New Roman"/>
      <w:sz w:val="24"/>
      <w:szCs w:val="24"/>
    </w:rPr>
  </w:style>
  <w:style w:type="character" w:customStyle="1" w:styleId="nlmxref-aff">
    <w:name w:val="nlm_xref-aff"/>
    <w:basedOn w:val="DefaultParagraphFont"/>
    <w:rsid w:val="006110DE"/>
  </w:style>
  <w:style w:type="paragraph" w:customStyle="1" w:styleId="articlecategory10">
    <w:name w:val="articlecategory10"/>
    <w:basedOn w:val="Normal"/>
    <w:rsid w:val="006110DE"/>
    <w:pPr>
      <w:shd w:val="clear" w:color="auto" w:fill="FFFFFF"/>
      <w:spacing w:after="120" w:line="312" w:lineRule="atLeast"/>
    </w:pPr>
    <w:rPr>
      <w:rFonts w:eastAsia="Times New Roman"/>
      <w:b/>
      <w:bCs/>
      <w:color w:val="A3A2A2"/>
      <w:sz w:val="29"/>
      <w:szCs w:val="29"/>
    </w:rPr>
  </w:style>
  <w:style w:type="character" w:customStyle="1" w:styleId="slug-vol">
    <w:name w:val="slug-vol"/>
    <w:basedOn w:val="DefaultParagraphFont"/>
    <w:rsid w:val="006110DE"/>
  </w:style>
  <w:style w:type="character" w:customStyle="1" w:styleId="slug-issue">
    <w:name w:val="slug-issue"/>
    <w:basedOn w:val="DefaultParagraphFont"/>
    <w:rsid w:val="006110DE"/>
  </w:style>
  <w:style w:type="character" w:customStyle="1" w:styleId="xref-sep2">
    <w:name w:val="xref-sep2"/>
    <w:basedOn w:val="DefaultParagraphFont"/>
    <w:rsid w:val="006110DE"/>
  </w:style>
  <w:style w:type="character" w:customStyle="1" w:styleId="toc-link1">
    <w:name w:val="toc-link1"/>
    <w:rsid w:val="006110DE"/>
    <w:rPr>
      <w:vanish w:val="0"/>
      <w:webHidden w:val="0"/>
      <w:specVanish w:val="0"/>
    </w:rPr>
  </w:style>
  <w:style w:type="character" w:customStyle="1" w:styleId="article-nav-sep">
    <w:name w:val="article-nav-sep"/>
    <w:basedOn w:val="DefaultParagraphFont"/>
    <w:rsid w:val="006110DE"/>
  </w:style>
  <w:style w:type="character" w:customStyle="1" w:styleId="slug-doi">
    <w:name w:val="slug-doi"/>
    <w:basedOn w:val="DefaultParagraphFont"/>
    <w:rsid w:val="006110DE"/>
  </w:style>
  <w:style w:type="character" w:customStyle="1" w:styleId="apple-style-span">
    <w:name w:val="apple-style-span"/>
    <w:basedOn w:val="DefaultParagraphFont"/>
    <w:rsid w:val="006110DE"/>
  </w:style>
  <w:style w:type="character" w:customStyle="1" w:styleId="addmd">
    <w:name w:val="addmd"/>
    <w:basedOn w:val="DefaultParagraphFont"/>
    <w:rsid w:val="006110DE"/>
  </w:style>
  <w:style w:type="character" w:customStyle="1" w:styleId="apple-converted-space">
    <w:name w:val="apple-converted-space"/>
    <w:basedOn w:val="DefaultParagraphFont"/>
    <w:rsid w:val="006110DE"/>
  </w:style>
  <w:style w:type="paragraph" w:customStyle="1" w:styleId="authlist">
    <w:name w:val="auth_list"/>
    <w:basedOn w:val="Normal"/>
    <w:rsid w:val="006110DE"/>
    <w:pPr>
      <w:spacing w:before="100" w:beforeAutospacing="1" w:after="100" w:afterAutospacing="1" w:line="240" w:lineRule="auto"/>
    </w:pPr>
    <w:rPr>
      <w:rFonts w:eastAsia="Times New Roman"/>
      <w:sz w:val="24"/>
      <w:szCs w:val="24"/>
      <w:lang w:val="en-GB" w:eastAsia="en-GB"/>
    </w:rPr>
  </w:style>
  <w:style w:type="character" w:customStyle="1" w:styleId="slug-pub-date">
    <w:name w:val="slug-pub-date"/>
    <w:basedOn w:val="DefaultParagraphFont"/>
    <w:rsid w:val="006110DE"/>
  </w:style>
  <w:style w:type="character" w:customStyle="1" w:styleId="slug-pages">
    <w:name w:val="slug-pages"/>
    <w:basedOn w:val="DefaultParagraphFont"/>
    <w:rsid w:val="006110DE"/>
  </w:style>
  <w:style w:type="character" w:customStyle="1" w:styleId="xref-sep">
    <w:name w:val="xref-sep"/>
    <w:basedOn w:val="DefaultParagraphFont"/>
    <w:rsid w:val="006110DE"/>
  </w:style>
  <w:style w:type="character" w:customStyle="1" w:styleId="printhide">
    <w:name w:val="printhide"/>
    <w:basedOn w:val="DefaultParagraphFont"/>
    <w:rsid w:val="006110DE"/>
  </w:style>
  <w:style w:type="character" w:customStyle="1" w:styleId="nbapihighlight">
    <w:name w:val="nbapihighlight"/>
    <w:basedOn w:val="DefaultParagraphFont"/>
    <w:rsid w:val="006110DE"/>
  </w:style>
  <w:style w:type="paragraph" w:customStyle="1" w:styleId="copyright">
    <w:name w:val="copyright"/>
    <w:basedOn w:val="Normal"/>
    <w:rsid w:val="006110DE"/>
    <w:pPr>
      <w:spacing w:before="100" w:beforeAutospacing="1" w:after="100" w:afterAutospacing="1" w:line="240" w:lineRule="auto"/>
    </w:pPr>
    <w:rPr>
      <w:rFonts w:eastAsia="Times New Roman"/>
      <w:sz w:val="24"/>
      <w:szCs w:val="24"/>
      <w:lang w:val="en-GB" w:eastAsia="en-GB"/>
    </w:rPr>
  </w:style>
  <w:style w:type="paragraph" w:customStyle="1" w:styleId="articlecategory">
    <w:name w:val="articlecategory"/>
    <w:basedOn w:val="Normal"/>
    <w:rsid w:val="006110DE"/>
    <w:pPr>
      <w:spacing w:before="100" w:beforeAutospacing="1" w:after="100" w:afterAutospacing="1" w:line="240" w:lineRule="auto"/>
    </w:pPr>
    <w:rPr>
      <w:rFonts w:eastAsia="Times New Roman"/>
      <w:sz w:val="24"/>
      <w:szCs w:val="24"/>
      <w:lang w:val="en-GB" w:eastAsia="en-GB"/>
    </w:rPr>
  </w:style>
  <w:style w:type="paragraph" w:customStyle="1" w:styleId="articledetails">
    <w:name w:val="articledetails"/>
    <w:basedOn w:val="Normal"/>
    <w:rsid w:val="006110DE"/>
    <w:pPr>
      <w:spacing w:before="100" w:beforeAutospacing="1" w:after="100" w:afterAutospacing="1" w:line="240" w:lineRule="auto"/>
    </w:pPr>
    <w:rPr>
      <w:rFonts w:eastAsia="Times New Roman"/>
      <w:sz w:val="24"/>
      <w:szCs w:val="24"/>
      <w:lang w:val="en-GB" w:eastAsia="en-GB"/>
    </w:rPr>
  </w:style>
  <w:style w:type="character" w:customStyle="1" w:styleId="free">
    <w:name w:val="free"/>
    <w:basedOn w:val="DefaultParagraphFont"/>
    <w:rsid w:val="006110DE"/>
  </w:style>
  <w:style w:type="character" w:customStyle="1" w:styleId="gd">
    <w:name w:val="gd"/>
    <w:rsid w:val="006110DE"/>
  </w:style>
  <w:style w:type="character" w:customStyle="1" w:styleId="go">
    <w:name w:val="go"/>
    <w:rsid w:val="006110DE"/>
  </w:style>
  <w:style w:type="paragraph" w:customStyle="1" w:styleId="11">
    <w:name w:val="1.1"/>
    <w:basedOn w:val="ListParagraph"/>
    <w:link w:val="11Char"/>
    <w:rsid w:val="006109AF"/>
    <w:pPr>
      <w:numPr>
        <w:ilvl w:val="1"/>
        <w:numId w:val="3"/>
      </w:numPr>
      <w:spacing w:line="240" w:lineRule="auto"/>
      <w:ind w:left="0" w:firstLine="720"/>
      <w:contextualSpacing w:val="0"/>
    </w:pPr>
    <w:rPr>
      <w:noProof/>
      <w:color w:val="000000"/>
      <w:lang w:val="en-CA"/>
    </w:rPr>
  </w:style>
  <w:style w:type="paragraph" w:customStyle="1" w:styleId="111">
    <w:name w:val="1.1.1"/>
    <w:basedOn w:val="ListParagraph"/>
    <w:link w:val="111Char"/>
    <w:rsid w:val="00CD4F2D"/>
    <w:pPr>
      <w:numPr>
        <w:ilvl w:val="2"/>
        <w:numId w:val="3"/>
      </w:numPr>
      <w:spacing w:line="240" w:lineRule="auto"/>
      <w:ind w:left="0" w:firstLine="1134"/>
    </w:pPr>
    <w:rPr>
      <w:noProof/>
    </w:rPr>
  </w:style>
  <w:style w:type="character" w:customStyle="1" w:styleId="ListParagraphChar">
    <w:name w:val="List Paragraph Char"/>
    <w:basedOn w:val="DefaultParagraphFont"/>
    <w:link w:val="ListParagraph"/>
    <w:uiPriority w:val="34"/>
    <w:rsid w:val="006109AF"/>
    <w:rPr>
      <w:rFonts w:ascii="Calibri" w:eastAsia="Calibri" w:hAnsi="Calibri" w:cs="Times New Roman"/>
      <w:lang w:val="en-US"/>
    </w:rPr>
  </w:style>
  <w:style w:type="character" w:customStyle="1" w:styleId="11Char">
    <w:name w:val="1.1 Char"/>
    <w:basedOn w:val="ListParagraphChar"/>
    <w:link w:val="11"/>
    <w:rsid w:val="006109AF"/>
    <w:rPr>
      <w:rFonts w:ascii="Times New Roman" w:eastAsia="Calibri" w:hAnsi="Times New Roman" w:cs="Times New Roman"/>
      <w:noProof/>
      <w:color w:val="000000"/>
      <w:lang w:val="en-CA"/>
    </w:rPr>
  </w:style>
  <w:style w:type="paragraph" w:customStyle="1" w:styleId="1">
    <w:name w:val="1"/>
    <w:basedOn w:val="ListParagraph"/>
    <w:link w:val="1Char"/>
    <w:rsid w:val="0065439A"/>
    <w:pPr>
      <w:numPr>
        <w:numId w:val="3"/>
      </w:numPr>
      <w:spacing w:line="240" w:lineRule="auto"/>
    </w:pPr>
    <w:rPr>
      <w:noProof/>
      <w:u w:val="single"/>
    </w:rPr>
  </w:style>
  <w:style w:type="character" w:customStyle="1" w:styleId="111Char">
    <w:name w:val="1.1.1 Char"/>
    <w:basedOn w:val="ListParagraphChar"/>
    <w:link w:val="111"/>
    <w:rsid w:val="00CD4F2D"/>
    <w:rPr>
      <w:rFonts w:ascii="Times New Roman" w:eastAsia="Calibri" w:hAnsi="Times New Roman" w:cs="Times New Roman"/>
      <w:noProof/>
      <w:lang w:val="en-US"/>
    </w:rPr>
  </w:style>
  <w:style w:type="character" w:customStyle="1" w:styleId="1Char">
    <w:name w:val="1 Char"/>
    <w:basedOn w:val="ListParagraphChar"/>
    <w:link w:val="1"/>
    <w:rsid w:val="0065439A"/>
    <w:rPr>
      <w:rFonts w:ascii="Times New Roman" w:eastAsia="Calibri" w:hAnsi="Times New Roman" w:cs="Times New Roman"/>
      <w:noProof/>
      <w:u w:val="single"/>
      <w:lang w:val="en-US"/>
    </w:rPr>
  </w:style>
  <w:style w:type="paragraph" w:styleId="Revision">
    <w:name w:val="Revision"/>
    <w:hidden/>
    <w:semiHidden/>
    <w:rsid w:val="00504647"/>
    <w:pPr>
      <w:spacing w:after="0" w:line="240" w:lineRule="auto"/>
    </w:pPr>
    <w:rPr>
      <w:rFonts w:ascii="Calibri" w:eastAsia="Calibri" w:hAnsi="Calibri" w:cs="Times New Roman"/>
      <w:lang w:val="en-US"/>
    </w:rPr>
  </w:style>
  <w:style w:type="character" w:customStyle="1" w:styleId="CommentSubjectChar1">
    <w:name w:val="Comment Subject Char1"/>
    <w:basedOn w:val="CommentTextChar"/>
    <w:uiPriority w:val="99"/>
    <w:semiHidden/>
    <w:rsid w:val="00A50295"/>
    <w:rPr>
      <w:rFonts w:ascii="Calibri" w:eastAsia="Calibri" w:hAnsi="Calibri" w:cs="Times New Roman"/>
      <w:b/>
      <w:bCs/>
      <w:sz w:val="20"/>
      <w:szCs w:val="20"/>
      <w:lang w:val="en-US"/>
    </w:rPr>
  </w:style>
  <w:style w:type="character" w:customStyle="1" w:styleId="Heading5Char">
    <w:name w:val="Heading 5 Char"/>
    <w:aliases w:val="Point heading Char"/>
    <w:basedOn w:val="DefaultParagraphFont"/>
    <w:link w:val="Heading5"/>
    <w:uiPriority w:val="9"/>
    <w:rsid w:val="00E26448"/>
    <w:rPr>
      <w:rFonts w:ascii="Times New Roman" w:eastAsiaTheme="majorEastAsia" w:hAnsi="Times New Roman" w:cstheme="majorBidi"/>
      <w:lang w:val="en-US"/>
    </w:rPr>
  </w:style>
  <w:style w:type="character" w:customStyle="1" w:styleId="Heading6Char">
    <w:name w:val="Heading 6 Char"/>
    <w:basedOn w:val="DefaultParagraphFont"/>
    <w:link w:val="Heading6"/>
    <w:uiPriority w:val="9"/>
    <w:semiHidden/>
    <w:rsid w:val="00CA6657"/>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CA665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CA665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A6657"/>
    <w:rPr>
      <w:rFonts w:asciiTheme="majorHAnsi" w:eastAsiaTheme="majorEastAsia" w:hAnsiTheme="majorHAnsi" w:cstheme="majorBidi"/>
      <w:i/>
      <w:iCs/>
      <w:color w:val="404040" w:themeColor="text1" w:themeTint="BF"/>
      <w:sz w:val="20"/>
      <w:szCs w:val="20"/>
      <w:lang w:val="en-US"/>
    </w:rPr>
  </w:style>
  <w:style w:type="paragraph" w:customStyle="1" w:styleId="Figurelegend">
    <w:name w:val="Figure legend"/>
    <w:basedOn w:val="Normal"/>
    <w:link w:val="FigurelegendChar"/>
    <w:autoRedefine/>
    <w:rsid w:val="00993CA3"/>
    <w:pPr>
      <w:numPr>
        <w:numId w:val="62"/>
      </w:numPr>
      <w:spacing w:before="360" w:line="276" w:lineRule="auto"/>
      <w:ind w:right="288"/>
      <w:jc w:val="left"/>
    </w:pPr>
    <w:rPr>
      <w:noProof/>
      <w:color w:val="000000"/>
      <w:lang w:val="en-GB" w:eastAsia="en-GB"/>
    </w:rPr>
  </w:style>
  <w:style w:type="paragraph" w:customStyle="1" w:styleId="Table">
    <w:name w:val="Table"/>
    <w:basedOn w:val="Figurelegend"/>
    <w:link w:val="TableChar"/>
    <w:autoRedefine/>
    <w:qFormat/>
    <w:rsid w:val="00733544"/>
    <w:pPr>
      <w:numPr>
        <w:numId w:val="0"/>
      </w:numPr>
      <w:tabs>
        <w:tab w:val="left" w:pos="660"/>
        <w:tab w:val="right" w:leader="dot" w:pos="8471"/>
      </w:tabs>
      <w:spacing w:before="0" w:after="40"/>
      <w:ind w:left="-284" w:right="289"/>
    </w:pPr>
  </w:style>
  <w:style w:type="character" w:customStyle="1" w:styleId="FigurelegendChar">
    <w:name w:val="Figure legend Char"/>
    <w:basedOn w:val="DefaultParagraphFont"/>
    <w:link w:val="Figurelegend"/>
    <w:rsid w:val="00993CA3"/>
    <w:rPr>
      <w:rFonts w:ascii="Times New Roman" w:eastAsia="Calibri" w:hAnsi="Times New Roman" w:cs="Times New Roman"/>
      <w:noProof/>
      <w:color w:val="000000"/>
      <w:lang w:eastAsia="en-GB"/>
    </w:rPr>
  </w:style>
  <w:style w:type="paragraph" w:styleId="TOC1">
    <w:name w:val="toc 1"/>
    <w:basedOn w:val="Normal"/>
    <w:next w:val="Normal"/>
    <w:autoRedefine/>
    <w:uiPriority w:val="39"/>
    <w:unhideWhenUsed/>
    <w:rsid w:val="00165556"/>
    <w:pPr>
      <w:tabs>
        <w:tab w:val="left" w:pos="14"/>
        <w:tab w:val="left" w:pos="812"/>
        <w:tab w:val="left" w:pos="851"/>
        <w:tab w:val="right" w:pos="9639"/>
      </w:tabs>
      <w:spacing w:before="120" w:line="240" w:lineRule="auto"/>
      <w:ind w:left="420" w:right="760" w:hanging="420"/>
      <w:jc w:val="center"/>
    </w:pPr>
    <w:rPr>
      <w:b/>
      <w:noProof/>
    </w:rPr>
  </w:style>
  <w:style w:type="character" w:customStyle="1" w:styleId="TableChar">
    <w:name w:val="Table Char"/>
    <w:basedOn w:val="FigurelegendChar"/>
    <w:link w:val="Table"/>
    <w:rsid w:val="00733544"/>
    <w:rPr>
      <w:rFonts w:ascii="Times New Roman" w:eastAsia="Calibri" w:hAnsi="Times New Roman" w:cs="Times New Roman"/>
      <w:noProof/>
      <w:color w:val="000000"/>
      <w:lang w:eastAsia="en-GB"/>
    </w:rPr>
  </w:style>
  <w:style w:type="numbering" w:customStyle="1" w:styleId="Style1">
    <w:name w:val="Style1"/>
    <w:uiPriority w:val="99"/>
    <w:rsid w:val="007D1FD1"/>
    <w:pPr>
      <w:numPr>
        <w:numId w:val="50"/>
      </w:numPr>
    </w:pPr>
  </w:style>
  <w:style w:type="numbering" w:customStyle="1" w:styleId="Style2">
    <w:name w:val="Style2"/>
    <w:uiPriority w:val="99"/>
    <w:rsid w:val="00993CA3"/>
    <w:pPr>
      <w:numPr>
        <w:numId w:val="57"/>
      </w:numPr>
    </w:pPr>
  </w:style>
  <w:style w:type="paragraph" w:customStyle="1" w:styleId="Figure">
    <w:name w:val="Figure"/>
    <w:basedOn w:val="Figurelegend"/>
    <w:link w:val="FigureChar"/>
    <w:autoRedefine/>
    <w:qFormat/>
    <w:rsid w:val="00993CA3"/>
    <w:pPr>
      <w:numPr>
        <w:ilvl w:val="1"/>
      </w:numPr>
    </w:pPr>
  </w:style>
  <w:style w:type="paragraph" w:styleId="Caption">
    <w:name w:val="caption"/>
    <w:basedOn w:val="Normal"/>
    <w:next w:val="Normal"/>
    <w:autoRedefine/>
    <w:uiPriority w:val="35"/>
    <w:unhideWhenUsed/>
    <w:qFormat/>
    <w:rsid w:val="00D557BE"/>
    <w:pPr>
      <w:spacing w:before="120" w:after="200" w:line="240" w:lineRule="auto"/>
    </w:pPr>
    <w:rPr>
      <w:bCs/>
      <w:szCs w:val="18"/>
    </w:rPr>
  </w:style>
  <w:style w:type="character" w:customStyle="1" w:styleId="FigureChar">
    <w:name w:val="Figure Char"/>
    <w:basedOn w:val="FigurelegendChar"/>
    <w:link w:val="Figure"/>
    <w:rsid w:val="00993CA3"/>
    <w:rPr>
      <w:rFonts w:ascii="Times New Roman" w:eastAsia="Calibri" w:hAnsi="Times New Roman" w:cs="Times New Roman"/>
      <w:noProof/>
      <w:color w:val="000000"/>
      <w:lang w:eastAsia="en-GB"/>
    </w:rPr>
  </w:style>
  <w:style w:type="paragraph" w:styleId="TableofFigures">
    <w:name w:val="table of figures"/>
    <w:basedOn w:val="Normal"/>
    <w:next w:val="Normal"/>
    <w:uiPriority w:val="99"/>
    <w:unhideWhenUsed/>
    <w:rsid w:val="00233E7D"/>
  </w:style>
  <w:style w:type="character" w:styleId="HTMLCite">
    <w:name w:val="HTML Cite"/>
    <w:basedOn w:val="DefaultParagraphFont"/>
    <w:semiHidden/>
    <w:unhideWhenUsed/>
    <w:rsid w:val="00CC3C93"/>
    <w:rPr>
      <w:i/>
      <w:iCs/>
    </w:rPr>
  </w:style>
  <w:style w:type="paragraph" w:customStyle="1" w:styleId="Heading31">
    <w:name w:val="Heading 31"/>
    <w:basedOn w:val="Heading2"/>
    <w:next w:val="Normal"/>
    <w:autoRedefine/>
    <w:uiPriority w:val="9"/>
    <w:rsid w:val="00D75C79"/>
    <w:pPr>
      <w:keepNext/>
      <w:shd w:val="clear" w:color="auto" w:fill="FFFFFF"/>
      <w:outlineLvl w:val="2"/>
    </w:pPr>
    <w:rPr>
      <w:snapToGrid w:val="0"/>
      <w:color w:val="000000" w:themeColor="text1"/>
    </w:rPr>
  </w:style>
  <w:style w:type="paragraph" w:styleId="TOC2">
    <w:name w:val="toc 2"/>
    <w:basedOn w:val="Normal"/>
    <w:next w:val="Normal"/>
    <w:autoRedefine/>
    <w:uiPriority w:val="39"/>
    <w:unhideWhenUsed/>
    <w:rsid w:val="00165556"/>
    <w:pPr>
      <w:tabs>
        <w:tab w:val="left" w:pos="812"/>
        <w:tab w:val="right" w:pos="9639"/>
      </w:tabs>
      <w:spacing w:before="0" w:after="60" w:line="240" w:lineRule="auto"/>
      <w:ind w:left="420" w:right="474" w:hanging="420"/>
    </w:pPr>
  </w:style>
  <w:style w:type="paragraph" w:styleId="TOC3">
    <w:name w:val="toc 3"/>
    <w:basedOn w:val="Normal"/>
    <w:next w:val="Normal"/>
    <w:autoRedefine/>
    <w:uiPriority w:val="39"/>
    <w:unhideWhenUsed/>
    <w:rsid w:val="00165556"/>
    <w:pPr>
      <w:tabs>
        <w:tab w:val="left" w:pos="812"/>
        <w:tab w:val="left" w:pos="1190"/>
        <w:tab w:val="right" w:pos="9639"/>
      </w:tabs>
      <w:spacing w:before="0" w:line="288" w:lineRule="auto"/>
      <w:ind w:left="1218" w:right="498" w:hanging="770"/>
    </w:pPr>
  </w:style>
  <w:style w:type="paragraph" w:styleId="TOC4">
    <w:name w:val="toc 4"/>
    <w:basedOn w:val="Normal"/>
    <w:next w:val="Normal"/>
    <w:autoRedefine/>
    <w:uiPriority w:val="39"/>
    <w:unhideWhenUsed/>
    <w:rsid w:val="00923421"/>
    <w:pPr>
      <w:spacing w:before="0" w:after="100" w:line="276" w:lineRule="auto"/>
      <w:ind w:left="660"/>
      <w:jc w:val="left"/>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923421"/>
    <w:pPr>
      <w:spacing w:before="0" w:after="100" w:line="276" w:lineRule="auto"/>
      <w:ind w:left="880"/>
      <w:jc w:val="left"/>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923421"/>
    <w:pPr>
      <w:spacing w:before="0" w:after="100" w:line="276" w:lineRule="auto"/>
      <w:ind w:left="1100"/>
      <w:jc w:val="left"/>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923421"/>
    <w:pPr>
      <w:spacing w:before="0" w:after="100" w:line="276" w:lineRule="auto"/>
      <w:ind w:left="1320"/>
      <w:jc w:val="left"/>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923421"/>
    <w:pPr>
      <w:spacing w:before="0" w:after="100" w:line="276" w:lineRule="auto"/>
      <w:ind w:left="1540"/>
      <w:jc w:val="left"/>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923421"/>
    <w:pPr>
      <w:spacing w:before="0" w:after="100" w:line="276" w:lineRule="auto"/>
      <w:ind w:left="1760"/>
      <w:jc w:val="left"/>
    </w:pPr>
    <w:rPr>
      <w:rFonts w:asciiTheme="minorHAnsi" w:eastAsiaTheme="minorEastAsia" w:hAnsiTheme="minorHAnsi" w:cstheme="minorBidi"/>
      <w:lang w:val="en-GB" w:eastAsia="en-GB"/>
    </w:rPr>
  </w:style>
  <w:style w:type="paragraph" w:styleId="TOCHeading">
    <w:name w:val="TOC Heading"/>
    <w:basedOn w:val="Heading1"/>
    <w:next w:val="Normal"/>
    <w:uiPriority w:val="39"/>
    <w:unhideWhenUsed/>
    <w:qFormat/>
    <w:rsid w:val="00EC0DB1"/>
    <w:pPr>
      <w:numPr>
        <w:numId w:val="0"/>
      </w:numPr>
      <w:spacing w:line="276" w:lineRule="auto"/>
      <w:jc w:val="left"/>
      <w:outlineLvl w:val="9"/>
    </w:pPr>
    <w:rPr>
      <w:rFonts w:asciiTheme="majorHAnsi" w:eastAsiaTheme="majorEastAsia" w:hAnsiTheme="majorHAnsi" w:cstheme="majorBid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2"/>
    <w:pPr>
      <w:numPr>
        <w:numId w:val="57"/>
      </w:numPr>
    </w:pPr>
  </w:style>
  <w:style w:type="numbering" w:customStyle="1" w:styleId="Heading2Char">
    <w:name w:val="Style1"/>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0716">
      <w:bodyDiv w:val="1"/>
      <w:marLeft w:val="0"/>
      <w:marRight w:val="0"/>
      <w:marTop w:val="0"/>
      <w:marBottom w:val="0"/>
      <w:divBdr>
        <w:top w:val="none" w:sz="0" w:space="0" w:color="auto"/>
        <w:left w:val="none" w:sz="0" w:space="0" w:color="auto"/>
        <w:bottom w:val="none" w:sz="0" w:space="0" w:color="auto"/>
        <w:right w:val="none" w:sz="0" w:space="0" w:color="auto"/>
      </w:divBdr>
    </w:div>
    <w:div w:id="39937024">
      <w:bodyDiv w:val="1"/>
      <w:marLeft w:val="0"/>
      <w:marRight w:val="0"/>
      <w:marTop w:val="0"/>
      <w:marBottom w:val="0"/>
      <w:divBdr>
        <w:top w:val="none" w:sz="0" w:space="0" w:color="auto"/>
        <w:left w:val="none" w:sz="0" w:space="0" w:color="auto"/>
        <w:bottom w:val="none" w:sz="0" w:space="0" w:color="auto"/>
        <w:right w:val="none" w:sz="0" w:space="0" w:color="auto"/>
      </w:divBdr>
    </w:div>
    <w:div w:id="47147556">
      <w:bodyDiv w:val="1"/>
      <w:marLeft w:val="0"/>
      <w:marRight w:val="0"/>
      <w:marTop w:val="0"/>
      <w:marBottom w:val="0"/>
      <w:divBdr>
        <w:top w:val="none" w:sz="0" w:space="0" w:color="auto"/>
        <w:left w:val="none" w:sz="0" w:space="0" w:color="auto"/>
        <w:bottom w:val="none" w:sz="0" w:space="0" w:color="auto"/>
        <w:right w:val="none" w:sz="0" w:space="0" w:color="auto"/>
      </w:divBdr>
    </w:div>
    <w:div w:id="61878574">
      <w:bodyDiv w:val="1"/>
      <w:marLeft w:val="0"/>
      <w:marRight w:val="0"/>
      <w:marTop w:val="0"/>
      <w:marBottom w:val="0"/>
      <w:divBdr>
        <w:top w:val="none" w:sz="0" w:space="0" w:color="auto"/>
        <w:left w:val="none" w:sz="0" w:space="0" w:color="auto"/>
        <w:bottom w:val="none" w:sz="0" w:space="0" w:color="auto"/>
        <w:right w:val="none" w:sz="0" w:space="0" w:color="auto"/>
      </w:divBdr>
    </w:div>
    <w:div w:id="61952123">
      <w:bodyDiv w:val="1"/>
      <w:marLeft w:val="0"/>
      <w:marRight w:val="0"/>
      <w:marTop w:val="0"/>
      <w:marBottom w:val="0"/>
      <w:divBdr>
        <w:top w:val="none" w:sz="0" w:space="0" w:color="auto"/>
        <w:left w:val="none" w:sz="0" w:space="0" w:color="auto"/>
        <w:bottom w:val="none" w:sz="0" w:space="0" w:color="auto"/>
        <w:right w:val="none" w:sz="0" w:space="0" w:color="auto"/>
      </w:divBdr>
    </w:div>
    <w:div w:id="66655550">
      <w:bodyDiv w:val="1"/>
      <w:marLeft w:val="0"/>
      <w:marRight w:val="0"/>
      <w:marTop w:val="0"/>
      <w:marBottom w:val="0"/>
      <w:divBdr>
        <w:top w:val="none" w:sz="0" w:space="0" w:color="auto"/>
        <w:left w:val="none" w:sz="0" w:space="0" w:color="auto"/>
        <w:bottom w:val="none" w:sz="0" w:space="0" w:color="auto"/>
        <w:right w:val="none" w:sz="0" w:space="0" w:color="auto"/>
      </w:divBdr>
    </w:div>
    <w:div w:id="71201768">
      <w:bodyDiv w:val="1"/>
      <w:marLeft w:val="0"/>
      <w:marRight w:val="0"/>
      <w:marTop w:val="0"/>
      <w:marBottom w:val="0"/>
      <w:divBdr>
        <w:top w:val="none" w:sz="0" w:space="0" w:color="auto"/>
        <w:left w:val="none" w:sz="0" w:space="0" w:color="auto"/>
        <w:bottom w:val="none" w:sz="0" w:space="0" w:color="auto"/>
        <w:right w:val="none" w:sz="0" w:space="0" w:color="auto"/>
      </w:divBdr>
    </w:div>
    <w:div w:id="73432121">
      <w:bodyDiv w:val="1"/>
      <w:marLeft w:val="0"/>
      <w:marRight w:val="0"/>
      <w:marTop w:val="0"/>
      <w:marBottom w:val="0"/>
      <w:divBdr>
        <w:top w:val="none" w:sz="0" w:space="0" w:color="auto"/>
        <w:left w:val="none" w:sz="0" w:space="0" w:color="auto"/>
        <w:bottom w:val="none" w:sz="0" w:space="0" w:color="auto"/>
        <w:right w:val="none" w:sz="0" w:space="0" w:color="auto"/>
      </w:divBdr>
    </w:div>
    <w:div w:id="83964670">
      <w:bodyDiv w:val="1"/>
      <w:marLeft w:val="0"/>
      <w:marRight w:val="0"/>
      <w:marTop w:val="0"/>
      <w:marBottom w:val="0"/>
      <w:divBdr>
        <w:top w:val="none" w:sz="0" w:space="0" w:color="auto"/>
        <w:left w:val="none" w:sz="0" w:space="0" w:color="auto"/>
        <w:bottom w:val="none" w:sz="0" w:space="0" w:color="auto"/>
        <w:right w:val="none" w:sz="0" w:space="0" w:color="auto"/>
      </w:divBdr>
    </w:div>
    <w:div w:id="92824292">
      <w:bodyDiv w:val="1"/>
      <w:marLeft w:val="0"/>
      <w:marRight w:val="0"/>
      <w:marTop w:val="0"/>
      <w:marBottom w:val="0"/>
      <w:divBdr>
        <w:top w:val="none" w:sz="0" w:space="0" w:color="auto"/>
        <w:left w:val="none" w:sz="0" w:space="0" w:color="auto"/>
        <w:bottom w:val="none" w:sz="0" w:space="0" w:color="auto"/>
        <w:right w:val="none" w:sz="0" w:space="0" w:color="auto"/>
      </w:divBdr>
    </w:div>
    <w:div w:id="123157907">
      <w:bodyDiv w:val="1"/>
      <w:marLeft w:val="0"/>
      <w:marRight w:val="0"/>
      <w:marTop w:val="0"/>
      <w:marBottom w:val="0"/>
      <w:divBdr>
        <w:top w:val="none" w:sz="0" w:space="0" w:color="auto"/>
        <w:left w:val="none" w:sz="0" w:space="0" w:color="auto"/>
        <w:bottom w:val="none" w:sz="0" w:space="0" w:color="auto"/>
        <w:right w:val="none" w:sz="0" w:space="0" w:color="auto"/>
      </w:divBdr>
    </w:div>
    <w:div w:id="137190494">
      <w:bodyDiv w:val="1"/>
      <w:marLeft w:val="0"/>
      <w:marRight w:val="0"/>
      <w:marTop w:val="0"/>
      <w:marBottom w:val="0"/>
      <w:divBdr>
        <w:top w:val="none" w:sz="0" w:space="0" w:color="auto"/>
        <w:left w:val="none" w:sz="0" w:space="0" w:color="auto"/>
        <w:bottom w:val="none" w:sz="0" w:space="0" w:color="auto"/>
        <w:right w:val="none" w:sz="0" w:space="0" w:color="auto"/>
      </w:divBdr>
    </w:div>
    <w:div w:id="163203507">
      <w:bodyDiv w:val="1"/>
      <w:marLeft w:val="0"/>
      <w:marRight w:val="0"/>
      <w:marTop w:val="0"/>
      <w:marBottom w:val="0"/>
      <w:divBdr>
        <w:top w:val="none" w:sz="0" w:space="0" w:color="auto"/>
        <w:left w:val="none" w:sz="0" w:space="0" w:color="auto"/>
        <w:bottom w:val="none" w:sz="0" w:space="0" w:color="auto"/>
        <w:right w:val="none" w:sz="0" w:space="0" w:color="auto"/>
      </w:divBdr>
    </w:div>
    <w:div w:id="177740226">
      <w:bodyDiv w:val="1"/>
      <w:marLeft w:val="0"/>
      <w:marRight w:val="0"/>
      <w:marTop w:val="0"/>
      <w:marBottom w:val="0"/>
      <w:divBdr>
        <w:top w:val="none" w:sz="0" w:space="0" w:color="auto"/>
        <w:left w:val="none" w:sz="0" w:space="0" w:color="auto"/>
        <w:bottom w:val="none" w:sz="0" w:space="0" w:color="auto"/>
        <w:right w:val="none" w:sz="0" w:space="0" w:color="auto"/>
      </w:divBdr>
    </w:div>
    <w:div w:id="218787936">
      <w:bodyDiv w:val="1"/>
      <w:marLeft w:val="0"/>
      <w:marRight w:val="0"/>
      <w:marTop w:val="0"/>
      <w:marBottom w:val="0"/>
      <w:divBdr>
        <w:top w:val="none" w:sz="0" w:space="0" w:color="auto"/>
        <w:left w:val="none" w:sz="0" w:space="0" w:color="auto"/>
        <w:bottom w:val="none" w:sz="0" w:space="0" w:color="auto"/>
        <w:right w:val="none" w:sz="0" w:space="0" w:color="auto"/>
      </w:divBdr>
    </w:div>
    <w:div w:id="239024204">
      <w:bodyDiv w:val="1"/>
      <w:marLeft w:val="0"/>
      <w:marRight w:val="0"/>
      <w:marTop w:val="0"/>
      <w:marBottom w:val="0"/>
      <w:divBdr>
        <w:top w:val="none" w:sz="0" w:space="0" w:color="auto"/>
        <w:left w:val="none" w:sz="0" w:space="0" w:color="auto"/>
        <w:bottom w:val="none" w:sz="0" w:space="0" w:color="auto"/>
        <w:right w:val="none" w:sz="0" w:space="0" w:color="auto"/>
      </w:divBdr>
    </w:div>
    <w:div w:id="249824286">
      <w:bodyDiv w:val="1"/>
      <w:marLeft w:val="0"/>
      <w:marRight w:val="0"/>
      <w:marTop w:val="0"/>
      <w:marBottom w:val="0"/>
      <w:divBdr>
        <w:top w:val="none" w:sz="0" w:space="0" w:color="auto"/>
        <w:left w:val="none" w:sz="0" w:space="0" w:color="auto"/>
        <w:bottom w:val="none" w:sz="0" w:space="0" w:color="auto"/>
        <w:right w:val="none" w:sz="0" w:space="0" w:color="auto"/>
      </w:divBdr>
    </w:div>
    <w:div w:id="250697249">
      <w:bodyDiv w:val="1"/>
      <w:marLeft w:val="0"/>
      <w:marRight w:val="0"/>
      <w:marTop w:val="0"/>
      <w:marBottom w:val="0"/>
      <w:divBdr>
        <w:top w:val="none" w:sz="0" w:space="0" w:color="auto"/>
        <w:left w:val="none" w:sz="0" w:space="0" w:color="auto"/>
        <w:bottom w:val="none" w:sz="0" w:space="0" w:color="auto"/>
        <w:right w:val="none" w:sz="0" w:space="0" w:color="auto"/>
      </w:divBdr>
    </w:div>
    <w:div w:id="263076247">
      <w:bodyDiv w:val="1"/>
      <w:marLeft w:val="0"/>
      <w:marRight w:val="0"/>
      <w:marTop w:val="0"/>
      <w:marBottom w:val="0"/>
      <w:divBdr>
        <w:top w:val="none" w:sz="0" w:space="0" w:color="auto"/>
        <w:left w:val="none" w:sz="0" w:space="0" w:color="auto"/>
        <w:bottom w:val="none" w:sz="0" w:space="0" w:color="auto"/>
        <w:right w:val="none" w:sz="0" w:space="0" w:color="auto"/>
      </w:divBdr>
    </w:div>
    <w:div w:id="284585031">
      <w:bodyDiv w:val="1"/>
      <w:marLeft w:val="0"/>
      <w:marRight w:val="0"/>
      <w:marTop w:val="0"/>
      <w:marBottom w:val="0"/>
      <w:divBdr>
        <w:top w:val="none" w:sz="0" w:space="0" w:color="auto"/>
        <w:left w:val="none" w:sz="0" w:space="0" w:color="auto"/>
        <w:bottom w:val="none" w:sz="0" w:space="0" w:color="auto"/>
        <w:right w:val="none" w:sz="0" w:space="0" w:color="auto"/>
      </w:divBdr>
    </w:div>
    <w:div w:id="290088200">
      <w:bodyDiv w:val="1"/>
      <w:marLeft w:val="0"/>
      <w:marRight w:val="0"/>
      <w:marTop w:val="0"/>
      <w:marBottom w:val="0"/>
      <w:divBdr>
        <w:top w:val="none" w:sz="0" w:space="0" w:color="auto"/>
        <w:left w:val="none" w:sz="0" w:space="0" w:color="auto"/>
        <w:bottom w:val="none" w:sz="0" w:space="0" w:color="auto"/>
        <w:right w:val="none" w:sz="0" w:space="0" w:color="auto"/>
      </w:divBdr>
    </w:div>
    <w:div w:id="292635725">
      <w:bodyDiv w:val="1"/>
      <w:marLeft w:val="0"/>
      <w:marRight w:val="0"/>
      <w:marTop w:val="0"/>
      <w:marBottom w:val="0"/>
      <w:divBdr>
        <w:top w:val="none" w:sz="0" w:space="0" w:color="auto"/>
        <w:left w:val="none" w:sz="0" w:space="0" w:color="auto"/>
        <w:bottom w:val="none" w:sz="0" w:space="0" w:color="auto"/>
        <w:right w:val="none" w:sz="0" w:space="0" w:color="auto"/>
      </w:divBdr>
    </w:div>
    <w:div w:id="312678757">
      <w:bodyDiv w:val="1"/>
      <w:marLeft w:val="0"/>
      <w:marRight w:val="0"/>
      <w:marTop w:val="0"/>
      <w:marBottom w:val="0"/>
      <w:divBdr>
        <w:top w:val="none" w:sz="0" w:space="0" w:color="auto"/>
        <w:left w:val="none" w:sz="0" w:space="0" w:color="auto"/>
        <w:bottom w:val="none" w:sz="0" w:space="0" w:color="auto"/>
        <w:right w:val="none" w:sz="0" w:space="0" w:color="auto"/>
      </w:divBdr>
    </w:div>
    <w:div w:id="312755876">
      <w:bodyDiv w:val="1"/>
      <w:marLeft w:val="0"/>
      <w:marRight w:val="0"/>
      <w:marTop w:val="0"/>
      <w:marBottom w:val="0"/>
      <w:divBdr>
        <w:top w:val="none" w:sz="0" w:space="0" w:color="auto"/>
        <w:left w:val="none" w:sz="0" w:space="0" w:color="auto"/>
        <w:bottom w:val="none" w:sz="0" w:space="0" w:color="auto"/>
        <w:right w:val="none" w:sz="0" w:space="0" w:color="auto"/>
      </w:divBdr>
    </w:div>
    <w:div w:id="313339244">
      <w:bodyDiv w:val="1"/>
      <w:marLeft w:val="0"/>
      <w:marRight w:val="0"/>
      <w:marTop w:val="0"/>
      <w:marBottom w:val="0"/>
      <w:divBdr>
        <w:top w:val="none" w:sz="0" w:space="0" w:color="auto"/>
        <w:left w:val="none" w:sz="0" w:space="0" w:color="auto"/>
        <w:bottom w:val="none" w:sz="0" w:space="0" w:color="auto"/>
        <w:right w:val="none" w:sz="0" w:space="0" w:color="auto"/>
      </w:divBdr>
    </w:div>
    <w:div w:id="315032191">
      <w:bodyDiv w:val="1"/>
      <w:marLeft w:val="0"/>
      <w:marRight w:val="0"/>
      <w:marTop w:val="0"/>
      <w:marBottom w:val="0"/>
      <w:divBdr>
        <w:top w:val="none" w:sz="0" w:space="0" w:color="auto"/>
        <w:left w:val="none" w:sz="0" w:space="0" w:color="auto"/>
        <w:bottom w:val="none" w:sz="0" w:space="0" w:color="auto"/>
        <w:right w:val="none" w:sz="0" w:space="0" w:color="auto"/>
      </w:divBdr>
    </w:div>
    <w:div w:id="316110550">
      <w:bodyDiv w:val="1"/>
      <w:marLeft w:val="0"/>
      <w:marRight w:val="0"/>
      <w:marTop w:val="0"/>
      <w:marBottom w:val="0"/>
      <w:divBdr>
        <w:top w:val="none" w:sz="0" w:space="0" w:color="auto"/>
        <w:left w:val="none" w:sz="0" w:space="0" w:color="auto"/>
        <w:bottom w:val="none" w:sz="0" w:space="0" w:color="auto"/>
        <w:right w:val="none" w:sz="0" w:space="0" w:color="auto"/>
      </w:divBdr>
    </w:div>
    <w:div w:id="434789798">
      <w:bodyDiv w:val="1"/>
      <w:marLeft w:val="0"/>
      <w:marRight w:val="0"/>
      <w:marTop w:val="0"/>
      <w:marBottom w:val="0"/>
      <w:divBdr>
        <w:top w:val="none" w:sz="0" w:space="0" w:color="auto"/>
        <w:left w:val="none" w:sz="0" w:space="0" w:color="auto"/>
        <w:bottom w:val="none" w:sz="0" w:space="0" w:color="auto"/>
        <w:right w:val="none" w:sz="0" w:space="0" w:color="auto"/>
      </w:divBdr>
    </w:div>
    <w:div w:id="446199230">
      <w:bodyDiv w:val="1"/>
      <w:marLeft w:val="0"/>
      <w:marRight w:val="0"/>
      <w:marTop w:val="0"/>
      <w:marBottom w:val="0"/>
      <w:divBdr>
        <w:top w:val="none" w:sz="0" w:space="0" w:color="auto"/>
        <w:left w:val="none" w:sz="0" w:space="0" w:color="auto"/>
        <w:bottom w:val="none" w:sz="0" w:space="0" w:color="auto"/>
        <w:right w:val="none" w:sz="0" w:space="0" w:color="auto"/>
      </w:divBdr>
    </w:div>
    <w:div w:id="462164776">
      <w:bodyDiv w:val="1"/>
      <w:marLeft w:val="0"/>
      <w:marRight w:val="0"/>
      <w:marTop w:val="0"/>
      <w:marBottom w:val="0"/>
      <w:divBdr>
        <w:top w:val="none" w:sz="0" w:space="0" w:color="auto"/>
        <w:left w:val="none" w:sz="0" w:space="0" w:color="auto"/>
        <w:bottom w:val="none" w:sz="0" w:space="0" w:color="auto"/>
        <w:right w:val="none" w:sz="0" w:space="0" w:color="auto"/>
      </w:divBdr>
    </w:div>
    <w:div w:id="477301867">
      <w:bodyDiv w:val="1"/>
      <w:marLeft w:val="0"/>
      <w:marRight w:val="0"/>
      <w:marTop w:val="0"/>
      <w:marBottom w:val="0"/>
      <w:divBdr>
        <w:top w:val="none" w:sz="0" w:space="0" w:color="auto"/>
        <w:left w:val="none" w:sz="0" w:space="0" w:color="auto"/>
        <w:bottom w:val="none" w:sz="0" w:space="0" w:color="auto"/>
        <w:right w:val="none" w:sz="0" w:space="0" w:color="auto"/>
      </w:divBdr>
    </w:div>
    <w:div w:id="482550518">
      <w:bodyDiv w:val="1"/>
      <w:marLeft w:val="0"/>
      <w:marRight w:val="0"/>
      <w:marTop w:val="0"/>
      <w:marBottom w:val="0"/>
      <w:divBdr>
        <w:top w:val="none" w:sz="0" w:space="0" w:color="auto"/>
        <w:left w:val="none" w:sz="0" w:space="0" w:color="auto"/>
        <w:bottom w:val="none" w:sz="0" w:space="0" w:color="auto"/>
        <w:right w:val="none" w:sz="0" w:space="0" w:color="auto"/>
      </w:divBdr>
    </w:div>
    <w:div w:id="497692969">
      <w:bodyDiv w:val="1"/>
      <w:marLeft w:val="0"/>
      <w:marRight w:val="0"/>
      <w:marTop w:val="0"/>
      <w:marBottom w:val="0"/>
      <w:divBdr>
        <w:top w:val="none" w:sz="0" w:space="0" w:color="auto"/>
        <w:left w:val="none" w:sz="0" w:space="0" w:color="auto"/>
        <w:bottom w:val="none" w:sz="0" w:space="0" w:color="auto"/>
        <w:right w:val="none" w:sz="0" w:space="0" w:color="auto"/>
      </w:divBdr>
    </w:div>
    <w:div w:id="511071629">
      <w:bodyDiv w:val="1"/>
      <w:marLeft w:val="0"/>
      <w:marRight w:val="0"/>
      <w:marTop w:val="0"/>
      <w:marBottom w:val="0"/>
      <w:divBdr>
        <w:top w:val="none" w:sz="0" w:space="0" w:color="auto"/>
        <w:left w:val="none" w:sz="0" w:space="0" w:color="auto"/>
        <w:bottom w:val="none" w:sz="0" w:space="0" w:color="auto"/>
        <w:right w:val="none" w:sz="0" w:space="0" w:color="auto"/>
      </w:divBdr>
    </w:div>
    <w:div w:id="545335016">
      <w:bodyDiv w:val="1"/>
      <w:marLeft w:val="0"/>
      <w:marRight w:val="0"/>
      <w:marTop w:val="0"/>
      <w:marBottom w:val="0"/>
      <w:divBdr>
        <w:top w:val="none" w:sz="0" w:space="0" w:color="auto"/>
        <w:left w:val="none" w:sz="0" w:space="0" w:color="auto"/>
        <w:bottom w:val="none" w:sz="0" w:space="0" w:color="auto"/>
        <w:right w:val="none" w:sz="0" w:space="0" w:color="auto"/>
      </w:divBdr>
    </w:div>
    <w:div w:id="558399447">
      <w:bodyDiv w:val="1"/>
      <w:marLeft w:val="0"/>
      <w:marRight w:val="0"/>
      <w:marTop w:val="0"/>
      <w:marBottom w:val="0"/>
      <w:divBdr>
        <w:top w:val="none" w:sz="0" w:space="0" w:color="auto"/>
        <w:left w:val="none" w:sz="0" w:space="0" w:color="auto"/>
        <w:bottom w:val="none" w:sz="0" w:space="0" w:color="auto"/>
        <w:right w:val="none" w:sz="0" w:space="0" w:color="auto"/>
      </w:divBdr>
    </w:div>
    <w:div w:id="561217276">
      <w:bodyDiv w:val="1"/>
      <w:marLeft w:val="0"/>
      <w:marRight w:val="0"/>
      <w:marTop w:val="0"/>
      <w:marBottom w:val="0"/>
      <w:divBdr>
        <w:top w:val="none" w:sz="0" w:space="0" w:color="auto"/>
        <w:left w:val="none" w:sz="0" w:space="0" w:color="auto"/>
        <w:bottom w:val="none" w:sz="0" w:space="0" w:color="auto"/>
        <w:right w:val="none" w:sz="0" w:space="0" w:color="auto"/>
      </w:divBdr>
    </w:div>
    <w:div w:id="569967761">
      <w:bodyDiv w:val="1"/>
      <w:marLeft w:val="0"/>
      <w:marRight w:val="0"/>
      <w:marTop w:val="0"/>
      <w:marBottom w:val="0"/>
      <w:divBdr>
        <w:top w:val="none" w:sz="0" w:space="0" w:color="auto"/>
        <w:left w:val="none" w:sz="0" w:space="0" w:color="auto"/>
        <w:bottom w:val="none" w:sz="0" w:space="0" w:color="auto"/>
        <w:right w:val="none" w:sz="0" w:space="0" w:color="auto"/>
      </w:divBdr>
    </w:div>
    <w:div w:id="576402566">
      <w:bodyDiv w:val="1"/>
      <w:marLeft w:val="0"/>
      <w:marRight w:val="0"/>
      <w:marTop w:val="0"/>
      <w:marBottom w:val="0"/>
      <w:divBdr>
        <w:top w:val="none" w:sz="0" w:space="0" w:color="auto"/>
        <w:left w:val="none" w:sz="0" w:space="0" w:color="auto"/>
        <w:bottom w:val="none" w:sz="0" w:space="0" w:color="auto"/>
        <w:right w:val="none" w:sz="0" w:space="0" w:color="auto"/>
      </w:divBdr>
    </w:div>
    <w:div w:id="588779055">
      <w:bodyDiv w:val="1"/>
      <w:marLeft w:val="0"/>
      <w:marRight w:val="0"/>
      <w:marTop w:val="0"/>
      <w:marBottom w:val="0"/>
      <w:divBdr>
        <w:top w:val="none" w:sz="0" w:space="0" w:color="auto"/>
        <w:left w:val="none" w:sz="0" w:space="0" w:color="auto"/>
        <w:bottom w:val="none" w:sz="0" w:space="0" w:color="auto"/>
        <w:right w:val="none" w:sz="0" w:space="0" w:color="auto"/>
      </w:divBdr>
    </w:div>
    <w:div w:id="590314204">
      <w:bodyDiv w:val="1"/>
      <w:marLeft w:val="0"/>
      <w:marRight w:val="0"/>
      <w:marTop w:val="0"/>
      <w:marBottom w:val="0"/>
      <w:divBdr>
        <w:top w:val="none" w:sz="0" w:space="0" w:color="auto"/>
        <w:left w:val="none" w:sz="0" w:space="0" w:color="auto"/>
        <w:bottom w:val="none" w:sz="0" w:space="0" w:color="auto"/>
        <w:right w:val="none" w:sz="0" w:space="0" w:color="auto"/>
      </w:divBdr>
    </w:div>
    <w:div w:id="592476185">
      <w:bodyDiv w:val="1"/>
      <w:marLeft w:val="0"/>
      <w:marRight w:val="0"/>
      <w:marTop w:val="0"/>
      <w:marBottom w:val="0"/>
      <w:divBdr>
        <w:top w:val="none" w:sz="0" w:space="0" w:color="auto"/>
        <w:left w:val="none" w:sz="0" w:space="0" w:color="auto"/>
        <w:bottom w:val="none" w:sz="0" w:space="0" w:color="auto"/>
        <w:right w:val="none" w:sz="0" w:space="0" w:color="auto"/>
      </w:divBdr>
    </w:div>
    <w:div w:id="593972786">
      <w:bodyDiv w:val="1"/>
      <w:marLeft w:val="0"/>
      <w:marRight w:val="0"/>
      <w:marTop w:val="0"/>
      <w:marBottom w:val="0"/>
      <w:divBdr>
        <w:top w:val="none" w:sz="0" w:space="0" w:color="auto"/>
        <w:left w:val="none" w:sz="0" w:space="0" w:color="auto"/>
        <w:bottom w:val="none" w:sz="0" w:space="0" w:color="auto"/>
        <w:right w:val="none" w:sz="0" w:space="0" w:color="auto"/>
      </w:divBdr>
    </w:div>
    <w:div w:id="601187681">
      <w:bodyDiv w:val="1"/>
      <w:marLeft w:val="0"/>
      <w:marRight w:val="0"/>
      <w:marTop w:val="0"/>
      <w:marBottom w:val="0"/>
      <w:divBdr>
        <w:top w:val="none" w:sz="0" w:space="0" w:color="auto"/>
        <w:left w:val="none" w:sz="0" w:space="0" w:color="auto"/>
        <w:bottom w:val="none" w:sz="0" w:space="0" w:color="auto"/>
        <w:right w:val="none" w:sz="0" w:space="0" w:color="auto"/>
      </w:divBdr>
    </w:div>
    <w:div w:id="615143717">
      <w:bodyDiv w:val="1"/>
      <w:marLeft w:val="0"/>
      <w:marRight w:val="0"/>
      <w:marTop w:val="0"/>
      <w:marBottom w:val="0"/>
      <w:divBdr>
        <w:top w:val="none" w:sz="0" w:space="0" w:color="auto"/>
        <w:left w:val="none" w:sz="0" w:space="0" w:color="auto"/>
        <w:bottom w:val="none" w:sz="0" w:space="0" w:color="auto"/>
        <w:right w:val="none" w:sz="0" w:space="0" w:color="auto"/>
      </w:divBdr>
    </w:div>
    <w:div w:id="631131464">
      <w:bodyDiv w:val="1"/>
      <w:marLeft w:val="0"/>
      <w:marRight w:val="0"/>
      <w:marTop w:val="0"/>
      <w:marBottom w:val="0"/>
      <w:divBdr>
        <w:top w:val="none" w:sz="0" w:space="0" w:color="auto"/>
        <w:left w:val="none" w:sz="0" w:space="0" w:color="auto"/>
        <w:bottom w:val="none" w:sz="0" w:space="0" w:color="auto"/>
        <w:right w:val="none" w:sz="0" w:space="0" w:color="auto"/>
      </w:divBdr>
    </w:div>
    <w:div w:id="632834824">
      <w:bodyDiv w:val="1"/>
      <w:marLeft w:val="0"/>
      <w:marRight w:val="0"/>
      <w:marTop w:val="0"/>
      <w:marBottom w:val="0"/>
      <w:divBdr>
        <w:top w:val="none" w:sz="0" w:space="0" w:color="auto"/>
        <w:left w:val="none" w:sz="0" w:space="0" w:color="auto"/>
        <w:bottom w:val="none" w:sz="0" w:space="0" w:color="auto"/>
        <w:right w:val="none" w:sz="0" w:space="0" w:color="auto"/>
      </w:divBdr>
      <w:divsChild>
        <w:div w:id="319580602">
          <w:marLeft w:val="0"/>
          <w:marRight w:val="0"/>
          <w:marTop w:val="0"/>
          <w:marBottom w:val="0"/>
          <w:divBdr>
            <w:top w:val="none" w:sz="0" w:space="0" w:color="auto"/>
            <w:left w:val="none" w:sz="0" w:space="0" w:color="auto"/>
            <w:bottom w:val="none" w:sz="0" w:space="0" w:color="auto"/>
            <w:right w:val="none" w:sz="0" w:space="0" w:color="auto"/>
          </w:divBdr>
          <w:divsChild>
            <w:div w:id="309873596">
              <w:marLeft w:val="0"/>
              <w:marRight w:val="0"/>
              <w:marTop w:val="0"/>
              <w:marBottom w:val="0"/>
              <w:divBdr>
                <w:top w:val="none" w:sz="0" w:space="0" w:color="auto"/>
                <w:left w:val="none" w:sz="0" w:space="0" w:color="auto"/>
                <w:bottom w:val="none" w:sz="0" w:space="0" w:color="auto"/>
                <w:right w:val="none" w:sz="0" w:space="0" w:color="auto"/>
              </w:divBdr>
            </w:div>
          </w:divsChild>
        </w:div>
        <w:div w:id="387267919">
          <w:marLeft w:val="0"/>
          <w:marRight w:val="0"/>
          <w:marTop w:val="0"/>
          <w:marBottom w:val="105"/>
          <w:divBdr>
            <w:top w:val="none" w:sz="0" w:space="0" w:color="auto"/>
            <w:left w:val="none" w:sz="0" w:space="0" w:color="auto"/>
            <w:bottom w:val="none" w:sz="0" w:space="0" w:color="auto"/>
            <w:right w:val="none" w:sz="0" w:space="0" w:color="auto"/>
          </w:divBdr>
        </w:div>
      </w:divsChild>
    </w:div>
    <w:div w:id="657075546">
      <w:bodyDiv w:val="1"/>
      <w:marLeft w:val="0"/>
      <w:marRight w:val="0"/>
      <w:marTop w:val="0"/>
      <w:marBottom w:val="0"/>
      <w:divBdr>
        <w:top w:val="none" w:sz="0" w:space="0" w:color="auto"/>
        <w:left w:val="none" w:sz="0" w:space="0" w:color="auto"/>
        <w:bottom w:val="none" w:sz="0" w:space="0" w:color="auto"/>
        <w:right w:val="none" w:sz="0" w:space="0" w:color="auto"/>
      </w:divBdr>
    </w:div>
    <w:div w:id="667247101">
      <w:bodyDiv w:val="1"/>
      <w:marLeft w:val="0"/>
      <w:marRight w:val="0"/>
      <w:marTop w:val="0"/>
      <w:marBottom w:val="0"/>
      <w:divBdr>
        <w:top w:val="none" w:sz="0" w:space="0" w:color="auto"/>
        <w:left w:val="none" w:sz="0" w:space="0" w:color="auto"/>
        <w:bottom w:val="none" w:sz="0" w:space="0" w:color="auto"/>
        <w:right w:val="none" w:sz="0" w:space="0" w:color="auto"/>
      </w:divBdr>
    </w:div>
    <w:div w:id="668796955">
      <w:bodyDiv w:val="1"/>
      <w:marLeft w:val="0"/>
      <w:marRight w:val="0"/>
      <w:marTop w:val="0"/>
      <w:marBottom w:val="0"/>
      <w:divBdr>
        <w:top w:val="none" w:sz="0" w:space="0" w:color="auto"/>
        <w:left w:val="none" w:sz="0" w:space="0" w:color="auto"/>
        <w:bottom w:val="none" w:sz="0" w:space="0" w:color="auto"/>
        <w:right w:val="none" w:sz="0" w:space="0" w:color="auto"/>
      </w:divBdr>
    </w:div>
    <w:div w:id="677079514">
      <w:bodyDiv w:val="1"/>
      <w:marLeft w:val="0"/>
      <w:marRight w:val="0"/>
      <w:marTop w:val="0"/>
      <w:marBottom w:val="0"/>
      <w:divBdr>
        <w:top w:val="none" w:sz="0" w:space="0" w:color="auto"/>
        <w:left w:val="none" w:sz="0" w:space="0" w:color="auto"/>
        <w:bottom w:val="none" w:sz="0" w:space="0" w:color="auto"/>
        <w:right w:val="none" w:sz="0" w:space="0" w:color="auto"/>
      </w:divBdr>
    </w:div>
    <w:div w:id="688871205">
      <w:bodyDiv w:val="1"/>
      <w:marLeft w:val="0"/>
      <w:marRight w:val="0"/>
      <w:marTop w:val="0"/>
      <w:marBottom w:val="0"/>
      <w:divBdr>
        <w:top w:val="none" w:sz="0" w:space="0" w:color="auto"/>
        <w:left w:val="none" w:sz="0" w:space="0" w:color="auto"/>
        <w:bottom w:val="none" w:sz="0" w:space="0" w:color="auto"/>
        <w:right w:val="none" w:sz="0" w:space="0" w:color="auto"/>
      </w:divBdr>
    </w:div>
    <w:div w:id="697003848">
      <w:bodyDiv w:val="1"/>
      <w:marLeft w:val="0"/>
      <w:marRight w:val="0"/>
      <w:marTop w:val="0"/>
      <w:marBottom w:val="0"/>
      <w:divBdr>
        <w:top w:val="none" w:sz="0" w:space="0" w:color="auto"/>
        <w:left w:val="none" w:sz="0" w:space="0" w:color="auto"/>
        <w:bottom w:val="none" w:sz="0" w:space="0" w:color="auto"/>
        <w:right w:val="none" w:sz="0" w:space="0" w:color="auto"/>
      </w:divBdr>
    </w:div>
    <w:div w:id="708729068">
      <w:bodyDiv w:val="1"/>
      <w:marLeft w:val="0"/>
      <w:marRight w:val="0"/>
      <w:marTop w:val="0"/>
      <w:marBottom w:val="0"/>
      <w:divBdr>
        <w:top w:val="none" w:sz="0" w:space="0" w:color="auto"/>
        <w:left w:val="none" w:sz="0" w:space="0" w:color="auto"/>
        <w:bottom w:val="none" w:sz="0" w:space="0" w:color="auto"/>
        <w:right w:val="none" w:sz="0" w:space="0" w:color="auto"/>
      </w:divBdr>
    </w:div>
    <w:div w:id="715743328">
      <w:bodyDiv w:val="1"/>
      <w:marLeft w:val="0"/>
      <w:marRight w:val="0"/>
      <w:marTop w:val="0"/>
      <w:marBottom w:val="0"/>
      <w:divBdr>
        <w:top w:val="none" w:sz="0" w:space="0" w:color="auto"/>
        <w:left w:val="none" w:sz="0" w:space="0" w:color="auto"/>
        <w:bottom w:val="none" w:sz="0" w:space="0" w:color="auto"/>
        <w:right w:val="none" w:sz="0" w:space="0" w:color="auto"/>
      </w:divBdr>
      <w:divsChild>
        <w:div w:id="495846718">
          <w:marLeft w:val="0"/>
          <w:marRight w:val="0"/>
          <w:marTop w:val="0"/>
          <w:marBottom w:val="0"/>
          <w:divBdr>
            <w:top w:val="none" w:sz="0" w:space="0" w:color="auto"/>
            <w:left w:val="none" w:sz="0" w:space="0" w:color="auto"/>
            <w:bottom w:val="none" w:sz="0" w:space="0" w:color="auto"/>
            <w:right w:val="none" w:sz="0" w:space="0" w:color="auto"/>
          </w:divBdr>
          <w:divsChild>
            <w:div w:id="1137574873">
              <w:marLeft w:val="0"/>
              <w:marRight w:val="0"/>
              <w:marTop w:val="0"/>
              <w:marBottom w:val="0"/>
              <w:divBdr>
                <w:top w:val="none" w:sz="0" w:space="0" w:color="auto"/>
                <w:left w:val="none" w:sz="0" w:space="0" w:color="auto"/>
                <w:bottom w:val="none" w:sz="0" w:space="0" w:color="auto"/>
                <w:right w:val="none" w:sz="0" w:space="0" w:color="auto"/>
              </w:divBdr>
              <w:divsChild>
                <w:div w:id="1040938718">
                  <w:marLeft w:val="0"/>
                  <w:marRight w:val="0"/>
                  <w:marTop w:val="0"/>
                  <w:marBottom w:val="0"/>
                  <w:divBdr>
                    <w:top w:val="none" w:sz="0" w:space="0" w:color="auto"/>
                    <w:left w:val="none" w:sz="0" w:space="0" w:color="auto"/>
                    <w:bottom w:val="none" w:sz="0" w:space="0" w:color="auto"/>
                    <w:right w:val="none" w:sz="0" w:space="0" w:color="auto"/>
                  </w:divBdr>
                  <w:divsChild>
                    <w:div w:id="1839806890">
                      <w:marLeft w:val="0"/>
                      <w:marRight w:val="0"/>
                      <w:marTop w:val="0"/>
                      <w:marBottom w:val="0"/>
                      <w:divBdr>
                        <w:top w:val="none" w:sz="0" w:space="0" w:color="auto"/>
                        <w:left w:val="none" w:sz="0" w:space="0" w:color="auto"/>
                        <w:bottom w:val="none" w:sz="0" w:space="0" w:color="auto"/>
                        <w:right w:val="none" w:sz="0" w:space="0" w:color="auto"/>
                      </w:divBdr>
                      <w:divsChild>
                        <w:div w:id="1333145329">
                          <w:marLeft w:val="0"/>
                          <w:marRight w:val="0"/>
                          <w:marTop w:val="0"/>
                          <w:marBottom w:val="0"/>
                          <w:divBdr>
                            <w:top w:val="none" w:sz="0" w:space="0" w:color="auto"/>
                            <w:left w:val="none" w:sz="0" w:space="0" w:color="auto"/>
                            <w:bottom w:val="none" w:sz="0" w:space="0" w:color="auto"/>
                            <w:right w:val="none" w:sz="0" w:space="0" w:color="auto"/>
                          </w:divBdr>
                          <w:divsChild>
                            <w:div w:id="2068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700067">
      <w:bodyDiv w:val="1"/>
      <w:marLeft w:val="0"/>
      <w:marRight w:val="0"/>
      <w:marTop w:val="0"/>
      <w:marBottom w:val="0"/>
      <w:divBdr>
        <w:top w:val="none" w:sz="0" w:space="0" w:color="auto"/>
        <w:left w:val="none" w:sz="0" w:space="0" w:color="auto"/>
        <w:bottom w:val="none" w:sz="0" w:space="0" w:color="auto"/>
        <w:right w:val="none" w:sz="0" w:space="0" w:color="auto"/>
      </w:divBdr>
    </w:div>
    <w:div w:id="747194085">
      <w:bodyDiv w:val="1"/>
      <w:marLeft w:val="0"/>
      <w:marRight w:val="0"/>
      <w:marTop w:val="0"/>
      <w:marBottom w:val="0"/>
      <w:divBdr>
        <w:top w:val="none" w:sz="0" w:space="0" w:color="auto"/>
        <w:left w:val="none" w:sz="0" w:space="0" w:color="auto"/>
        <w:bottom w:val="none" w:sz="0" w:space="0" w:color="auto"/>
        <w:right w:val="none" w:sz="0" w:space="0" w:color="auto"/>
      </w:divBdr>
    </w:div>
    <w:div w:id="751901295">
      <w:bodyDiv w:val="1"/>
      <w:marLeft w:val="0"/>
      <w:marRight w:val="0"/>
      <w:marTop w:val="0"/>
      <w:marBottom w:val="0"/>
      <w:divBdr>
        <w:top w:val="none" w:sz="0" w:space="0" w:color="auto"/>
        <w:left w:val="none" w:sz="0" w:space="0" w:color="auto"/>
        <w:bottom w:val="none" w:sz="0" w:space="0" w:color="auto"/>
        <w:right w:val="none" w:sz="0" w:space="0" w:color="auto"/>
      </w:divBdr>
    </w:div>
    <w:div w:id="775635099">
      <w:bodyDiv w:val="1"/>
      <w:marLeft w:val="0"/>
      <w:marRight w:val="0"/>
      <w:marTop w:val="0"/>
      <w:marBottom w:val="0"/>
      <w:divBdr>
        <w:top w:val="none" w:sz="0" w:space="0" w:color="auto"/>
        <w:left w:val="none" w:sz="0" w:space="0" w:color="auto"/>
        <w:bottom w:val="none" w:sz="0" w:space="0" w:color="auto"/>
        <w:right w:val="none" w:sz="0" w:space="0" w:color="auto"/>
      </w:divBdr>
    </w:div>
    <w:div w:id="780954123">
      <w:bodyDiv w:val="1"/>
      <w:marLeft w:val="0"/>
      <w:marRight w:val="0"/>
      <w:marTop w:val="0"/>
      <w:marBottom w:val="0"/>
      <w:divBdr>
        <w:top w:val="none" w:sz="0" w:space="0" w:color="auto"/>
        <w:left w:val="none" w:sz="0" w:space="0" w:color="auto"/>
        <w:bottom w:val="none" w:sz="0" w:space="0" w:color="auto"/>
        <w:right w:val="none" w:sz="0" w:space="0" w:color="auto"/>
      </w:divBdr>
    </w:div>
    <w:div w:id="781266695">
      <w:bodyDiv w:val="1"/>
      <w:marLeft w:val="0"/>
      <w:marRight w:val="0"/>
      <w:marTop w:val="0"/>
      <w:marBottom w:val="0"/>
      <w:divBdr>
        <w:top w:val="none" w:sz="0" w:space="0" w:color="auto"/>
        <w:left w:val="none" w:sz="0" w:space="0" w:color="auto"/>
        <w:bottom w:val="none" w:sz="0" w:space="0" w:color="auto"/>
        <w:right w:val="none" w:sz="0" w:space="0" w:color="auto"/>
      </w:divBdr>
    </w:div>
    <w:div w:id="799685061">
      <w:bodyDiv w:val="1"/>
      <w:marLeft w:val="0"/>
      <w:marRight w:val="0"/>
      <w:marTop w:val="0"/>
      <w:marBottom w:val="0"/>
      <w:divBdr>
        <w:top w:val="none" w:sz="0" w:space="0" w:color="auto"/>
        <w:left w:val="none" w:sz="0" w:space="0" w:color="auto"/>
        <w:bottom w:val="none" w:sz="0" w:space="0" w:color="auto"/>
        <w:right w:val="none" w:sz="0" w:space="0" w:color="auto"/>
      </w:divBdr>
    </w:div>
    <w:div w:id="800271063">
      <w:bodyDiv w:val="1"/>
      <w:marLeft w:val="0"/>
      <w:marRight w:val="0"/>
      <w:marTop w:val="0"/>
      <w:marBottom w:val="0"/>
      <w:divBdr>
        <w:top w:val="none" w:sz="0" w:space="0" w:color="auto"/>
        <w:left w:val="none" w:sz="0" w:space="0" w:color="auto"/>
        <w:bottom w:val="none" w:sz="0" w:space="0" w:color="auto"/>
        <w:right w:val="none" w:sz="0" w:space="0" w:color="auto"/>
      </w:divBdr>
    </w:div>
    <w:div w:id="802192174">
      <w:bodyDiv w:val="1"/>
      <w:marLeft w:val="0"/>
      <w:marRight w:val="0"/>
      <w:marTop w:val="0"/>
      <w:marBottom w:val="0"/>
      <w:divBdr>
        <w:top w:val="none" w:sz="0" w:space="0" w:color="auto"/>
        <w:left w:val="none" w:sz="0" w:space="0" w:color="auto"/>
        <w:bottom w:val="none" w:sz="0" w:space="0" w:color="auto"/>
        <w:right w:val="none" w:sz="0" w:space="0" w:color="auto"/>
      </w:divBdr>
    </w:div>
    <w:div w:id="804352359">
      <w:bodyDiv w:val="1"/>
      <w:marLeft w:val="0"/>
      <w:marRight w:val="0"/>
      <w:marTop w:val="0"/>
      <w:marBottom w:val="0"/>
      <w:divBdr>
        <w:top w:val="none" w:sz="0" w:space="0" w:color="auto"/>
        <w:left w:val="none" w:sz="0" w:space="0" w:color="auto"/>
        <w:bottom w:val="none" w:sz="0" w:space="0" w:color="auto"/>
        <w:right w:val="none" w:sz="0" w:space="0" w:color="auto"/>
      </w:divBdr>
    </w:div>
    <w:div w:id="831917953">
      <w:bodyDiv w:val="1"/>
      <w:marLeft w:val="0"/>
      <w:marRight w:val="0"/>
      <w:marTop w:val="0"/>
      <w:marBottom w:val="0"/>
      <w:divBdr>
        <w:top w:val="none" w:sz="0" w:space="0" w:color="auto"/>
        <w:left w:val="none" w:sz="0" w:space="0" w:color="auto"/>
        <w:bottom w:val="none" w:sz="0" w:space="0" w:color="auto"/>
        <w:right w:val="none" w:sz="0" w:space="0" w:color="auto"/>
      </w:divBdr>
    </w:div>
    <w:div w:id="872814183">
      <w:bodyDiv w:val="1"/>
      <w:marLeft w:val="0"/>
      <w:marRight w:val="0"/>
      <w:marTop w:val="0"/>
      <w:marBottom w:val="0"/>
      <w:divBdr>
        <w:top w:val="none" w:sz="0" w:space="0" w:color="auto"/>
        <w:left w:val="none" w:sz="0" w:space="0" w:color="auto"/>
        <w:bottom w:val="none" w:sz="0" w:space="0" w:color="auto"/>
        <w:right w:val="none" w:sz="0" w:space="0" w:color="auto"/>
      </w:divBdr>
    </w:div>
    <w:div w:id="896162280">
      <w:bodyDiv w:val="1"/>
      <w:marLeft w:val="0"/>
      <w:marRight w:val="0"/>
      <w:marTop w:val="0"/>
      <w:marBottom w:val="0"/>
      <w:divBdr>
        <w:top w:val="none" w:sz="0" w:space="0" w:color="auto"/>
        <w:left w:val="none" w:sz="0" w:space="0" w:color="auto"/>
        <w:bottom w:val="none" w:sz="0" w:space="0" w:color="auto"/>
        <w:right w:val="none" w:sz="0" w:space="0" w:color="auto"/>
      </w:divBdr>
    </w:div>
    <w:div w:id="936913317">
      <w:bodyDiv w:val="1"/>
      <w:marLeft w:val="0"/>
      <w:marRight w:val="0"/>
      <w:marTop w:val="0"/>
      <w:marBottom w:val="0"/>
      <w:divBdr>
        <w:top w:val="none" w:sz="0" w:space="0" w:color="auto"/>
        <w:left w:val="none" w:sz="0" w:space="0" w:color="auto"/>
        <w:bottom w:val="none" w:sz="0" w:space="0" w:color="auto"/>
        <w:right w:val="none" w:sz="0" w:space="0" w:color="auto"/>
      </w:divBdr>
    </w:div>
    <w:div w:id="940453911">
      <w:bodyDiv w:val="1"/>
      <w:marLeft w:val="0"/>
      <w:marRight w:val="0"/>
      <w:marTop w:val="0"/>
      <w:marBottom w:val="0"/>
      <w:divBdr>
        <w:top w:val="none" w:sz="0" w:space="0" w:color="auto"/>
        <w:left w:val="none" w:sz="0" w:space="0" w:color="auto"/>
        <w:bottom w:val="none" w:sz="0" w:space="0" w:color="auto"/>
        <w:right w:val="none" w:sz="0" w:space="0" w:color="auto"/>
      </w:divBdr>
    </w:div>
    <w:div w:id="948314287">
      <w:bodyDiv w:val="1"/>
      <w:marLeft w:val="0"/>
      <w:marRight w:val="0"/>
      <w:marTop w:val="0"/>
      <w:marBottom w:val="0"/>
      <w:divBdr>
        <w:top w:val="none" w:sz="0" w:space="0" w:color="auto"/>
        <w:left w:val="none" w:sz="0" w:space="0" w:color="auto"/>
        <w:bottom w:val="none" w:sz="0" w:space="0" w:color="auto"/>
        <w:right w:val="none" w:sz="0" w:space="0" w:color="auto"/>
      </w:divBdr>
    </w:div>
    <w:div w:id="959997891">
      <w:bodyDiv w:val="1"/>
      <w:marLeft w:val="0"/>
      <w:marRight w:val="0"/>
      <w:marTop w:val="0"/>
      <w:marBottom w:val="0"/>
      <w:divBdr>
        <w:top w:val="none" w:sz="0" w:space="0" w:color="auto"/>
        <w:left w:val="none" w:sz="0" w:space="0" w:color="auto"/>
        <w:bottom w:val="none" w:sz="0" w:space="0" w:color="auto"/>
        <w:right w:val="none" w:sz="0" w:space="0" w:color="auto"/>
      </w:divBdr>
    </w:div>
    <w:div w:id="968050181">
      <w:bodyDiv w:val="1"/>
      <w:marLeft w:val="0"/>
      <w:marRight w:val="0"/>
      <w:marTop w:val="0"/>
      <w:marBottom w:val="0"/>
      <w:divBdr>
        <w:top w:val="none" w:sz="0" w:space="0" w:color="auto"/>
        <w:left w:val="none" w:sz="0" w:space="0" w:color="auto"/>
        <w:bottom w:val="none" w:sz="0" w:space="0" w:color="auto"/>
        <w:right w:val="none" w:sz="0" w:space="0" w:color="auto"/>
      </w:divBdr>
    </w:div>
    <w:div w:id="976836130">
      <w:bodyDiv w:val="1"/>
      <w:marLeft w:val="0"/>
      <w:marRight w:val="0"/>
      <w:marTop w:val="0"/>
      <w:marBottom w:val="0"/>
      <w:divBdr>
        <w:top w:val="none" w:sz="0" w:space="0" w:color="auto"/>
        <w:left w:val="none" w:sz="0" w:space="0" w:color="auto"/>
        <w:bottom w:val="none" w:sz="0" w:space="0" w:color="auto"/>
        <w:right w:val="none" w:sz="0" w:space="0" w:color="auto"/>
      </w:divBdr>
    </w:div>
    <w:div w:id="984970509">
      <w:bodyDiv w:val="1"/>
      <w:marLeft w:val="0"/>
      <w:marRight w:val="0"/>
      <w:marTop w:val="0"/>
      <w:marBottom w:val="0"/>
      <w:divBdr>
        <w:top w:val="none" w:sz="0" w:space="0" w:color="auto"/>
        <w:left w:val="none" w:sz="0" w:space="0" w:color="auto"/>
        <w:bottom w:val="none" w:sz="0" w:space="0" w:color="auto"/>
        <w:right w:val="none" w:sz="0" w:space="0" w:color="auto"/>
      </w:divBdr>
      <w:divsChild>
        <w:div w:id="595090603">
          <w:marLeft w:val="0"/>
          <w:marRight w:val="0"/>
          <w:marTop w:val="0"/>
          <w:marBottom w:val="0"/>
          <w:divBdr>
            <w:top w:val="none" w:sz="0" w:space="0" w:color="auto"/>
            <w:left w:val="none" w:sz="0" w:space="0" w:color="auto"/>
            <w:bottom w:val="none" w:sz="0" w:space="0" w:color="auto"/>
            <w:right w:val="none" w:sz="0" w:space="0" w:color="auto"/>
          </w:divBdr>
        </w:div>
        <w:div w:id="1453596489">
          <w:marLeft w:val="0"/>
          <w:marRight w:val="0"/>
          <w:marTop w:val="240"/>
          <w:marBottom w:val="240"/>
          <w:divBdr>
            <w:top w:val="none" w:sz="0" w:space="0" w:color="auto"/>
            <w:left w:val="none" w:sz="0" w:space="0" w:color="auto"/>
            <w:bottom w:val="none" w:sz="0" w:space="0" w:color="auto"/>
            <w:right w:val="none" w:sz="0" w:space="0" w:color="auto"/>
          </w:divBdr>
        </w:div>
      </w:divsChild>
    </w:div>
    <w:div w:id="1022441949">
      <w:bodyDiv w:val="1"/>
      <w:marLeft w:val="0"/>
      <w:marRight w:val="0"/>
      <w:marTop w:val="0"/>
      <w:marBottom w:val="0"/>
      <w:divBdr>
        <w:top w:val="none" w:sz="0" w:space="0" w:color="auto"/>
        <w:left w:val="none" w:sz="0" w:space="0" w:color="auto"/>
        <w:bottom w:val="none" w:sz="0" w:space="0" w:color="auto"/>
        <w:right w:val="none" w:sz="0" w:space="0" w:color="auto"/>
      </w:divBdr>
    </w:div>
    <w:div w:id="1023364723">
      <w:bodyDiv w:val="1"/>
      <w:marLeft w:val="0"/>
      <w:marRight w:val="0"/>
      <w:marTop w:val="0"/>
      <w:marBottom w:val="0"/>
      <w:divBdr>
        <w:top w:val="none" w:sz="0" w:space="0" w:color="auto"/>
        <w:left w:val="none" w:sz="0" w:space="0" w:color="auto"/>
        <w:bottom w:val="none" w:sz="0" w:space="0" w:color="auto"/>
        <w:right w:val="none" w:sz="0" w:space="0" w:color="auto"/>
      </w:divBdr>
    </w:div>
    <w:div w:id="1053965183">
      <w:bodyDiv w:val="1"/>
      <w:marLeft w:val="0"/>
      <w:marRight w:val="0"/>
      <w:marTop w:val="0"/>
      <w:marBottom w:val="0"/>
      <w:divBdr>
        <w:top w:val="none" w:sz="0" w:space="0" w:color="auto"/>
        <w:left w:val="none" w:sz="0" w:space="0" w:color="auto"/>
        <w:bottom w:val="none" w:sz="0" w:space="0" w:color="auto"/>
        <w:right w:val="none" w:sz="0" w:space="0" w:color="auto"/>
      </w:divBdr>
    </w:div>
    <w:div w:id="1065298021">
      <w:bodyDiv w:val="1"/>
      <w:marLeft w:val="0"/>
      <w:marRight w:val="0"/>
      <w:marTop w:val="0"/>
      <w:marBottom w:val="0"/>
      <w:divBdr>
        <w:top w:val="none" w:sz="0" w:space="0" w:color="auto"/>
        <w:left w:val="none" w:sz="0" w:space="0" w:color="auto"/>
        <w:bottom w:val="none" w:sz="0" w:space="0" w:color="auto"/>
        <w:right w:val="none" w:sz="0" w:space="0" w:color="auto"/>
      </w:divBdr>
    </w:div>
    <w:div w:id="1067339487">
      <w:bodyDiv w:val="1"/>
      <w:marLeft w:val="0"/>
      <w:marRight w:val="0"/>
      <w:marTop w:val="0"/>
      <w:marBottom w:val="0"/>
      <w:divBdr>
        <w:top w:val="none" w:sz="0" w:space="0" w:color="auto"/>
        <w:left w:val="none" w:sz="0" w:space="0" w:color="auto"/>
        <w:bottom w:val="none" w:sz="0" w:space="0" w:color="auto"/>
        <w:right w:val="none" w:sz="0" w:space="0" w:color="auto"/>
      </w:divBdr>
    </w:div>
    <w:div w:id="1069575685">
      <w:bodyDiv w:val="1"/>
      <w:marLeft w:val="0"/>
      <w:marRight w:val="0"/>
      <w:marTop w:val="0"/>
      <w:marBottom w:val="0"/>
      <w:divBdr>
        <w:top w:val="none" w:sz="0" w:space="0" w:color="auto"/>
        <w:left w:val="none" w:sz="0" w:space="0" w:color="auto"/>
        <w:bottom w:val="none" w:sz="0" w:space="0" w:color="auto"/>
        <w:right w:val="none" w:sz="0" w:space="0" w:color="auto"/>
      </w:divBdr>
    </w:div>
    <w:div w:id="1102725265">
      <w:bodyDiv w:val="1"/>
      <w:marLeft w:val="0"/>
      <w:marRight w:val="0"/>
      <w:marTop w:val="0"/>
      <w:marBottom w:val="0"/>
      <w:divBdr>
        <w:top w:val="none" w:sz="0" w:space="0" w:color="auto"/>
        <w:left w:val="none" w:sz="0" w:space="0" w:color="auto"/>
        <w:bottom w:val="none" w:sz="0" w:space="0" w:color="auto"/>
        <w:right w:val="none" w:sz="0" w:space="0" w:color="auto"/>
      </w:divBdr>
    </w:div>
    <w:div w:id="1104955343">
      <w:bodyDiv w:val="1"/>
      <w:marLeft w:val="0"/>
      <w:marRight w:val="0"/>
      <w:marTop w:val="0"/>
      <w:marBottom w:val="0"/>
      <w:divBdr>
        <w:top w:val="none" w:sz="0" w:space="0" w:color="auto"/>
        <w:left w:val="none" w:sz="0" w:space="0" w:color="auto"/>
        <w:bottom w:val="none" w:sz="0" w:space="0" w:color="auto"/>
        <w:right w:val="none" w:sz="0" w:space="0" w:color="auto"/>
      </w:divBdr>
    </w:div>
    <w:div w:id="1108501197">
      <w:bodyDiv w:val="1"/>
      <w:marLeft w:val="0"/>
      <w:marRight w:val="0"/>
      <w:marTop w:val="0"/>
      <w:marBottom w:val="0"/>
      <w:divBdr>
        <w:top w:val="none" w:sz="0" w:space="0" w:color="auto"/>
        <w:left w:val="none" w:sz="0" w:space="0" w:color="auto"/>
        <w:bottom w:val="none" w:sz="0" w:space="0" w:color="auto"/>
        <w:right w:val="none" w:sz="0" w:space="0" w:color="auto"/>
      </w:divBdr>
    </w:div>
    <w:div w:id="1115366355">
      <w:bodyDiv w:val="1"/>
      <w:marLeft w:val="0"/>
      <w:marRight w:val="0"/>
      <w:marTop w:val="0"/>
      <w:marBottom w:val="0"/>
      <w:divBdr>
        <w:top w:val="none" w:sz="0" w:space="0" w:color="auto"/>
        <w:left w:val="none" w:sz="0" w:space="0" w:color="auto"/>
        <w:bottom w:val="none" w:sz="0" w:space="0" w:color="auto"/>
        <w:right w:val="none" w:sz="0" w:space="0" w:color="auto"/>
      </w:divBdr>
    </w:div>
    <w:div w:id="1125613359">
      <w:bodyDiv w:val="1"/>
      <w:marLeft w:val="0"/>
      <w:marRight w:val="0"/>
      <w:marTop w:val="0"/>
      <w:marBottom w:val="0"/>
      <w:divBdr>
        <w:top w:val="none" w:sz="0" w:space="0" w:color="auto"/>
        <w:left w:val="none" w:sz="0" w:space="0" w:color="auto"/>
        <w:bottom w:val="none" w:sz="0" w:space="0" w:color="auto"/>
        <w:right w:val="none" w:sz="0" w:space="0" w:color="auto"/>
      </w:divBdr>
    </w:div>
    <w:div w:id="1126777920">
      <w:bodyDiv w:val="1"/>
      <w:marLeft w:val="0"/>
      <w:marRight w:val="0"/>
      <w:marTop w:val="0"/>
      <w:marBottom w:val="0"/>
      <w:divBdr>
        <w:top w:val="none" w:sz="0" w:space="0" w:color="auto"/>
        <w:left w:val="none" w:sz="0" w:space="0" w:color="auto"/>
        <w:bottom w:val="none" w:sz="0" w:space="0" w:color="auto"/>
        <w:right w:val="none" w:sz="0" w:space="0" w:color="auto"/>
      </w:divBdr>
    </w:div>
    <w:div w:id="1140541922">
      <w:bodyDiv w:val="1"/>
      <w:marLeft w:val="0"/>
      <w:marRight w:val="0"/>
      <w:marTop w:val="0"/>
      <w:marBottom w:val="0"/>
      <w:divBdr>
        <w:top w:val="none" w:sz="0" w:space="0" w:color="auto"/>
        <w:left w:val="none" w:sz="0" w:space="0" w:color="auto"/>
        <w:bottom w:val="none" w:sz="0" w:space="0" w:color="auto"/>
        <w:right w:val="none" w:sz="0" w:space="0" w:color="auto"/>
      </w:divBdr>
    </w:div>
    <w:div w:id="1180387656">
      <w:bodyDiv w:val="1"/>
      <w:marLeft w:val="0"/>
      <w:marRight w:val="0"/>
      <w:marTop w:val="0"/>
      <w:marBottom w:val="0"/>
      <w:divBdr>
        <w:top w:val="none" w:sz="0" w:space="0" w:color="auto"/>
        <w:left w:val="none" w:sz="0" w:space="0" w:color="auto"/>
        <w:bottom w:val="none" w:sz="0" w:space="0" w:color="auto"/>
        <w:right w:val="none" w:sz="0" w:space="0" w:color="auto"/>
      </w:divBdr>
    </w:div>
    <w:div w:id="1185554661">
      <w:bodyDiv w:val="1"/>
      <w:marLeft w:val="0"/>
      <w:marRight w:val="0"/>
      <w:marTop w:val="0"/>
      <w:marBottom w:val="0"/>
      <w:divBdr>
        <w:top w:val="none" w:sz="0" w:space="0" w:color="auto"/>
        <w:left w:val="none" w:sz="0" w:space="0" w:color="auto"/>
        <w:bottom w:val="none" w:sz="0" w:space="0" w:color="auto"/>
        <w:right w:val="none" w:sz="0" w:space="0" w:color="auto"/>
      </w:divBdr>
    </w:div>
    <w:div w:id="1207527685">
      <w:bodyDiv w:val="1"/>
      <w:marLeft w:val="0"/>
      <w:marRight w:val="0"/>
      <w:marTop w:val="0"/>
      <w:marBottom w:val="0"/>
      <w:divBdr>
        <w:top w:val="none" w:sz="0" w:space="0" w:color="auto"/>
        <w:left w:val="none" w:sz="0" w:space="0" w:color="auto"/>
        <w:bottom w:val="none" w:sz="0" w:space="0" w:color="auto"/>
        <w:right w:val="none" w:sz="0" w:space="0" w:color="auto"/>
      </w:divBdr>
    </w:div>
    <w:div w:id="1226645914">
      <w:bodyDiv w:val="1"/>
      <w:marLeft w:val="0"/>
      <w:marRight w:val="0"/>
      <w:marTop w:val="0"/>
      <w:marBottom w:val="0"/>
      <w:divBdr>
        <w:top w:val="none" w:sz="0" w:space="0" w:color="auto"/>
        <w:left w:val="none" w:sz="0" w:space="0" w:color="auto"/>
        <w:bottom w:val="none" w:sz="0" w:space="0" w:color="auto"/>
        <w:right w:val="none" w:sz="0" w:space="0" w:color="auto"/>
      </w:divBdr>
    </w:div>
    <w:div w:id="1258251593">
      <w:bodyDiv w:val="1"/>
      <w:marLeft w:val="0"/>
      <w:marRight w:val="0"/>
      <w:marTop w:val="0"/>
      <w:marBottom w:val="0"/>
      <w:divBdr>
        <w:top w:val="none" w:sz="0" w:space="0" w:color="auto"/>
        <w:left w:val="none" w:sz="0" w:space="0" w:color="auto"/>
        <w:bottom w:val="none" w:sz="0" w:space="0" w:color="auto"/>
        <w:right w:val="none" w:sz="0" w:space="0" w:color="auto"/>
      </w:divBdr>
    </w:div>
    <w:div w:id="1272007819">
      <w:bodyDiv w:val="1"/>
      <w:marLeft w:val="0"/>
      <w:marRight w:val="0"/>
      <w:marTop w:val="0"/>
      <w:marBottom w:val="0"/>
      <w:divBdr>
        <w:top w:val="none" w:sz="0" w:space="0" w:color="auto"/>
        <w:left w:val="none" w:sz="0" w:space="0" w:color="auto"/>
        <w:bottom w:val="none" w:sz="0" w:space="0" w:color="auto"/>
        <w:right w:val="none" w:sz="0" w:space="0" w:color="auto"/>
      </w:divBdr>
    </w:div>
    <w:div w:id="1287849847">
      <w:bodyDiv w:val="1"/>
      <w:marLeft w:val="0"/>
      <w:marRight w:val="0"/>
      <w:marTop w:val="0"/>
      <w:marBottom w:val="0"/>
      <w:divBdr>
        <w:top w:val="none" w:sz="0" w:space="0" w:color="auto"/>
        <w:left w:val="none" w:sz="0" w:space="0" w:color="auto"/>
        <w:bottom w:val="none" w:sz="0" w:space="0" w:color="auto"/>
        <w:right w:val="none" w:sz="0" w:space="0" w:color="auto"/>
      </w:divBdr>
    </w:div>
    <w:div w:id="1326321238">
      <w:bodyDiv w:val="1"/>
      <w:marLeft w:val="0"/>
      <w:marRight w:val="0"/>
      <w:marTop w:val="0"/>
      <w:marBottom w:val="0"/>
      <w:divBdr>
        <w:top w:val="none" w:sz="0" w:space="0" w:color="auto"/>
        <w:left w:val="none" w:sz="0" w:space="0" w:color="auto"/>
        <w:bottom w:val="none" w:sz="0" w:space="0" w:color="auto"/>
        <w:right w:val="none" w:sz="0" w:space="0" w:color="auto"/>
      </w:divBdr>
    </w:div>
    <w:div w:id="1391264332">
      <w:bodyDiv w:val="1"/>
      <w:marLeft w:val="0"/>
      <w:marRight w:val="0"/>
      <w:marTop w:val="0"/>
      <w:marBottom w:val="0"/>
      <w:divBdr>
        <w:top w:val="none" w:sz="0" w:space="0" w:color="auto"/>
        <w:left w:val="none" w:sz="0" w:space="0" w:color="auto"/>
        <w:bottom w:val="none" w:sz="0" w:space="0" w:color="auto"/>
        <w:right w:val="none" w:sz="0" w:space="0" w:color="auto"/>
      </w:divBdr>
    </w:div>
    <w:div w:id="1400785691">
      <w:bodyDiv w:val="1"/>
      <w:marLeft w:val="0"/>
      <w:marRight w:val="0"/>
      <w:marTop w:val="0"/>
      <w:marBottom w:val="0"/>
      <w:divBdr>
        <w:top w:val="none" w:sz="0" w:space="0" w:color="auto"/>
        <w:left w:val="none" w:sz="0" w:space="0" w:color="auto"/>
        <w:bottom w:val="none" w:sz="0" w:space="0" w:color="auto"/>
        <w:right w:val="none" w:sz="0" w:space="0" w:color="auto"/>
      </w:divBdr>
    </w:div>
    <w:div w:id="1419910123">
      <w:bodyDiv w:val="1"/>
      <w:marLeft w:val="0"/>
      <w:marRight w:val="0"/>
      <w:marTop w:val="0"/>
      <w:marBottom w:val="0"/>
      <w:divBdr>
        <w:top w:val="none" w:sz="0" w:space="0" w:color="auto"/>
        <w:left w:val="none" w:sz="0" w:space="0" w:color="auto"/>
        <w:bottom w:val="none" w:sz="0" w:space="0" w:color="auto"/>
        <w:right w:val="none" w:sz="0" w:space="0" w:color="auto"/>
      </w:divBdr>
    </w:div>
    <w:div w:id="1481192845">
      <w:bodyDiv w:val="1"/>
      <w:marLeft w:val="0"/>
      <w:marRight w:val="0"/>
      <w:marTop w:val="0"/>
      <w:marBottom w:val="0"/>
      <w:divBdr>
        <w:top w:val="none" w:sz="0" w:space="0" w:color="auto"/>
        <w:left w:val="none" w:sz="0" w:space="0" w:color="auto"/>
        <w:bottom w:val="none" w:sz="0" w:space="0" w:color="auto"/>
        <w:right w:val="none" w:sz="0" w:space="0" w:color="auto"/>
      </w:divBdr>
    </w:div>
    <w:div w:id="1568877625">
      <w:bodyDiv w:val="1"/>
      <w:marLeft w:val="0"/>
      <w:marRight w:val="0"/>
      <w:marTop w:val="0"/>
      <w:marBottom w:val="0"/>
      <w:divBdr>
        <w:top w:val="none" w:sz="0" w:space="0" w:color="auto"/>
        <w:left w:val="none" w:sz="0" w:space="0" w:color="auto"/>
        <w:bottom w:val="none" w:sz="0" w:space="0" w:color="auto"/>
        <w:right w:val="none" w:sz="0" w:space="0" w:color="auto"/>
      </w:divBdr>
    </w:div>
    <w:div w:id="1584606915">
      <w:bodyDiv w:val="1"/>
      <w:marLeft w:val="0"/>
      <w:marRight w:val="0"/>
      <w:marTop w:val="0"/>
      <w:marBottom w:val="0"/>
      <w:divBdr>
        <w:top w:val="none" w:sz="0" w:space="0" w:color="auto"/>
        <w:left w:val="none" w:sz="0" w:space="0" w:color="auto"/>
        <w:bottom w:val="none" w:sz="0" w:space="0" w:color="auto"/>
        <w:right w:val="none" w:sz="0" w:space="0" w:color="auto"/>
      </w:divBdr>
    </w:div>
    <w:div w:id="1587420651">
      <w:bodyDiv w:val="1"/>
      <w:marLeft w:val="0"/>
      <w:marRight w:val="0"/>
      <w:marTop w:val="0"/>
      <w:marBottom w:val="0"/>
      <w:divBdr>
        <w:top w:val="none" w:sz="0" w:space="0" w:color="auto"/>
        <w:left w:val="none" w:sz="0" w:space="0" w:color="auto"/>
        <w:bottom w:val="none" w:sz="0" w:space="0" w:color="auto"/>
        <w:right w:val="none" w:sz="0" w:space="0" w:color="auto"/>
      </w:divBdr>
    </w:div>
    <w:div w:id="1595435609">
      <w:bodyDiv w:val="1"/>
      <w:marLeft w:val="0"/>
      <w:marRight w:val="0"/>
      <w:marTop w:val="0"/>
      <w:marBottom w:val="0"/>
      <w:divBdr>
        <w:top w:val="none" w:sz="0" w:space="0" w:color="auto"/>
        <w:left w:val="none" w:sz="0" w:space="0" w:color="auto"/>
        <w:bottom w:val="none" w:sz="0" w:space="0" w:color="auto"/>
        <w:right w:val="none" w:sz="0" w:space="0" w:color="auto"/>
      </w:divBdr>
    </w:div>
    <w:div w:id="1606616076">
      <w:bodyDiv w:val="1"/>
      <w:marLeft w:val="0"/>
      <w:marRight w:val="0"/>
      <w:marTop w:val="0"/>
      <w:marBottom w:val="0"/>
      <w:divBdr>
        <w:top w:val="none" w:sz="0" w:space="0" w:color="auto"/>
        <w:left w:val="none" w:sz="0" w:space="0" w:color="auto"/>
        <w:bottom w:val="none" w:sz="0" w:space="0" w:color="auto"/>
        <w:right w:val="none" w:sz="0" w:space="0" w:color="auto"/>
      </w:divBdr>
    </w:div>
    <w:div w:id="1612472764">
      <w:bodyDiv w:val="1"/>
      <w:marLeft w:val="0"/>
      <w:marRight w:val="0"/>
      <w:marTop w:val="0"/>
      <w:marBottom w:val="0"/>
      <w:divBdr>
        <w:top w:val="none" w:sz="0" w:space="0" w:color="auto"/>
        <w:left w:val="none" w:sz="0" w:space="0" w:color="auto"/>
        <w:bottom w:val="none" w:sz="0" w:space="0" w:color="auto"/>
        <w:right w:val="none" w:sz="0" w:space="0" w:color="auto"/>
      </w:divBdr>
    </w:div>
    <w:div w:id="1624269303">
      <w:bodyDiv w:val="1"/>
      <w:marLeft w:val="0"/>
      <w:marRight w:val="0"/>
      <w:marTop w:val="0"/>
      <w:marBottom w:val="0"/>
      <w:divBdr>
        <w:top w:val="none" w:sz="0" w:space="0" w:color="auto"/>
        <w:left w:val="none" w:sz="0" w:space="0" w:color="auto"/>
        <w:bottom w:val="none" w:sz="0" w:space="0" w:color="auto"/>
        <w:right w:val="none" w:sz="0" w:space="0" w:color="auto"/>
      </w:divBdr>
    </w:div>
    <w:div w:id="1629824204">
      <w:bodyDiv w:val="1"/>
      <w:marLeft w:val="0"/>
      <w:marRight w:val="0"/>
      <w:marTop w:val="0"/>
      <w:marBottom w:val="0"/>
      <w:divBdr>
        <w:top w:val="none" w:sz="0" w:space="0" w:color="auto"/>
        <w:left w:val="none" w:sz="0" w:space="0" w:color="auto"/>
        <w:bottom w:val="none" w:sz="0" w:space="0" w:color="auto"/>
        <w:right w:val="none" w:sz="0" w:space="0" w:color="auto"/>
      </w:divBdr>
    </w:div>
    <w:div w:id="1637298903">
      <w:bodyDiv w:val="1"/>
      <w:marLeft w:val="0"/>
      <w:marRight w:val="0"/>
      <w:marTop w:val="0"/>
      <w:marBottom w:val="0"/>
      <w:divBdr>
        <w:top w:val="none" w:sz="0" w:space="0" w:color="auto"/>
        <w:left w:val="none" w:sz="0" w:space="0" w:color="auto"/>
        <w:bottom w:val="none" w:sz="0" w:space="0" w:color="auto"/>
        <w:right w:val="none" w:sz="0" w:space="0" w:color="auto"/>
      </w:divBdr>
    </w:div>
    <w:div w:id="1673022886">
      <w:bodyDiv w:val="1"/>
      <w:marLeft w:val="0"/>
      <w:marRight w:val="0"/>
      <w:marTop w:val="0"/>
      <w:marBottom w:val="0"/>
      <w:divBdr>
        <w:top w:val="none" w:sz="0" w:space="0" w:color="auto"/>
        <w:left w:val="none" w:sz="0" w:space="0" w:color="auto"/>
        <w:bottom w:val="none" w:sz="0" w:space="0" w:color="auto"/>
        <w:right w:val="none" w:sz="0" w:space="0" w:color="auto"/>
      </w:divBdr>
    </w:div>
    <w:div w:id="1678575114">
      <w:bodyDiv w:val="1"/>
      <w:marLeft w:val="0"/>
      <w:marRight w:val="0"/>
      <w:marTop w:val="0"/>
      <w:marBottom w:val="0"/>
      <w:divBdr>
        <w:top w:val="none" w:sz="0" w:space="0" w:color="auto"/>
        <w:left w:val="none" w:sz="0" w:space="0" w:color="auto"/>
        <w:bottom w:val="none" w:sz="0" w:space="0" w:color="auto"/>
        <w:right w:val="none" w:sz="0" w:space="0" w:color="auto"/>
      </w:divBdr>
    </w:div>
    <w:div w:id="1700007084">
      <w:bodyDiv w:val="1"/>
      <w:marLeft w:val="0"/>
      <w:marRight w:val="0"/>
      <w:marTop w:val="0"/>
      <w:marBottom w:val="0"/>
      <w:divBdr>
        <w:top w:val="none" w:sz="0" w:space="0" w:color="auto"/>
        <w:left w:val="none" w:sz="0" w:space="0" w:color="auto"/>
        <w:bottom w:val="none" w:sz="0" w:space="0" w:color="auto"/>
        <w:right w:val="none" w:sz="0" w:space="0" w:color="auto"/>
      </w:divBdr>
    </w:div>
    <w:div w:id="1716269290">
      <w:bodyDiv w:val="1"/>
      <w:marLeft w:val="0"/>
      <w:marRight w:val="0"/>
      <w:marTop w:val="0"/>
      <w:marBottom w:val="0"/>
      <w:divBdr>
        <w:top w:val="none" w:sz="0" w:space="0" w:color="auto"/>
        <w:left w:val="none" w:sz="0" w:space="0" w:color="auto"/>
        <w:bottom w:val="none" w:sz="0" w:space="0" w:color="auto"/>
        <w:right w:val="none" w:sz="0" w:space="0" w:color="auto"/>
      </w:divBdr>
    </w:div>
    <w:div w:id="1733306358">
      <w:bodyDiv w:val="1"/>
      <w:marLeft w:val="0"/>
      <w:marRight w:val="0"/>
      <w:marTop w:val="0"/>
      <w:marBottom w:val="0"/>
      <w:divBdr>
        <w:top w:val="none" w:sz="0" w:space="0" w:color="auto"/>
        <w:left w:val="none" w:sz="0" w:space="0" w:color="auto"/>
        <w:bottom w:val="none" w:sz="0" w:space="0" w:color="auto"/>
        <w:right w:val="none" w:sz="0" w:space="0" w:color="auto"/>
      </w:divBdr>
    </w:div>
    <w:div w:id="1737819508">
      <w:bodyDiv w:val="1"/>
      <w:marLeft w:val="0"/>
      <w:marRight w:val="0"/>
      <w:marTop w:val="0"/>
      <w:marBottom w:val="0"/>
      <w:divBdr>
        <w:top w:val="none" w:sz="0" w:space="0" w:color="auto"/>
        <w:left w:val="none" w:sz="0" w:space="0" w:color="auto"/>
        <w:bottom w:val="none" w:sz="0" w:space="0" w:color="auto"/>
        <w:right w:val="none" w:sz="0" w:space="0" w:color="auto"/>
      </w:divBdr>
    </w:div>
    <w:div w:id="1762988642">
      <w:bodyDiv w:val="1"/>
      <w:marLeft w:val="0"/>
      <w:marRight w:val="0"/>
      <w:marTop w:val="0"/>
      <w:marBottom w:val="0"/>
      <w:divBdr>
        <w:top w:val="none" w:sz="0" w:space="0" w:color="auto"/>
        <w:left w:val="none" w:sz="0" w:space="0" w:color="auto"/>
        <w:bottom w:val="none" w:sz="0" w:space="0" w:color="auto"/>
        <w:right w:val="none" w:sz="0" w:space="0" w:color="auto"/>
      </w:divBdr>
    </w:div>
    <w:div w:id="1802796804">
      <w:bodyDiv w:val="1"/>
      <w:marLeft w:val="0"/>
      <w:marRight w:val="0"/>
      <w:marTop w:val="0"/>
      <w:marBottom w:val="0"/>
      <w:divBdr>
        <w:top w:val="none" w:sz="0" w:space="0" w:color="auto"/>
        <w:left w:val="none" w:sz="0" w:space="0" w:color="auto"/>
        <w:bottom w:val="none" w:sz="0" w:space="0" w:color="auto"/>
        <w:right w:val="none" w:sz="0" w:space="0" w:color="auto"/>
      </w:divBdr>
    </w:div>
    <w:div w:id="1812555263">
      <w:bodyDiv w:val="1"/>
      <w:marLeft w:val="0"/>
      <w:marRight w:val="0"/>
      <w:marTop w:val="0"/>
      <w:marBottom w:val="0"/>
      <w:divBdr>
        <w:top w:val="none" w:sz="0" w:space="0" w:color="auto"/>
        <w:left w:val="none" w:sz="0" w:space="0" w:color="auto"/>
        <w:bottom w:val="none" w:sz="0" w:space="0" w:color="auto"/>
        <w:right w:val="none" w:sz="0" w:space="0" w:color="auto"/>
      </w:divBdr>
    </w:div>
    <w:div w:id="1835341543">
      <w:bodyDiv w:val="1"/>
      <w:marLeft w:val="0"/>
      <w:marRight w:val="0"/>
      <w:marTop w:val="0"/>
      <w:marBottom w:val="0"/>
      <w:divBdr>
        <w:top w:val="none" w:sz="0" w:space="0" w:color="auto"/>
        <w:left w:val="none" w:sz="0" w:space="0" w:color="auto"/>
        <w:bottom w:val="none" w:sz="0" w:space="0" w:color="auto"/>
        <w:right w:val="none" w:sz="0" w:space="0" w:color="auto"/>
      </w:divBdr>
    </w:div>
    <w:div w:id="1875804107">
      <w:bodyDiv w:val="1"/>
      <w:marLeft w:val="0"/>
      <w:marRight w:val="0"/>
      <w:marTop w:val="0"/>
      <w:marBottom w:val="0"/>
      <w:divBdr>
        <w:top w:val="none" w:sz="0" w:space="0" w:color="auto"/>
        <w:left w:val="none" w:sz="0" w:space="0" w:color="auto"/>
        <w:bottom w:val="none" w:sz="0" w:space="0" w:color="auto"/>
        <w:right w:val="none" w:sz="0" w:space="0" w:color="auto"/>
      </w:divBdr>
    </w:div>
    <w:div w:id="1912227717">
      <w:bodyDiv w:val="1"/>
      <w:marLeft w:val="0"/>
      <w:marRight w:val="0"/>
      <w:marTop w:val="0"/>
      <w:marBottom w:val="0"/>
      <w:divBdr>
        <w:top w:val="none" w:sz="0" w:space="0" w:color="auto"/>
        <w:left w:val="none" w:sz="0" w:space="0" w:color="auto"/>
        <w:bottom w:val="none" w:sz="0" w:space="0" w:color="auto"/>
        <w:right w:val="none" w:sz="0" w:space="0" w:color="auto"/>
      </w:divBdr>
    </w:div>
    <w:div w:id="1918517692">
      <w:bodyDiv w:val="1"/>
      <w:marLeft w:val="0"/>
      <w:marRight w:val="0"/>
      <w:marTop w:val="0"/>
      <w:marBottom w:val="0"/>
      <w:divBdr>
        <w:top w:val="none" w:sz="0" w:space="0" w:color="auto"/>
        <w:left w:val="none" w:sz="0" w:space="0" w:color="auto"/>
        <w:bottom w:val="none" w:sz="0" w:space="0" w:color="auto"/>
        <w:right w:val="none" w:sz="0" w:space="0" w:color="auto"/>
      </w:divBdr>
    </w:div>
    <w:div w:id="1927379929">
      <w:bodyDiv w:val="1"/>
      <w:marLeft w:val="0"/>
      <w:marRight w:val="0"/>
      <w:marTop w:val="0"/>
      <w:marBottom w:val="0"/>
      <w:divBdr>
        <w:top w:val="none" w:sz="0" w:space="0" w:color="auto"/>
        <w:left w:val="none" w:sz="0" w:space="0" w:color="auto"/>
        <w:bottom w:val="none" w:sz="0" w:space="0" w:color="auto"/>
        <w:right w:val="none" w:sz="0" w:space="0" w:color="auto"/>
      </w:divBdr>
    </w:div>
    <w:div w:id="1946768608">
      <w:bodyDiv w:val="1"/>
      <w:marLeft w:val="0"/>
      <w:marRight w:val="0"/>
      <w:marTop w:val="0"/>
      <w:marBottom w:val="0"/>
      <w:divBdr>
        <w:top w:val="none" w:sz="0" w:space="0" w:color="auto"/>
        <w:left w:val="none" w:sz="0" w:space="0" w:color="auto"/>
        <w:bottom w:val="none" w:sz="0" w:space="0" w:color="auto"/>
        <w:right w:val="none" w:sz="0" w:space="0" w:color="auto"/>
      </w:divBdr>
    </w:div>
    <w:div w:id="1951352936">
      <w:bodyDiv w:val="1"/>
      <w:marLeft w:val="0"/>
      <w:marRight w:val="0"/>
      <w:marTop w:val="0"/>
      <w:marBottom w:val="0"/>
      <w:divBdr>
        <w:top w:val="none" w:sz="0" w:space="0" w:color="auto"/>
        <w:left w:val="none" w:sz="0" w:space="0" w:color="auto"/>
        <w:bottom w:val="none" w:sz="0" w:space="0" w:color="auto"/>
        <w:right w:val="none" w:sz="0" w:space="0" w:color="auto"/>
      </w:divBdr>
      <w:divsChild>
        <w:div w:id="1912735901">
          <w:marLeft w:val="0"/>
          <w:marRight w:val="0"/>
          <w:marTop w:val="0"/>
          <w:marBottom w:val="150"/>
          <w:divBdr>
            <w:top w:val="none" w:sz="0" w:space="0" w:color="auto"/>
            <w:left w:val="none" w:sz="0" w:space="0" w:color="auto"/>
            <w:bottom w:val="none" w:sz="0" w:space="0" w:color="auto"/>
            <w:right w:val="none" w:sz="0" w:space="0" w:color="auto"/>
          </w:divBdr>
        </w:div>
      </w:divsChild>
    </w:div>
    <w:div w:id="1984963002">
      <w:bodyDiv w:val="1"/>
      <w:marLeft w:val="0"/>
      <w:marRight w:val="0"/>
      <w:marTop w:val="0"/>
      <w:marBottom w:val="0"/>
      <w:divBdr>
        <w:top w:val="none" w:sz="0" w:space="0" w:color="auto"/>
        <w:left w:val="none" w:sz="0" w:space="0" w:color="auto"/>
        <w:bottom w:val="none" w:sz="0" w:space="0" w:color="auto"/>
        <w:right w:val="none" w:sz="0" w:space="0" w:color="auto"/>
      </w:divBdr>
    </w:div>
    <w:div w:id="1998991933">
      <w:bodyDiv w:val="1"/>
      <w:marLeft w:val="0"/>
      <w:marRight w:val="0"/>
      <w:marTop w:val="0"/>
      <w:marBottom w:val="0"/>
      <w:divBdr>
        <w:top w:val="none" w:sz="0" w:space="0" w:color="auto"/>
        <w:left w:val="none" w:sz="0" w:space="0" w:color="auto"/>
        <w:bottom w:val="none" w:sz="0" w:space="0" w:color="auto"/>
        <w:right w:val="none" w:sz="0" w:space="0" w:color="auto"/>
      </w:divBdr>
    </w:div>
    <w:div w:id="1999264795">
      <w:bodyDiv w:val="1"/>
      <w:marLeft w:val="0"/>
      <w:marRight w:val="0"/>
      <w:marTop w:val="0"/>
      <w:marBottom w:val="0"/>
      <w:divBdr>
        <w:top w:val="none" w:sz="0" w:space="0" w:color="auto"/>
        <w:left w:val="none" w:sz="0" w:space="0" w:color="auto"/>
        <w:bottom w:val="none" w:sz="0" w:space="0" w:color="auto"/>
        <w:right w:val="none" w:sz="0" w:space="0" w:color="auto"/>
      </w:divBdr>
    </w:div>
    <w:div w:id="2014185707">
      <w:bodyDiv w:val="1"/>
      <w:marLeft w:val="0"/>
      <w:marRight w:val="0"/>
      <w:marTop w:val="0"/>
      <w:marBottom w:val="0"/>
      <w:divBdr>
        <w:top w:val="none" w:sz="0" w:space="0" w:color="auto"/>
        <w:left w:val="none" w:sz="0" w:space="0" w:color="auto"/>
        <w:bottom w:val="none" w:sz="0" w:space="0" w:color="auto"/>
        <w:right w:val="none" w:sz="0" w:space="0" w:color="auto"/>
      </w:divBdr>
    </w:div>
    <w:div w:id="2026324416">
      <w:bodyDiv w:val="1"/>
      <w:marLeft w:val="0"/>
      <w:marRight w:val="0"/>
      <w:marTop w:val="0"/>
      <w:marBottom w:val="0"/>
      <w:divBdr>
        <w:top w:val="none" w:sz="0" w:space="0" w:color="auto"/>
        <w:left w:val="none" w:sz="0" w:space="0" w:color="auto"/>
        <w:bottom w:val="none" w:sz="0" w:space="0" w:color="auto"/>
        <w:right w:val="none" w:sz="0" w:space="0" w:color="auto"/>
      </w:divBdr>
    </w:div>
    <w:div w:id="2041011933">
      <w:bodyDiv w:val="1"/>
      <w:marLeft w:val="0"/>
      <w:marRight w:val="0"/>
      <w:marTop w:val="0"/>
      <w:marBottom w:val="0"/>
      <w:divBdr>
        <w:top w:val="none" w:sz="0" w:space="0" w:color="auto"/>
        <w:left w:val="none" w:sz="0" w:space="0" w:color="auto"/>
        <w:bottom w:val="none" w:sz="0" w:space="0" w:color="auto"/>
        <w:right w:val="none" w:sz="0" w:space="0" w:color="auto"/>
      </w:divBdr>
    </w:div>
    <w:div w:id="2072581690">
      <w:bodyDiv w:val="1"/>
      <w:marLeft w:val="0"/>
      <w:marRight w:val="0"/>
      <w:marTop w:val="0"/>
      <w:marBottom w:val="0"/>
      <w:divBdr>
        <w:top w:val="none" w:sz="0" w:space="0" w:color="auto"/>
        <w:left w:val="none" w:sz="0" w:space="0" w:color="auto"/>
        <w:bottom w:val="none" w:sz="0" w:space="0" w:color="auto"/>
        <w:right w:val="none" w:sz="0" w:space="0" w:color="auto"/>
      </w:divBdr>
    </w:div>
    <w:div w:id="2088114844">
      <w:bodyDiv w:val="1"/>
      <w:marLeft w:val="0"/>
      <w:marRight w:val="0"/>
      <w:marTop w:val="0"/>
      <w:marBottom w:val="0"/>
      <w:divBdr>
        <w:top w:val="none" w:sz="0" w:space="0" w:color="auto"/>
        <w:left w:val="none" w:sz="0" w:space="0" w:color="auto"/>
        <w:bottom w:val="none" w:sz="0" w:space="0" w:color="auto"/>
        <w:right w:val="none" w:sz="0" w:space="0" w:color="auto"/>
      </w:divBdr>
    </w:div>
    <w:div w:id="2115703964">
      <w:bodyDiv w:val="1"/>
      <w:marLeft w:val="0"/>
      <w:marRight w:val="0"/>
      <w:marTop w:val="0"/>
      <w:marBottom w:val="0"/>
      <w:divBdr>
        <w:top w:val="none" w:sz="0" w:space="0" w:color="auto"/>
        <w:left w:val="none" w:sz="0" w:space="0" w:color="auto"/>
        <w:bottom w:val="none" w:sz="0" w:space="0" w:color="auto"/>
        <w:right w:val="none" w:sz="0" w:space="0" w:color="auto"/>
      </w:divBdr>
    </w:div>
    <w:div w:id="2119372754">
      <w:bodyDiv w:val="1"/>
      <w:marLeft w:val="0"/>
      <w:marRight w:val="0"/>
      <w:marTop w:val="0"/>
      <w:marBottom w:val="0"/>
      <w:divBdr>
        <w:top w:val="none" w:sz="0" w:space="0" w:color="auto"/>
        <w:left w:val="none" w:sz="0" w:space="0" w:color="auto"/>
        <w:bottom w:val="none" w:sz="0" w:space="0" w:color="auto"/>
        <w:right w:val="none" w:sz="0" w:space="0" w:color="auto"/>
      </w:divBdr>
    </w:div>
    <w:div w:id="213709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4.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chart" Target="charts/chart6.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chart" Target="charts/chart5.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chart" Target="charts/chart7.xml"/><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nrad%20S%20Brimacombe\Dropbox\Growth%20and%20Development%20in%20the%20genus%20Pan%20-%20A%20life%20history%20approach\PhD%20Thesis\Analysis\Bone%20Length%20Analysis\Comparing%20left%20and%20righ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nrad%20S%20Brimacombe\Dropbox\Compiled%20folder%20for%20Growth%20and%20Development%20in%20the%20Genus%20Pan\Bone%20Length%20Analysis\Comparing%20left%20and%20righ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onrad%20S%20Brimacombe\Dropbox\Compiled%20folder%20for%20Growth%20and%20Development%20in%20the%20Genus%20Pan\Bone%20Length%20Analysis\composite%20long%20bone%20length%20compil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onrad%20S%20Brimacombe\Desktop\rebuilding%20charts%20from%20long%20bone%20lengt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onrad%20S%20Brimacombe\Desktop\Bone%20Length%20Analysis\Bone%20Lengths%20Compil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0" i="0" baseline="0">
                <a:latin typeface="Times New Roman" pitchFamily="18" charset="0"/>
              </a:rPr>
              <a:t>Trendline comparing left and right humeral length for all </a:t>
            </a:r>
            <a:r>
              <a:rPr lang="en-GB" sz="1100" b="0" i="1" baseline="0">
                <a:latin typeface="Times New Roman" pitchFamily="18" charset="0"/>
              </a:rPr>
              <a:t>Pan paniscus </a:t>
            </a:r>
            <a:r>
              <a:rPr lang="en-GB" sz="1100" b="0" i="0" baseline="0">
                <a:latin typeface="Times New Roman" pitchFamily="18" charset="0"/>
              </a:rPr>
              <a:t>individuals to a line of perfect isometry</a:t>
            </a:r>
          </a:p>
        </c:rich>
      </c:tx>
      <c:overlay val="0"/>
    </c:title>
    <c:autoTitleDeleted val="0"/>
    <c:plotArea>
      <c:layout>
        <c:manualLayout>
          <c:layoutTarget val="inner"/>
          <c:xMode val="edge"/>
          <c:yMode val="edge"/>
          <c:x val="0.11987565069702781"/>
          <c:y val="0.13767706710760289"/>
          <c:w val="0.78551345144356954"/>
          <c:h val="0.60735284208876872"/>
        </c:manualLayout>
      </c:layout>
      <c:scatterChart>
        <c:scatterStyle val="lineMarker"/>
        <c:varyColors val="0"/>
        <c:ser>
          <c:idx val="0"/>
          <c:order val="0"/>
          <c:tx>
            <c:v>left and right humerii</c:v>
          </c:tx>
          <c:spPr>
            <a:ln w="28575">
              <a:noFill/>
            </a:ln>
          </c:spPr>
          <c:marker>
            <c:symbol val="circle"/>
            <c:size val="2"/>
          </c:marker>
          <c:trendline>
            <c:trendlineType val="linear"/>
            <c:dispRSqr val="0"/>
            <c:dispEq val="0"/>
          </c:trendline>
          <c:xVal>
            <c:numRef>
              <c:f>Sheet1!$M$1:$M$39</c:f>
              <c:numCache>
                <c:formatCode>General</c:formatCode>
                <c:ptCount val="39"/>
                <c:pt idx="0">
                  <c:v>135</c:v>
                </c:pt>
                <c:pt idx="6">
                  <c:v>232</c:v>
                </c:pt>
                <c:pt idx="8">
                  <c:v>189</c:v>
                </c:pt>
                <c:pt idx="9">
                  <c:v>185</c:v>
                </c:pt>
                <c:pt idx="10">
                  <c:v>267</c:v>
                </c:pt>
                <c:pt idx="11">
                  <c:v>225</c:v>
                </c:pt>
                <c:pt idx="13">
                  <c:v>236</c:v>
                </c:pt>
                <c:pt idx="14">
                  <c:v>298</c:v>
                </c:pt>
                <c:pt idx="15">
                  <c:v>282</c:v>
                </c:pt>
                <c:pt idx="16">
                  <c:v>200</c:v>
                </c:pt>
                <c:pt idx="19">
                  <c:v>288</c:v>
                </c:pt>
                <c:pt idx="25">
                  <c:v>190</c:v>
                </c:pt>
                <c:pt idx="26">
                  <c:v>279</c:v>
                </c:pt>
                <c:pt idx="28">
                  <c:v>271</c:v>
                </c:pt>
                <c:pt idx="33">
                  <c:v>275</c:v>
                </c:pt>
                <c:pt idx="36">
                  <c:v>186</c:v>
                </c:pt>
                <c:pt idx="38">
                  <c:v>156</c:v>
                </c:pt>
              </c:numCache>
            </c:numRef>
          </c:xVal>
          <c:yVal>
            <c:numRef>
              <c:f>Sheet1!$N$1:$N$39</c:f>
              <c:numCache>
                <c:formatCode>General</c:formatCode>
                <c:ptCount val="39"/>
                <c:pt idx="0">
                  <c:v>134</c:v>
                </c:pt>
                <c:pt idx="3">
                  <c:v>138</c:v>
                </c:pt>
                <c:pt idx="4">
                  <c:v>184</c:v>
                </c:pt>
                <c:pt idx="6">
                  <c:v>229</c:v>
                </c:pt>
                <c:pt idx="8">
                  <c:v>189</c:v>
                </c:pt>
                <c:pt idx="9">
                  <c:v>186</c:v>
                </c:pt>
                <c:pt idx="10">
                  <c:v>265</c:v>
                </c:pt>
                <c:pt idx="11">
                  <c:v>225</c:v>
                </c:pt>
                <c:pt idx="13">
                  <c:v>232</c:v>
                </c:pt>
                <c:pt idx="14">
                  <c:v>300</c:v>
                </c:pt>
                <c:pt idx="15">
                  <c:v>280</c:v>
                </c:pt>
                <c:pt idx="16">
                  <c:v>199</c:v>
                </c:pt>
                <c:pt idx="18">
                  <c:v>254</c:v>
                </c:pt>
                <c:pt idx="19">
                  <c:v>288</c:v>
                </c:pt>
                <c:pt idx="23">
                  <c:v>151</c:v>
                </c:pt>
                <c:pt idx="25">
                  <c:v>188</c:v>
                </c:pt>
                <c:pt idx="26">
                  <c:v>280</c:v>
                </c:pt>
                <c:pt idx="28">
                  <c:v>272</c:v>
                </c:pt>
                <c:pt idx="30">
                  <c:v>255</c:v>
                </c:pt>
                <c:pt idx="31">
                  <c:v>272</c:v>
                </c:pt>
                <c:pt idx="34">
                  <c:v>225</c:v>
                </c:pt>
                <c:pt idx="36">
                  <c:v>186</c:v>
                </c:pt>
                <c:pt idx="38">
                  <c:v>155</c:v>
                </c:pt>
              </c:numCache>
            </c:numRef>
          </c:yVal>
          <c:smooth val="0"/>
        </c:ser>
        <c:ser>
          <c:idx val="1"/>
          <c:order val="1"/>
          <c:tx>
            <c:v>line of perfect isometry</c:v>
          </c:tx>
          <c:spPr>
            <a:ln w="28575">
              <a:noFill/>
            </a:ln>
          </c:spPr>
          <c:marker>
            <c:symbol val="none"/>
          </c:marker>
          <c:trendline>
            <c:spPr>
              <a:ln>
                <a:solidFill>
                  <a:srgbClr val="FF0000"/>
                </a:solidFill>
              </a:ln>
            </c:spPr>
            <c:trendlineType val="linear"/>
            <c:dispRSqr val="0"/>
            <c:dispEq val="0"/>
          </c:trendline>
          <c:xVal>
            <c:numRef>
              <c:f>Sheet1!$Q$120:$Q$305</c:f>
              <c:numCache>
                <c:formatCode>General</c:formatCode>
                <c:ptCount val="186"/>
                <c:pt idx="0">
                  <c:v>120</c:v>
                </c:pt>
                <c:pt idx="1">
                  <c:v>121</c:v>
                </c:pt>
                <c:pt idx="2">
                  <c:v>122</c:v>
                </c:pt>
                <c:pt idx="3">
                  <c:v>123</c:v>
                </c:pt>
                <c:pt idx="4">
                  <c:v>124</c:v>
                </c:pt>
                <c:pt idx="5">
                  <c:v>125</c:v>
                </c:pt>
                <c:pt idx="6">
                  <c:v>126</c:v>
                </c:pt>
                <c:pt idx="7">
                  <c:v>127</c:v>
                </c:pt>
                <c:pt idx="8">
                  <c:v>128</c:v>
                </c:pt>
                <c:pt idx="9">
                  <c:v>129</c:v>
                </c:pt>
                <c:pt idx="10">
                  <c:v>130</c:v>
                </c:pt>
                <c:pt idx="11">
                  <c:v>131</c:v>
                </c:pt>
                <c:pt idx="12">
                  <c:v>132</c:v>
                </c:pt>
                <c:pt idx="13">
                  <c:v>133</c:v>
                </c:pt>
                <c:pt idx="14">
                  <c:v>134</c:v>
                </c:pt>
                <c:pt idx="15">
                  <c:v>135</c:v>
                </c:pt>
                <c:pt idx="16">
                  <c:v>136</c:v>
                </c:pt>
                <c:pt idx="17">
                  <c:v>137</c:v>
                </c:pt>
                <c:pt idx="18">
                  <c:v>138</c:v>
                </c:pt>
                <c:pt idx="19">
                  <c:v>139</c:v>
                </c:pt>
                <c:pt idx="20">
                  <c:v>140</c:v>
                </c:pt>
                <c:pt idx="21">
                  <c:v>141</c:v>
                </c:pt>
                <c:pt idx="22">
                  <c:v>142</c:v>
                </c:pt>
                <c:pt idx="23">
                  <c:v>143</c:v>
                </c:pt>
                <c:pt idx="24">
                  <c:v>144</c:v>
                </c:pt>
                <c:pt idx="25">
                  <c:v>145</c:v>
                </c:pt>
                <c:pt idx="26">
                  <c:v>146</c:v>
                </c:pt>
                <c:pt idx="27">
                  <c:v>147</c:v>
                </c:pt>
                <c:pt idx="28">
                  <c:v>148</c:v>
                </c:pt>
                <c:pt idx="29">
                  <c:v>149</c:v>
                </c:pt>
                <c:pt idx="30">
                  <c:v>150</c:v>
                </c:pt>
                <c:pt idx="31">
                  <c:v>151</c:v>
                </c:pt>
                <c:pt idx="32">
                  <c:v>152</c:v>
                </c:pt>
                <c:pt idx="33">
                  <c:v>153</c:v>
                </c:pt>
                <c:pt idx="34">
                  <c:v>154</c:v>
                </c:pt>
                <c:pt idx="35">
                  <c:v>155</c:v>
                </c:pt>
                <c:pt idx="36">
                  <c:v>156</c:v>
                </c:pt>
                <c:pt idx="37">
                  <c:v>157</c:v>
                </c:pt>
                <c:pt idx="38">
                  <c:v>158</c:v>
                </c:pt>
                <c:pt idx="39">
                  <c:v>159</c:v>
                </c:pt>
                <c:pt idx="40">
                  <c:v>160</c:v>
                </c:pt>
                <c:pt idx="41">
                  <c:v>161</c:v>
                </c:pt>
                <c:pt idx="42">
                  <c:v>162</c:v>
                </c:pt>
                <c:pt idx="43">
                  <c:v>163</c:v>
                </c:pt>
                <c:pt idx="44">
                  <c:v>164</c:v>
                </c:pt>
                <c:pt idx="45">
                  <c:v>165</c:v>
                </c:pt>
                <c:pt idx="46">
                  <c:v>166</c:v>
                </c:pt>
                <c:pt idx="47">
                  <c:v>167</c:v>
                </c:pt>
                <c:pt idx="48">
                  <c:v>168</c:v>
                </c:pt>
                <c:pt idx="49">
                  <c:v>169</c:v>
                </c:pt>
                <c:pt idx="50">
                  <c:v>170</c:v>
                </c:pt>
                <c:pt idx="51">
                  <c:v>171</c:v>
                </c:pt>
                <c:pt idx="52">
                  <c:v>172</c:v>
                </c:pt>
                <c:pt idx="53">
                  <c:v>173</c:v>
                </c:pt>
                <c:pt idx="54">
                  <c:v>174</c:v>
                </c:pt>
                <c:pt idx="55">
                  <c:v>175</c:v>
                </c:pt>
                <c:pt idx="56">
                  <c:v>176</c:v>
                </c:pt>
                <c:pt idx="57">
                  <c:v>177</c:v>
                </c:pt>
                <c:pt idx="58">
                  <c:v>178</c:v>
                </c:pt>
                <c:pt idx="59">
                  <c:v>179</c:v>
                </c:pt>
                <c:pt idx="60">
                  <c:v>180</c:v>
                </c:pt>
                <c:pt idx="61">
                  <c:v>181</c:v>
                </c:pt>
                <c:pt idx="62">
                  <c:v>182</c:v>
                </c:pt>
                <c:pt idx="63">
                  <c:v>183</c:v>
                </c:pt>
                <c:pt idx="64">
                  <c:v>184</c:v>
                </c:pt>
                <c:pt idx="65">
                  <c:v>185</c:v>
                </c:pt>
                <c:pt idx="66">
                  <c:v>186</c:v>
                </c:pt>
                <c:pt idx="67">
                  <c:v>187</c:v>
                </c:pt>
                <c:pt idx="68">
                  <c:v>188</c:v>
                </c:pt>
                <c:pt idx="69">
                  <c:v>189</c:v>
                </c:pt>
                <c:pt idx="70">
                  <c:v>190</c:v>
                </c:pt>
                <c:pt idx="71">
                  <c:v>191</c:v>
                </c:pt>
                <c:pt idx="72">
                  <c:v>192</c:v>
                </c:pt>
                <c:pt idx="73">
                  <c:v>193</c:v>
                </c:pt>
                <c:pt idx="74">
                  <c:v>194</c:v>
                </c:pt>
                <c:pt idx="75">
                  <c:v>195</c:v>
                </c:pt>
                <c:pt idx="76">
                  <c:v>196</c:v>
                </c:pt>
                <c:pt idx="77">
                  <c:v>197</c:v>
                </c:pt>
                <c:pt idx="78">
                  <c:v>198</c:v>
                </c:pt>
                <c:pt idx="79">
                  <c:v>199</c:v>
                </c:pt>
                <c:pt idx="80">
                  <c:v>200</c:v>
                </c:pt>
                <c:pt idx="81">
                  <c:v>201</c:v>
                </c:pt>
                <c:pt idx="82">
                  <c:v>202</c:v>
                </c:pt>
                <c:pt idx="83">
                  <c:v>203</c:v>
                </c:pt>
                <c:pt idx="84">
                  <c:v>204</c:v>
                </c:pt>
                <c:pt idx="85">
                  <c:v>205</c:v>
                </c:pt>
                <c:pt idx="86">
                  <c:v>206</c:v>
                </c:pt>
                <c:pt idx="87">
                  <c:v>207</c:v>
                </c:pt>
                <c:pt idx="88">
                  <c:v>208</c:v>
                </c:pt>
                <c:pt idx="89">
                  <c:v>209</c:v>
                </c:pt>
                <c:pt idx="90">
                  <c:v>210</c:v>
                </c:pt>
                <c:pt idx="91">
                  <c:v>211</c:v>
                </c:pt>
                <c:pt idx="92">
                  <c:v>212</c:v>
                </c:pt>
                <c:pt idx="93">
                  <c:v>213</c:v>
                </c:pt>
                <c:pt idx="94">
                  <c:v>214</c:v>
                </c:pt>
                <c:pt idx="95">
                  <c:v>215</c:v>
                </c:pt>
                <c:pt idx="96">
                  <c:v>216</c:v>
                </c:pt>
                <c:pt idx="97">
                  <c:v>217</c:v>
                </c:pt>
                <c:pt idx="98">
                  <c:v>218</c:v>
                </c:pt>
                <c:pt idx="99">
                  <c:v>219</c:v>
                </c:pt>
                <c:pt idx="100">
                  <c:v>220</c:v>
                </c:pt>
                <c:pt idx="101">
                  <c:v>221</c:v>
                </c:pt>
                <c:pt idx="102">
                  <c:v>222</c:v>
                </c:pt>
                <c:pt idx="103">
                  <c:v>223</c:v>
                </c:pt>
                <c:pt idx="104">
                  <c:v>224</c:v>
                </c:pt>
                <c:pt idx="105">
                  <c:v>225</c:v>
                </c:pt>
                <c:pt idx="106">
                  <c:v>226</c:v>
                </c:pt>
                <c:pt idx="107">
                  <c:v>227</c:v>
                </c:pt>
                <c:pt idx="108">
                  <c:v>228</c:v>
                </c:pt>
                <c:pt idx="109">
                  <c:v>229</c:v>
                </c:pt>
                <c:pt idx="110">
                  <c:v>230</c:v>
                </c:pt>
                <c:pt idx="111">
                  <c:v>231</c:v>
                </c:pt>
                <c:pt idx="112">
                  <c:v>232</c:v>
                </c:pt>
                <c:pt idx="113">
                  <c:v>233</c:v>
                </c:pt>
                <c:pt idx="114">
                  <c:v>234</c:v>
                </c:pt>
                <c:pt idx="115">
                  <c:v>235</c:v>
                </c:pt>
                <c:pt idx="116">
                  <c:v>236</c:v>
                </c:pt>
                <c:pt idx="117">
                  <c:v>237</c:v>
                </c:pt>
                <c:pt idx="118">
                  <c:v>238</c:v>
                </c:pt>
                <c:pt idx="119">
                  <c:v>239</c:v>
                </c:pt>
                <c:pt idx="120">
                  <c:v>240</c:v>
                </c:pt>
                <c:pt idx="121">
                  <c:v>241</c:v>
                </c:pt>
                <c:pt idx="122">
                  <c:v>242</c:v>
                </c:pt>
                <c:pt idx="123">
                  <c:v>243</c:v>
                </c:pt>
                <c:pt idx="124">
                  <c:v>244</c:v>
                </c:pt>
                <c:pt idx="125">
                  <c:v>245</c:v>
                </c:pt>
                <c:pt idx="126">
                  <c:v>246</c:v>
                </c:pt>
                <c:pt idx="127">
                  <c:v>247</c:v>
                </c:pt>
                <c:pt idx="128">
                  <c:v>248</c:v>
                </c:pt>
                <c:pt idx="129">
                  <c:v>249</c:v>
                </c:pt>
                <c:pt idx="130">
                  <c:v>250</c:v>
                </c:pt>
                <c:pt idx="131">
                  <c:v>251</c:v>
                </c:pt>
                <c:pt idx="132">
                  <c:v>252</c:v>
                </c:pt>
                <c:pt idx="133">
                  <c:v>253</c:v>
                </c:pt>
                <c:pt idx="134">
                  <c:v>254</c:v>
                </c:pt>
                <c:pt idx="135">
                  <c:v>255</c:v>
                </c:pt>
                <c:pt idx="136">
                  <c:v>256</c:v>
                </c:pt>
                <c:pt idx="137">
                  <c:v>257</c:v>
                </c:pt>
                <c:pt idx="138">
                  <c:v>258</c:v>
                </c:pt>
                <c:pt idx="139">
                  <c:v>259</c:v>
                </c:pt>
                <c:pt idx="140">
                  <c:v>260</c:v>
                </c:pt>
                <c:pt idx="141">
                  <c:v>261</c:v>
                </c:pt>
                <c:pt idx="142">
                  <c:v>262</c:v>
                </c:pt>
                <c:pt idx="143">
                  <c:v>263</c:v>
                </c:pt>
                <c:pt idx="144">
                  <c:v>264</c:v>
                </c:pt>
                <c:pt idx="145">
                  <c:v>265</c:v>
                </c:pt>
                <c:pt idx="146">
                  <c:v>266</c:v>
                </c:pt>
                <c:pt idx="147">
                  <c:v>267</c:v>
                </c:pt>
                <c:pt idx="148">
                  <c:v>268</c:v>
                </c:pt>
                <c:pt idx="149">
                  <c:v>269</c:v>
                </c:pt>
                <c:pt idx="150">
                  <c:v>270</c:v>
                </c:pt>
                <c:pt idx="151">
                  <c:v>271</c:v>
                </c:pt>
                <c:pt idx="152">
                  <c:v>272</c:v>
                </c:pt>
                <c:pt idx="153">
                  <c:v>273</c:v>
                </c:pt>
                <c:pt idx="154">
                  <c:v>274</c:v>
                </c:pt>
                <c:pt idx="155">
                  <c:v>275</c:v>
                </c:pt>
                <c:pt idx="156">
                  <c:v>276</c:v>
                </c:pt>
                <c:pt idx="157">
                  <c:v>277</c:v>
                </c:pt>
                <c:pt idx="158">
                  <c:v>278</c:v>
                </c:pt>
                <c:pt idx="159">
                  <c:v>279</c:v>
                </c:pt>
                <c:pt idx="160">
                  <c:v>280</c:v>
                </c:pt>
                <c:pt idx="161">
                  <c:v>281</c:v>
                </c:pt>
                <c:pt idx="162">
                  <c:v>282</c:v>
                </c:pt>
                <c:pt idx="163">
                  <c:v>283</c:v>
                </c:pt>
                <c:pt idx="164">
                  <c:v>284</c:v>
                </c:pt>
                <c:pt idx="165">
                  <c:v>285</c:v>
                </c:pt>
                <c:pt idx="166">
                  <c:v>286</c:v>
                </c:pt>
                <c:pt idx="167">
                  <c:v>287</c:v>
                </c:pt>
                <c:pt idx="168">
                  <c:v>288</c:v>
                </c:pt>
                <c:pt idx="169">
                  <c:v>289</c:v>
                </c:pt>
                <c:pt idx="170">
                  <c:v>290</c:v>
                </c:pt>
                <c:pt idx="171">
                  <c:v>291</c:v>
                </c:pt>
                <c:pt idx="172">
                  <c:v>292</c:v>
                </c:pt>
                <c:pt idx="173">
                  <c:v>293</c:v>
                </c:pt>
                <c:pt idx="174">
                  <c:v>294</c:v>
                </c:pt>
                <c:pt idx="175">
                  <c:v>295</c:v>
                </c:pt>
                <c:pt idx="176">
                  <c:v>296</c:v>
                </c:pt>
                <c:pt idx="177">
                  <c:v>297</c:v>
                </c:pt>
                <c:pt idx="178">
                  <c:v>298</c:v>
                </c:pt>
                <c:pt idx="179">
                  <c:v>299</c:v>
                </c:pt>
                <c:pt idx="180">
                  <c:v>300</c:v>
                </c:pt>
                <c:pt idx="181">
                  <c:v>301</c:v>
                </c:pt>
                <c:pt idx="182">
                  <c:v>302</c:v>
                </c:pt>
                <c:pt idx="183">
                  <c:v>303</c:v>
                </c:pt>
                <c:pt idx="184">
                  <c:v>304</c:v>
                </c:pt>
                <c:pt idx="185">
                  <c:v>305</c:v>
                </c:pt>
              </c:numCache>
            </c:numRef>
          </c:xVal>
          <c:yVal>
            <c:numRef>
              <c:f>Sheet1!$R$120:$R$305</c:f>
              <c:numCache>
                <c:formatCode>General</c:formatCode>
                <c:ptCount val="186"/>
                <c:pt idx="0">
                  <c:v>120</c:v>
                </c:pt>
                <c:pt idx="1">
                  <c:v>121</c:v>
                </c:pt>
                <c:pt idx="2">
                  <c:v>122</c:v>
                </c:pt>
                <c:pt idx="3">
                  <c:v>123</c:v>
                </c:pt>
                <c:pt idx="4">
                  <c:v>124</c:v>
                </c:pt>
                <c:pt idx="5">
                  <c:v>125</c:v>
                </c:pt>
                <c:pt idx="6">
                  <c:v>126</c:v>
                </c:pt>
                <c:pt idx="7">
                  <c:v>127</c:v>
                </c:pt>
                <c:pt idx="8">
                  <c:v>128</c:v>
                </c:pt>
                <c:pt idx="9">
                  <c:v>129</c:v>
                </c:pt>
                <c:pt idx="10">
                  <c:v>130</c:v>
                </c:pt>
                <c:pt idx="11">
                  <c:v>131</c:v>
                </c:pt>
                <c:pt idx="12">
                  <c:v>132</c:v>
                </c:pt>
                <c:pt idx="13">
                  <c:v>133</c:v>
                </c:pt>
                <c:pt idx="14">
                  <c:v>134</c:v>
                </c:pt>
                <c:pt idx="15">
                  <c:v>135</c:v>
                </c:pt>
                <c:pt idx="16">
                  <c:v>136</c:v>
                </c:pt>
                <c:pt idx="17">
                  <c:v>137</c:v>
                </c:pt>
                <c:pt idx="18">
                  <c:v>138</c:v>
                </c:pt>
                <c:pt idx="19">
                  <c:v>139</c:v>
                </c:pt>
                <c:pt idx="20">
                  <c:v>140</c:v>
                </c:pt>
                <c:pt idx="21">
                  <c:v>141</c:v>
                </c:pt>
                <c:pt idx="22">
                  <c:v>142</c:v>
                </c:pt>
                <c:pt idx="23">
                  <c:v>143</c:v>
                </c:pt>
                <c:pt idx="24">
                  <c:v>144</c:v>
                </c:pt>
                <c:pt idx="25">
                  <c:v>145</c:v>
                </c:pt>
                <c:pt idx="26">
                  <c:v>146</c:v>
                </c:pt>
                <c:pt idx="27">
                  <c:v>147</c:v>
                </c:pt>
                <c:pt idx="28">
                  <c:v>148</c:v>
                </c:pt>
                <c:pt idx="29">
                  <c:v>149</c:v>
                </c:pt>
                <c:pt idx="30">
                  <c:v>150</c:v>
                </c:pt>
                <c:pt idx="31">
                  <c:v>151</c:v>
                </c:pt>
                <c:pt idx="32">
                  <c:v>152</c:v>
                </c:pt>
                <c:pt idx="33">
                  <c:v>153</c:v>
                </c:pt>
                <c:pt idx="34">
                  <c:v>154</c:v>
                </c:pt>
                <c:pt idx="35">
                  <c:v>155</c:v>
                </c:pt>
                <c:pt idx="36">
                  <c:v>156</c:v>
                </c:pt>
                <c:pt idx="37">
                  <c:v>157</c:v>
                </c:pt>
                <c:pt idx="38">
                  <c:v>158</c:v>
                </c:pt>
                <c:pt idx="39">
                  <c:v>159</c:v>
                </c:pt>
                <c:pt idx="40">
                  <c:v>160</c:v>
                </c:pt>
                <c:pt idx="41">
                  <c:v>161</c:v>
                </c:pt>
                <c:pt idx="42">
                  <c:v>162</c:v>
                </c:pt>
                <c:pt idx="43">
                  <c:v>163</c:v>
                </c:pt>
                <c:pt idx="44">
                  <c:v>164</c:v>
                </c:pt>
                <c:pt idx="45">
                  <c:v>165</c:v>
                </c:pt>
                <c:pt idx="46">
                  <c:v>166</c:v>
                </c:pt>
                <c:pt idx="47">
                  <c:v>167</c:v>
                </c:pt>
                <c:pt idx="48">
                  <c:v>168</c:v>
                </c:pt>
                <c:pt idx="49">
                  <c:v>169</c:v>
                </c:pt>
                <c:pt idx="50">
                  <c:v>170</c:v>
                </c:pt>
                <c:pt idx="51">
                  <c:v>171</c:v>
                </c:pt>
                <c:pt idx="52">
                  <c:v>172</c:v>
                </c:pt>
                <c:pt idx="53">
                  <c:v>173</c:v>
                </c:pt>
                <c:pt idx="54">
                  <c:v>174</c:v>
                </c:pt>
                <c:pt idx="55">
                  <c:v>175</c:v>
                </c:pt>
                <c:pt idx="56">
                  <c:v>176</c:v>
                </c:pt>
                <c:pt idx="57">
                  <c:v>177</c:v>
                </c:pt>
                <c:pt idx="58">
                  <c:v>178</c:v>
                </c:pt>
                <c:pt idx="59">
                  <c:v>179</c:v>
                </c:pt>
                <c:pt idx="60">
                  <c:v>180</c:v>
                </c:pt>
                <c:pt idx="61">
                  <c:v>181</c:v>
                </c:pt>
                <c:pt idx="62">
                  <c:v>182</c:v>
                </c:pt>
                <c:pt idx="63">
                  <c:v>183</c:v>
                </c:pt>
                <c:pt idx="64">
                  <c:v>184</c:v>
                </c:pt>
                <c:pt idx="65">
                  <c:v>185</c:v>
                </c:pt>
                <c:pt idx="66">
                  <c:v>186</c:v>
                </c:pt>
                <c:pt idx="67">
                  <c:v>187</c:v>
                </c:pt>
                <c:pt idx="68">
                  <c:v>188</c:v>
                </c:pt>
                <c:pt idx="69">
                  <c:v>189</c:v>
                </c:pt>
                <c:pt idx="70">
                  <c:v>190</c:v>
                </c:pt>
                <c:pt idx="71">
                  <c:v>191</c:v>
                </c:pt>
                <c:pt idx="72">
                  <c:v>192</c:v>
                </c:pt>
                <c:pt idx="73">
                  <c:v>193</c:v>
                </c:pt>
                <c:pt idx="74">
                  <c:v>194</c:v>
                </c:pt>
                <c:pt idx="75">
                  <c:v>195</c:v>
                </c:pt>
                <c:pt idx="76">
                  <c:v>196</c:v>
                </c:pt>
                <c:pt idx="77">
                  <c:v>197</c:v>
                </c:pt>
                <c:pt idx="78">
                  <c:v>198</c:v>
                </c:pt>
                <c:pt idx="79">
                  <c:v>199</c:v>
                </c:pt>
                <c:pt idx="80">
                  <c:v>200</c:v>
                </c:pt>
                <c:pt idx="81">
                  <c:v>201</c:v>
                </c:pt>
                <c:pt idx="82">
                  <c:v>202</c:v>
                </c:pt>
                <c:pt idx="83">
                  <c:v>203</c:v>
                </c:pt>
                <c:pt idx="84">
                  <c:v>204</c:v>
                </c:pt>
                <c:pt idx="85">
                  <c:v>205</c:v>
                </c:pt>
                <c:pt idx="86">
                  <c:v>206</c:v>
                </c:pt>
                <c:pt idx="87">
                  <c:v>207</c:v>
                </c:pt>
                <c:pt idx="88">
                  <c:v>208</c:v>
                </c:pt>
                <c:pt idx="89">
                  <c:v>209</c:v>
                </c:pt>
                <c:pt idx="90">
                  <c:v>210</c:v>
                </c:pt>
                <c:pt idx="91">
                  <c:v>211</c:v>
                </c:pt>
                <c:pt idx="92">
                  <c:v>212</c:v>
                </c:pt>
                <c:pt idx="93">
                  <c:v>213</c:v>
                </c:pt>
                <c:pt idx="94">
                  <c:v>214</c:v>
                </c:pt>
                <c:pt idx="95">
                  <c:v>215</c:v>
                </c:pt>
                <c:pt idx="96">
                  <c:v>216</c:v>
                </c:pt>
                <c:pt idx="97">
                  <c:v>217</c:v>
                </c:pt>
                <c:pt idx="98">
                  <c:v>218</c:v>
                </c:pt>
                <c:pt idx="99">
                  <c:v>219</c:v>
                </c:pt>
                <c:pt idx="100">
                  <c:v>220</c:v>
                </c:pt>
                <c:pt idx="101">
                  <c:v>221</c:v>
                </c:pt>
                <c:pt idx="102">
                  <c:v>222</c:v>
                </c:pt>
                <c:pt idx="103">
                  <c:v>223</c:v>
                </c:pt>
                <c:pt idx="104">
                  <c:v>224</c:v>
                </c:pt>
                <c:pt idx="105">
                  <c:v>225</c:v>
                </c:pt>
                <c:pt idx="106">
                  <c:v>226</c:v>
                </c:pt>
                <c:pt idx="107">
                  <c:v>227</c:v>
                </c:pt>
                <c:pt idx="108">
                  <c:v>228</c:v>
                </c:pt>
                <c:pt idx="109">
                  <c:v>229</c:v>
                </c:pt>
                <c:pt idx="110">
                  <c:v>230</c:v>
                </c:pt>
                <c:pt idx="111">
                  <c:v>231</c:v>
                </c:pt>
                <c:pt idx="112">
                  <c:v>232</c:v>
                </c:pt>
                <c:pt idx="113">
                  <c:v>233</c:v>
                </c:pt>
                <c:pt idx="114">
                  <c:v>234</c:v>
                </c:pt>
                <c:pt idx="115">
                  <c:v>235</c:v>
                </c:pt>
                <c:pt idx="116">
                  <c:v>236</c:v>
                </c:pt>
                <c:pt idx="117">
                  <c:v>237</c:v>
                </c:pt>
                <c:pt idx="118">
                  <c:v>238</c:v>
                </c:pt>
                <c:pt idx="119">
                  <c:v>239</c:v>
                </c:pt>
                <c:pt idx="120">
                  <c:v>240</c:v>
                </c:pt>
                <c:pt idx="121">
                  <c:v>241</c:v>
                </c:pt>
                <c:pt idx="122">
                  <c:v>242</c:v>
                </c:pt>
                <c:pt idx="123">
                  <c:v>243</c:v>
                </c:pt>
                <c:pt idx="124">
                  <c:v>244</c:v>
                </c:pt>
                <c:pt idx="125">
                  <c:v>245</c:v>
                </c:pt>
                <c:pt idx="126">
                  <c:v>246</c:v>
                </c:pt>
                <c:pt idx="127">
                  <c:v>247</c:v>
                </c:pt>
                <c:pt idx="128">
                  <c:v>248</c:v>
                </c:pt>
                <c:pt idx="129">
                  <c:v>249</c:v>
                </c:pt>
                <c:pt idx="130">
                  <c:v>250</c:v>
                </c:pt>
                <c:pt idx="131">
                  <c:v>251</c:v>
                </c:pt>
                <c:pt idx="132">
                  <c:v>252</c:v>
                </c:pt>
                <c:pt idx="133">
                  <c:v>253</c:v>
                </c:pt>
                <c:pt idx="134">
                  <c:v>254</c:v>
                </c:pt>
                <c:pt idx="135">
                  <c:v>255</c:v>
                </c:pt>
                <c:pt idx="136">
                  <c:v>256</c:v>
                </c:pt>
                <c:pt idx="137">
                  <c:v>257</c:v>
                </c:pt>
                <c:pt idx="138">
                  <c:v>258</c:v>
                </c:pt>
                <c:pt idx="139">
                  <c:v>259</c:v>
                </c:pt>
                <c:pt idx="140">
                  <c:v>260</c:v>
                </c:pt>
                <c:pt idx="141">
                  <c:v>261</c:v>
                </c:pt>
                <c:pt idx="142">
                  <c:v>262</c:v>
                </c:pt>
                <c:pt idx="143">
                  <c:v>263</c:v>
                </c:pt>
                <c:pt idx="144">
                  <c:v>264</c:v>
                </c:pt>
                <c:pt idx="145">
                  <c:v>265</c:v>
                </c:pt>
                <c:pt idx="146">
                  <c:v>266</c:v>
                </c:pt>
                <c:pt idx="147">
                  <c:v>267</c:v>
                </c:pt>
                <c:pt idx="148">
                  <c:v>268</c:v>
                </c:pt>
                <c:pt idx="149">
                  <c:v>269</c:v>
                </c:pt>
                <c:pt idx="150">
                  <c:v>270</c:v>
                </c:pt>
                <c:pt idx="151">
                  <c:v>271</c:v>
                </c:pt>
                <c:pt idx="152">
                  <c:v>272</c:v>
                </c:pt>
                <c:pt idx="153">
                  <c:v>273</c:v>
                </c:pt>
                <c:pt idx="154">
                  <c:v>274</c:v>
                </c:pt>
                <c:pt idx="155">
                  <c:v>275</c:v>
                </c:pt>
                <c:pt idx="156">
                  <c:v>276</c:v>
                </c:pt>
                <c:pt idx="157">
                  <c:v>277</c:v>
                </c:pt>
                <c:pt idx="158">
                  <c:v>278</c:v>
                </c:pt>
                <c:pt idx="159">
                  <c:v>279</c:v>
                </c:pt>
                <c:pt idx="160">
                  <c:v>280</c:v>
                </c:pt>
                <c:pt idx="161">
                  <c:v>281</c:v>
                </c:pt>
                <c:pt idx="162">
                  <c:v>282</c:v>
                </c:pt>
                <c:pt idx="163">
                  <c:v>283</c:v>
                </c:pt>
                <c:pt idx="164">
                  <c:v>284</c:v>
                </c:pt>
                <c:pt idx="165">
                  <c:v>285</c:v>
                </c:pt>
                <c:pt idx="166">
                  <c:v>286</c:v>
                </c:pt>
                <c:pt idx="167">
                  <c:v>287</c:v>
                </c:pt>
                <c:pt idx="168">
                  <c:v>288</c:v>
                </c:pt>
                <c:pt idx="169">
                  <c:v>289</c:v>
                </c:pt>
                <c:pt idx="170">
                  <c:v>290</c:v>
                </c:pt>
                <c:pt idx="171">
                  <c:v>291</c:v>
                </c:pt>
                <c:pt idx="172">
                  <c:v>292</c:v>
                </c:pt>
                <c:pt idx="173">
                  <c:v>293</c:v>
                </c:pt>
                <c:pt idx="174">
                  <c:v>294</c:v>
                </c:pt>
                <c:pt idx="175">
                  <c:v>295</c:v>
                </c:pt>
                <c:pt idx="176">
                  <c:v>296</c:v>
                </c:pt>
                <c:pt idx="177">
                  <c:v>297</c:v>
                </c:pt>
                <c:pt idx="178">
                  <c:v>298</c:v>
                </c:pt>
                <c:pt idx="179">
                  <c:v>299</c:v>
                </c:pt>
                <c:pt idx="180">
                  <c:v>300</c:v>
                </c:pt>
                <c:pt idx="181">
                  <c:v>301</c:v>
                </c:pt>
                <c:pt idx="182">
                  <c:v>302</c:v>
                </c:pt>
                <c:pt idx="183">
                  <c:v>303</c:v>
                </c:pt>
                <c:pt idx="184">
                  <c:v>304</c:v>
                </c:pt>
                <c:pt idx="185">
                  <c:v>305</c:v>
                </c:pt>
              </c:numCache>
            </c:numRef>
          </c:yVal>
          <c:smooth val="0"/>
        </c:ser>
        <c:dLbls>
          <c:showLegendKey val="0"/>
          <c:showVal val="0"/>
          <c:showCatName val="0"/>
          <c:showSerName val="0"/>
          <c:showPercent val="0"/>
          <c:showBubbleSize val="0"/>
        </c:dLbls>
        <c:axId val="279361792"/>
        <c:axId val="284807936"/>
      </c:scatterChart>
      <c:valAx>
        <c:axId val="279361792"/>
        <c:scaling>
          <c:orientation val="minMax"/>
          <c:max val="305"/>
          <c:min val="120"/>
        </c:scaling>
        <c:delete val="0"/>
        <c:axPos val="b"/>
        <c:title>
          <c:tx>
            <c:rich>
              <a:bodyPr/>
              <a:lstStyle/>
              <a:p>
                <a:pPr>
                  <a:defRPr/>
                </a:pPr>
                <a:r>
                  <a:rPr lang="en-GB" b="0" i="0" baseline="0">
                    <a:latin typeface="Times New Roman" pitchFamily="18" charset="0"/>
                  </a:rPr>
                  <a:t>right humerus (mm)</a:t>
                </a:r>
              </a:p>
            </c:rich>
          </c:tx>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US"/>
          </a:p>
        </c:txPr>
        <c:crossAx val="284807936"/>
        <c:crosses val="autoZero"/>
        <c:crossBetween val="midCat"/>
        <c:majorUnit val="20"/>
      </c:valAx>
      <c:valAx>
        <c:axId val="284807936"/>
        <c:scaling>
          <c:orientation val="minMax"/>
          <c:max val="305"/>
          <c:min val="120"/>
        </c:scaling>
        <c:delete val="0"/>
        <c:axPos val="l"/>
        <c:majorGridlines/>
        <c:title>
          <c:tx>
            <c:rich>
              <a:bodyPr/>
              <a:lstStyle/>
              <a:p>
                <a:pPr>
                  <a:defRPr/>
                </a:pPr>
                <a:r>
                  <a:rPr lang="en-GB" b="0" i="0" baseline="0">
                    <a:latin typeface="Times New Roman" pitchFamily="18" charset="0"/>
                  </a:rPr>
                  <a:t>left humerus (mm)</a:t>
                </a:r>
              </a:p>
            </c:rich>
          </c:tx>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US"/>
          </a:p>
        </c:txPr>
        <c:crossAx val="279361792"/>
        <c:crosses val="autoZero"/>
        <c:crossBetween val="midCat"/>
      </c:valAx>
    </c:plotArea>
    <c:legend>
      <c:legendPos val="r"/>
      <c:layout>
        <c:manualLayout>
          <c:xMode val="edge"/>
          <c:yMode val="edge"/>
          <c:x val="0"/>
          <c:y val="0.8805916872331262"/>
          <c:w val="0.90570287824191476"/>
          <c:h val="0.11940831276687427"/>
        </c:manualLayout>
      </c:layout>
      <c:overlay val="0"/>
      <c:txPr>
        <a:bodyPr/>
        <a:lstStyle/>
        <a:p>
          <a:pPr>
            <a:defRPr baseline="0">
              <a:latin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0" i="0" baseline="0">
                <a:effectLst/>
                <a:latin typeface="Times New Roman" pitchFamily="18" charset="0"/>
              </a:rPr>
              <a:t>Trendline comparing left and right humeral length for all </a:t>
            </a:r>
            <a:r>
              <a:rPr lang="en-GB" sz="1100" b="0" i="1" baseline="0">
                <a:effectLst/>
                <a:latin typeface="Times New Roman" pitchFamily="18" charset="0"/>
              </a:rPr>
              <a:t>Pan troglodytes</a:t>
            </a:r>
            <a:r>
              <a:rPr lang="en-GB" sz="1100" b="0" i="0" baseline="0">
                <a:effectLst/>
                <a:latin typeface="Times New Roman" pitchFamily="18" charset="0"/>
              </a:rPr>
              <a:t> individuals to a line of perfect isometry</a:t>
            </a:r>
          </a:p>
        </c:rich>
      </c:tx>
      <c:layout>
        <c:manualLayout>
          <c:xMode val="edge"/>
          <c:yMode val="edge"/>
          <c:x val="0.12976572371688003"/>
          <c:y val="2.1476507040602152E-2"/>
        </c:manualLayout>
      </c:layout>
      <c:overlay val="0"/>
    </c:title>
    <c:autoTitleDeleted val="0"/>
    <c:plotArea>
      <c:layout>
        <c:manualLayout>
          <c:layoutTarget val="inner"/>
          <c:xMode val="edge"/>
          <c:yMode val="edge"/>
          <c:x val="0.1178455805862661"/>
          <c:y val="0.11583414610230561"/>
          <c:w val="0.75458591206289582"/>
          <c:h val="0.66450099287735087"/>
        </c:manualLayout>
      </c:layout>
      <c:scatterChart>
        <c:scatterStyle val="lineMarker"/>
        <c:varyColors val="0"/>
        <c:ser>
          <c:idx val="0"/>
          <c:order val="0"/>
          <c:tx>
            <c:v>left and right humeri</c:v>
          </c:tx>
          <c:spPr>
            <a:ln w="28575">
              <a:noFill/>
            </a:ln>
          </c:spPr>
          <c:marker>
            <c:symbol val="circle"/>
            <c:size val="2"/>
          </c:marker>
          <c:trendline>
            <c:trendlineType val="linear"/>
            <c:dispRSqr val="0"/>
            <c:dispEq val="0"/>
          </c:trendline>
          <c:xVal>
            <c:numRef>
              <c:f>Sheet1!$M$43:$M$218</c:f>
              <c:numCache>
                <c:formatCode>General</c:formatCode>
                <c:ptCount val="176"/>
                <c:pt idx="0">
                  <c:v>182</c:v>
                </c:pt>
                <c:pt idx="1">
                  <c:v>148</c:v>
                </c:pt>
                <c:pt idx="2">
                  <c:v>136</c:v>
                </c:pt>
                <c:pt idx="3">
                  <c:v>167</c:v>
                </c:pt>
                <c:pt idx="4">
                  <c:v>238</c:v>
                </c:pt>
                <c:pt idx="6">
                  <c:v>308</c:v>
                </c:pt>
                <c:pt idx="8">
                  <c:v>294</c:v>
                </c:pt>
                <c:pt idx="10">
                  <c:v>254</c:v>
                </c:pt>
                <c:pt idx="11">
                  <c:v>223</c:v>
                </c:pt>
                <c:pt idx="13">
                  <c:v>230</c:v>
                </c:pt>
                <c:pt idx="14">
                  <c:v>299</c:v>
                </c:pt>
                <c:pt idx="18">
                  <c:v>143</c:v>
                </c:pt>
                <c:pt idx="21">
                  <c:v>222</c:v>
                </c:pt>
                <c:pt idx="22">
                  <c:v>208</c:v>
                </c:pt>
                <c:pt idx="23">
                  <c:v>214</c:v>
                </c:pt>
                <c:pt idx="24">
                  <c:v>243</c:v>
                </c:pt>
                <c:pt idx="26">
                  <c:v>236</c:v>
                </c:pt>
                <c:pt idx="28">
                  <c:v>272</c:v>
                </c:pt>
                <c:pt idx="30">
                  <c:v>296</c:v>
                </c:pt>
                <c:pt idx="31">
                  <c:v>302</c:v>
                </c:pt>
                <c:pt idx="32">
                  <c:v>281</c:v>
                </c:pt>
                <c:pt idx="33">
                  <c:v>217</c:v>
                </c:pt>
                <c:pt idx="35">
                  <c:v>275</c:v>
                </c:pt>
                <c:pt idx="37">
                  <c:v>271</c:v>
                </c:pt>
                <c:pt idx="38">
                  <c:v>261</c:v>
                </c:pt>
                <c:pt idx="39">
                  <c:v>276</c:v>
                </c:pt>
                <c:pt idx="40">
                  <c:v>299</c:v>
                </c:pt>
                <c:pt idx="41">
                  <c:v>299</c:v>
                </c:pt>
                <c:pt idx="42">
                  <c:v>310</c:v>
                </c:pt>
                <c:pt idx="43">
                  <c:v>274</c:v>
                </c:pt>
                <c:pt idx="44">
                  <c:v>305</c:v>
                </c:pt>
                <c:pt idx="45">
                  <c:v>314</c:v>
                </c:pt>
                <c:pt idx="46">
                  <c:v>293</c:v>
                </c:pt>
                <c:pt idx="47">
                  <c:v>263</c:v>
                </c:pt>
                <c:pt idx="48">
                  <c:v>278</c:v>
                </c:pt>
                <c:pt idx="49">
                  <c:v>304</c:v>
                </c:pt>
                <c:pt idx="50">
                  <c:v>303</c:v>
                </c:pt>
                <c:pt idx="51">
                  <c:v>292</c:v>
                </c:pt>
                <c:pt idx="52">
                  <c:v>211</c:v>
                </c:pt>
                <c:pt idx="53">
                  <c:v>234</c:v>
                </c:pt>
                <c:pt idx="54">
                  <c:v>288</c:v>
                </c:pt>
                <c:pt idx="55">
                  <c:v>293</c:v>
                </c:pt>
                <c:pt idx="56">
                  <c:v>174</c:v>
                </c:pt>
                <c:pt idx="57">
                  <c:v>215</c:v>
                </c:pt>
                <c:pt idx="58">
                  <c:v>101</c:v>
                </c:pt>
                <c:pt idx="59">
                  <c:v>302</c:v>
                </c:pt>
                <c:pt idx="60">
                  <c:v>281</c:v>
                </c:pt>
                <c:pt idx="61">
                  <c:v>202</c:v>
                </c:pt>
                <c:pt idx="63">
                  <c:v>290</c:v>
                </c:pt>
                <c:pt idx="64">
                  <c:v>327</c:v>
                </c:pt>
                <c:pt idx="65">
                  <c:v>205</c:v>
                </c:pt>
                <c:pt idx="66">
                  <c:v>314</c:v>
                </c:pt>
                <c:pt idx="67">
                  <c:v>171</c:v>
                </c:pt>
                <c:pt idx="69">
                  <c:v>292</c:v>
                </c:pt>
                <c:pt idx="70">
                  <c:v>314</c:v>
                </c:pt>
                <c:pt idx="71">
                  <c:v>306</c:v>
                </c:pt>
                <c:pt idx="73">
                  <c:v>263</c:v>
                </c:pt>
                <c:pt idx="74">
                  <c:v>228</c:v>
                </c:pt>
                <c:pt idx="75">
                  <c:v>299</c:v>
                </c:pt>
                <c:pt idx="76">
                  <c:v>271</c:v>
                </c:pt>
                <c:pt idx="77">
                  <c:v>304</c:v>
                </c:pt>
                <c:pt idx="78">
                  <c:v>287</c:v>
                </c:pt>
                <c:pt idx="79">
                  <c:v>305</c:v>
                </c:pt>
                <c:pt idx="80">
                  <c:v>295</c:v>
                </c:pt>
                <c:pt idx="81">
                  <c:v>301</c:v>
                </c:pt>
                <c:pt idx="82">
                  <c:v>150</c:v>
                </c:pt>
                <c:pt idx="83">
                  <c:v>190</c:v>
                </c:pt>
                <c:pt idx="84">
                  <c:v>187</c:v>
                </c:pt>
                <c:pt idx="85">
                  <c:v>178</c:v>
                </c:pt>
                <c:pt idx="86">
                  <c:v>122</c:v>
                </c:pt>
                <c:pt idx="87">
                  <c:v>293</c:v>
                </c:pt>
                <c:pt idx="88">
                  <c:v>271</c:v>
                </c:pt>
                <c:pt idx="89">
                  <c:v>220</c:v>
                </c:pt>
                <c:pt idx="90">
                  <c:v>141</c:v>
                </c:pt>
                <c:pt idx="91">
                  <c:v>215</c:v>
                </c:pt>
                <c:pt idx="92">
                  <c:v>303</c:v>
                </c:pt>
                <c:pt idx="93">
                  <c:v>242</c:v>
                </c:pt>
                <c:pt idx="94">
                  <c:v>256</c:v>
                </c:pt>
                <c:pt idx="95">
                  <c:v>267</c:v>
                </c:pt>
                <c:pt idx="96">
                  <c:v>279</c:v>
                </c:pt>
                <c:pt idx="97">
                  <c:v>318</c:v>
                </c:pt>
                <c:pt idx="98">
                  <c:v>171</c:v>
                </c:pt>
                <c:pt idx="99">
                  <c:v>275</c:v>
                </c:pt>
                <c:pt idx="100">
                  <c:v>281</c:v>
                </c:pt>
                <c:pt idx="101">
                  <c:v>225</c:v>
                </c:pt>
                <c:pt idx="103">
                  <c:v>226</c:v>
                </c:pt>
                <c:pt idx="104">
                  <c:v>261</c:v>
                </c:pt>
                <c:pt idx="105">
                  <c:v>186</c:v>
                </c:pt>
                <c:pt idx="106">
                  <c:v>202</c:v>
                </c:pt>
                <c:pt idx="107">
                  <c:v>285</c:v>
                </c:pt>
                <c:pt idx="108">
                  <c:v>274</c:v>
                </c:pt>
                <c:pt idx="109">
                  <c:v>267</c:v>
                </c:pt>
                <c:pt idx="110">
                  <c:v>284</c:v>
                </c:pt>
                <c:pt idx="112">
                  <c:v>278</c:v>
                </c:pt>
                <c:pt idx="113">
                  <c:v>192</c:v>
                </c:pt>
                <c:pt idx="114">
                  <c:v>205</c:v>
                </c:pt>
                <c:pt idx="115">
                  <c:v>279</c:v>
                </c:pt>
                <c:pt idx="116">
                  <c:v>300</c:v>
                </c:pt>
                <c:pt idx="118">
                  <c:v>252</c:v>
                </c:pt>
                <c:pt idx="119">
                  <c:v>229</c:v>
                </c:pt>
                <c:pt idx="121">
                  <c:v>201</c:v>
                </c:pt>
                <c:pt idx="122">
                  <c:v>261</c:v>
                </c:pt>
                <c:pt idx="124">
                  <c:v>272</c:v>
                </c:pt>
                <c:pt idx="125">
                  <c:v>269</c:v>
                </c:pt>
                <c:pt idx="126">
                  <c:v>293</c:v>
                </c:pt>
                <c:pt idx="127">
                  <c:v>303</c:v>
                </c:pt>
                <c:pt idx="128">
                  <c:v>207</c:v>
                </c:pt>
                <c:pt idx="131">
                  <c:v>300</c:v>
                </c:pt>
                <c:pt idx="132">
                  <c:v>220</c:v>
                </c:pt>
                <c:pt idx="133">
                  <c:v>262</c:v>
                </c:pt>
                <c:pt idx="134">
                  <c:v>279</c:v>
                </c:pt>
                <c:pt idx="135">
                  <c:v>214</c:v>
                </c:pt>
                <c:pt idx="136">
                  <c:v>192</c:v>
                </c:pt>
                <c:pt idx="137">
                  <c:v>205</c:v>
                </c:pt>
                <c:pt idx="138">
                  <c:v>195</c:v>
                </c:pt>
                <c:pt idx="139">
                  <c:v>318</c:v>
                </c:pt>
                <c:pt idx="141">
                  <c:v>204</c:v>
                </c:pt>
                <c:pt idx="142">
                  <c:v>242</c:v>
                </c:pt>
                <c:pt idx="144">
                  <c:v>261</c:v>
                </c:pt>
                <c:pt idx="145">
                  <c:v>204</c:v>
                </c:pt>
                <c:pt idx="146">
                  <c:v>223</c:v>
                </c:pt>
                <c:pt idx="148">
                  <c:v>281</c:v>
                </c:pt>
                <c:pt idx="149">
                  <c:v>286</c:v>
                </c:pt>
                <c:pt idx="150">
                  <c:v>197</c:v>
                </c:pt>
                <c:pt idx="153">
                  <c:v>198</c:v>
                </c:pt>
                <c:pt idx="154">
                  <c:v>294</c:v>
                </c:pt>
                <c:pt idx="155">
                  <c:v>302</c:v>
                </c:pt>
                <c:pt idx="156">
                  <c:v>236</c:v>
                </c:pt>
                <c:pt idx="158">
                  <c:v>157</c:v>
                </c:pt>
                <c:pt idx="159">
                  <c:v>302</c:v>
                </c:pt>
                <c:pt idx="160">
                  <c:v>167</c:v>
                </c:pt>
                <c:pt idx="161">
                  <c:v>287</c:v>
                </c:pt>
                <c:pt idx="162">
                  <c:v>172</c:v>
                </c:pt>
                <c:pt idx="163">
                  <c:v>212</c:v>
                </c:pt>
                <c:pt idx="164">
                  <c:v>285</c:v>
                </c:pt>
                <c:pt idx="165">
                  <c:v>208</c:v>
                </c:pt>
                <c:pt idx="166">
                  <c:v>296</c:v>
                </c:pt>
                <c:pt idx="168">
                  <c:v>204</c:v>
                </c:pt>
                <c:pt idx="169">
                  <c:v>178</c:v>
                </c:pt>
                <c:pt idx="170">
                  <c:v>258</c:v>
                </c:pt>
                <c:pt idx="171">
                  <c:v>254</c:v>
                </c:pt>
                <c:pt idx="172">
                  <c:v>219</c:v>
                </c:pt>
                <c:pt idx="173">
                  <c:v>276</c:v>
                </c:pt>
                <c:pt idx="174">
                  <c:v>222</c:v>
                </c:pt>
                <c:pt idx="175">
                  <c:v>130</c:v>
                </c:pt>
              </c:numCache>
            </c:numRef>
          </c:xVal>
          <c:yVal>
            <c:numRef>
              <c:f>Sheet1!$N$43:$N$218</c:f>
              <c:numCache>
                <c:formatCode>General</c:formatCode>
                <c:ptCount val="176"/>
                <c:pt idx="0">
                  <c:v>183</c:v>
                </c:pt>
                <c:pt idx="2">
                  <c:v>137</c:v>
                </c:pt>
                <c:pt idx="3">
                  <c:v>167</c:v>
                </c:pt>
                <c:pt idx="4">
                  <c:v>230</c:v>
                </c:pt>
                <c:pt idx="7">
                  <c:v>260</c:v>
                </c:pt>
                <c:pt idx="8">
                  <c:v>291</c:v>
                </c:pt>
                <c:pt idx="10">
                  <c:v>255</c:v>
                </c:pt>
                <c:pt idx="11">
                  <c:v>223</c:v>
                </c:pt>
                <c:pt idx="13">
                  <c:v>230</c:v>
                </c:pt>
                <c:pt idx="14">
                  <c:v>299</c:v>
                </c:pt>
                <c:pt idx="18">
                  <c:v>143</c:v>
                </c:pt>
                <c:pt idx="21">
                  <c:v>222</c:v>
                </c:pt>
                <c:pt idx="22">
                  <c:v>208</c:v>
                </c:pt>
                <c:pt idx="24">
                  <c:v>242</c:v>
                </c:pt>
                <c:pt idx="25">
                  <c:v>261</c:v>
                </c:pt>
                <c:pt idx="26">
                  <c:v>236</c:v>
                </c:pt>
                <c:pt idx="28">
                  <c:v>274</c:v>
                </c:pt>
                <c:pt idx="30">
                  <c:v>295</c:v>
                </c:pt>
                <c:pt idx="31">
                  <c:v>301</c:v>
                </c:pt>
                <c:pt idx="32">
                  <c:v>282</c:v>
                </c:pt>
                <c:pt idx="33">
                  <c:v>219</c:v>
                </c:pt>
                <c:pt idx="34">
                  <c:v>262</c:v>
                </c:pt>
                <c:pt idx="35">
                  <c:v>275</c:v>
                </c:pt>
                <c:pt idx="37">
                  <c:v>273</c:v>
                </c:pt>
                <c:pt idx="38">
                  <c:v>260</c:v>
                </c:pt>
                <c:pt idx="39">
                  <c:v>276</c:v>
                </c:pt>
                <c:pt idx="40">
                  <c:v>299</c:v>
                </c:pt>
                <c:pt idx="41">
                  <c:v>296</c:v>
                </c:pt>
                <c:pt idx="42">
                  <c:v>310</c:v>
                </c:pt>
                <c:pt idx="43">
                  <c:v>272</c:v>
                </c:pt>
                <c:pt idx="44">
                  <c:v>304</c:v>
                </c:pt>
                <c:pt idx="45">
                  <c:v>314</c:v>
                </c:pt>
                <c:pt idx="47">
                  <c:v>262</c:v>
                </c:pt>
                <c:pt idx="48">
                  <c:v>278</c:v>
                </c:pt>
                <c:pt idx="49">
                  <c:v>303</c:v>
                </c:pt>
                <c:pt idx="50">
                  <c:v>302</c:v>
                </c:pt>
                <c:pt idx="51">
                  <c:v>293</c:v>
                </c:pt>
                <c:pt idx="52">
                  <c:v>211</c:v>
                </c:pt>
                <c:pt idx="53">
                  <c:v>232</c:v>
                </c:pt>
                <c:pt idx="54">
                  <c:v>294</c:v>
                </c:pt>
                <c:pt idx="55">
                  <c:v>293</c:v>
                </c:pt>
                <c:pt idx="56">
                  <c:v>173</c:v>
                </c:pt>
                <c:pt idx="57">
                  <c:v>215</c:v>
                </c:pt>
                <c:pt idx="59">
                  <c:v>307</c:v>
                </c:pt>
                <c:pt idx="60">
                  <c:v>278</c:v>
                </c:pt>
                <c:pt idx="61">
                  <c:v>201</c:v>
                </c:pt>
                <c:pt idx="63">
                  <c:v>288</c:v>
                </c:pt>
                <c:pt idx="64">
                  <c:v>317</c:v>
                </c:pt>
                <c:pt idx="65">
                  <c:v>205</c:v>
                </c:pt>
                <c:pt idx="66">
                  <c:v>313</c:v>
                </c:pt>
                <c:pt idx="67">
                  <c:v>169</c:v>
                </c:pt>
                <c:pt idx="68">
                  <c:v>170</c:v>
                </c:pt>
                <c:pt idx="69">
                  <c:v>291</c:v>
                </c:pt>
                <c:pt idx="70">
                  <c:v>316</c:v>
                </c:pt>
                <c:pt idx="71">
                  <c:v>307</c:v>
                </c:pt>
                <c:pt idx="73">
                  <c:v>262</c:v>
                </c:pt>
                <c:pt idx="74">
                  <c:v>226</c:v>
                </c:pt>
                <c:pt idx="75">
                  <c:v>299</c:v>
                </c:pt>
                <c:pt idx="76">
                  <c:v>282</c:v>
                </c:pt>
                <c:pt idx="77">
                  <c:v>298</c:v>
                </c:pt>
                <c:pt idx="78">
                  <c:v>288</c:v>
                </c:pt>
                <c:pt idx="79">
                  <c:v>305</c:v>
                </c:pt>
                <c:pt idx="80">
                  <c:v>297</c:v>
                </c:pt>
                <c:pt idx="81">
                  <c:v>298</c:v>
                </c:pt>
                <c:pt idx="82">
                  <c:v>150</c:v>
                </c:pt>
                <c:pt idx="83">
                  <c:v>189</c:v>
                </c:pt>
                <c:pt idx="84">
                  <c:v>188</c:v>
                </c:pt>
                <c:pt idx="85">
                  <c:v>179</c:v>
                </c:pt>
                <c:pt idx="86">
                  <c:v>122</c:v>
                </c:pt>
                <c:pt idx="87">
                  <c:v>291</c:v>
                </c:pt>
                <c:pt idx="88">
                  <c:v>270</c:v>
                </c:pt>
                <c:pt idx="89">
                  <c:v>221</c:v>
                </c:pt>
                <c:pt idx="90">
                  <c:v>139</c:v>
                </c:pt>
                <c:pt idx="91">
                  <c:v>217</c:v>
                </c:pt>
                <c:pt idx="92">
                  <c:v>306</c:v>
                </c:pt>
                <c:pt idx="93">
                  <c:v>240</c:v>
                </c:pt>
                <c:pt idx="94">
                  <c:v>259</c:v>
                </c:pt>
                <c:pt idx="95">
                  <c:v>274</c:v>
                </c:pt>
                <c:pt idx="96">
                  <c:v>279</c:v>
                </c:pt>
                <c:pt idx="97">
                  <c:v>317</c:v>
                </c:pt>
                <c:pt idx="98">
                  <c:v>172</c:v>
                </c:pt>
                <c:pt idx="99">
                  <c:v>276</c:v>
                </c:pt>
                <c:pt idx="100">
                  <c:v>280</c:v>
                </c:pt>
                <c:pt idx="101">
                  <c:v>226</c:v>
                </c:pt>
                <c:pt idx="103">
                  <c:v>223</c:v>
                </c:pt>
                <c:pt idx="104">
                  <c:v>262</c:v>
                </c:pt>
                <c:pt idx="105">
                  <c:v>186</c:v>
                </c:pt>
                <c:pt idx="106">
                  <c:v>204</c:v>
                </c:pt>
                <c:pt idx="107">
                  <c:v>285</c:v>
                </c:pt>
                <c:pt idx="108">
                  <c:v>270</c:v>
                </c:pt>
                <c:pt idx="109">
                  <c:v>266</c:v>
                </c:pt>
                <c:pt idx="110">
                  <c:v>284</c:v>
                </c:pt>
                <c:pt idx="112">
                  <c:v>280</c:v>
                </c:pt>
                <c:pt idx="113">
                  <c:v>192</c:v>
                </c:pt>
                <c:pt idx="114">
                  <c:v>205</c:v>
                </c:pt>
                <c:pt idx="115">
                  <c:v>280</c:v>
                </c:pt>
                <c:pt idx="116">
                  <c:v>301</c:v>
                </c:pt>
                <c:pt idx="118">
                  <c:v>252</c:v>
                </c:pt>
                <c:pt idx="119">
                  <c:v>228</c:v>
                </c:pt>
                <c:pt idx="120">
                  <c:v>163</c:v>
                </c:pt>
                <c:pt idx="121">
                  <c:v>202</c:v>
                </c:pt>
                <c:pt idx="122">
                  <c:v>260</c:v>
                </c:pt>
                <c:pt idx="125">
                  <c:v>272</c:v>
                </c:pt>
                <c:pt idx="126">
                  <c:v>290</c:v>
                </c:pt>
                <c:pt idx="127">
                  <c:v>304</c:v>
                </c:pt>
                <c:pt idx="128">
                  <c:v>207</c:v>
                </c:pt>
                <c:pt idx="129">
                  <c:v>174</c:v>
                </c:pt>
                <c:pt idx="132">
                  <c:v>216</c:v>
                </c:pt>
                <c:pt idx="133">
                  <c:v>263</c:v>
                </c:pt>
                <c:pt idx="134">
                  <c:v>278</c:v>
                </c:pt>
                <c:pt idx="136">
                  <c:v>192</c:v>
                </c:pt>
                <c:pt idx="137">
                  <c:v>207</c:v>
                </c:pt>
                <c:pt idx="138">
                  <c:v>196</c:v>
                </c:pt>
                <c:pt idx="139">
                  <c:v>320</c:v>
                </c:pt>
                <c:pt idx="141">
                  <c:v>200</c:v>
                </c:pt>
                <c:pt idx="142">
                  <c:v>239</c:v>
                </c:pt>
                <c:pt idx="144">
                  <c:v>261</c:v>
                </c:pt>
                <c:pt idx="145">
                  <c:v>202</c:v>
                </c:pt>
                <c:pt idx="146">
                  <c:v>220</c:v>
                </c:pt>
                <c:pt idx="147">
                  <c:v>203</c:v>
                </c:pt>
                <c:pt idx="148">
                  <c:v>283</c:v>
                </c:pt>
                <c:pt idx="149">
                  <c:v>285</c:v>
                </c:pt>
                <c:pt idx="150">
                  <c:v>199</c:v>
                </c:pt>
                <c:pt idx="153">
                  <c:v>201</c:v>
                </c:pt>
                <c:pt idx="154">
                  <c:v>294</c:v>
                </c:pt>
                <c:pt idx="155">
                  <c:v>304</c:v>
                </c:pt>
                <c:pt idx="156">
                  <c:v>236</c:v>
                </c:pt>
                <c:pt idx="157">
                  <c:v>137</c:v>
                </c:pt>
                <c:pt idx="159">
                  <c:v>298</c:v>
                </c:pt>
                <c:pt idx="160">
                  <c:v>167</c:v>
                </c:pt>
                <c:pt idx="161">
                  <c:v>287</c:v>
                </c:pt>
                <c:pt idx="162">
                  <c:v>172</c:v>
                </c:pt>
                <c:pt idx="163">
                  <c:v>212</c:v>
                </c:pt>
                <c:pt idx="164">
                  <c:v>283</c:v>
                </c:pt>
                <c:pt idx="165">
                  <c:v>207</c:v>
                </c:pt>
                <c:pt idx="166">
                  <c:v>303</c:v>
                </c:pt>
                <c:pt idx="168">
                  <c:v>204</c:v>
                </c:pt>
                <c:pt idx="169">
                  <c:v>180</c:v>
                </c:pt>
                <c:pt idx="170">
                  <c:v>256</c:v>
                </c:pt>
                <c:pt idx="172">
                  <c:v>218</c:v>
                </c:pt>
                <c:pt idx="173">
                  <c:v>276</c:v>
                </c:pt>
                <c:pt idx="174">
                  <c:v>219</c:v>
                </c:pt>
                <c:pt idx="175">
                  <c:v>130</c:v>
                </c:pt>
              </c:numCache>
            </c:numRef>
          </c:yVal>
          <c:smooth val="0"/>
        </c:ser>
        <c:ser>
          <c:idx val="1"/>
          <c:order val="1"/>
          <c:tx>
            <c:v>line of perfect isometry</c:v>
          </c:tx>
          <c:spPr>
            <a:ln w="28575">
              <a:noFill/>
            </a:ln>
          </c:spPr>
          <c:marker>
            <c:symbol val="none"/>
          </c:marker>
          <c:trendline>
            <c:spPr>
              <a:ln>
                <a:solidFill>
                  <a:srgbClr val="FF0000"/>
                </a:solidFill>
              </a:ln>
            </c:spPr>
            <c:trendlineType val="linear"/>
            <c:dispRSqr val="0"/>
            <c:dispEq val="0"/>
          </c:trendline>
          <c:xVal>
            <c:numRef>
              <c:f>Sheet1!$Q$110:$Q$330</c:f>
              <c:numCache>
                <c:formatCode>General</c:formatCode>
                <c:ptCount val="221"/>
                <c:pt idx="0">
                  <c:v>110</c:v>
                </c:pt>
                <c:pt idx="1">
                  <c:v>111</c:v>
                </c:pt>
                <c:pt idx="2">
                  <c:v>112</c:v>
                </c:pt>
                <c:pt idx="3">
                  <c:v>113</c:v>
                </c:pt>
                <c:pt idx="4">
                  <c:v>114</c:v>
                </c:pt>
                <c:pt idx="5">
                  <c:v>115</c:v>
                </c:pt>
                <c:pt idx="6">
                  <c:v>116</c:v>
                </c:pt>
                <c:pt idx="7">
                  <c:v>117</c:v>
                </c:pt>
                <c:pt idx="8">
                  <c:v>118</c:v>
                </c:pt>
                <c:pt idx="9">
                  <c:v>119</c:v>
                </c:pt>
                <c:pt idx="10">
                  <c:v>120</c:v>
                </c:pt>
                <c:pt idx="11">
                  <c:v>121</c:v>
                </c:pt>
                <c:pt idx="12">
                  <c:v>122</c:v>
                </c:pt>
                <c:pt idx="13">
                  <c:v>123</c:v>
                </c:pt>
                <c:pt idx="14">
                  <c:v>124</c:v>
                </c:pt>
                <c:pt idx="15">
                  <c:v>125</c:v>
                </c:pt>
                <c:pt idx="16">
                  <c:v>126</c:v>
                </c:pt>
                <c:pt idx="17">
                  <c:v>127</c:v>
                </c:pt>
                <c:pt idx="18">
                  <c:v>128</c:v>
                </c:pt>
                <c:pt idx="19">
                  <c:v>129</c:v>
                </c:pt>
                <c:pt idx="20">
                  <c:v>130</c:v>
                </c:pt>
                <c:pt idx="21">
                  <c:v>131</c:v>
                </c:pt>
                <c:pt idx="22">
                  <c:v>132</c:v>
                </c:pt>
                <c:pt idx="23">
                  <c:v>133</c:v>
                </c:pt>
                <c:pt idx="24">
                  <c:v>134</c:v>
                </c:pt>
                <c:pt idx="25">
                  <c:v>135</c:v>
                </c:pt>
                <c:pt idx="26">
                  <c:v>136</c:v>
                </c:pt>
                <c:pt idx="27">
                  <c:v>137</c:v>
                </c:pt>
                <c:pt idx="28">
                  <c:v>138</c:v>
                </c:pt>
                <c:pt idx="29">
                  <c:v>139</c:v>
                </c:pt>
                <c:pt idx="30">
                  <c:v>140</c:v>
                </c:pt>
                <c:pt idx="31">
                  <c:v>141</c:v>
                </c:pt>
                <c:pt idx="32">
                  <c:v>142</c:v>
                </c:pt>
                <c:pt idx="33">
                  <c:v>143</c:v>
                </c:pt>
                <c:pt idx="34">
                  <c:v>144</c:v>
                </c:pt>
                <c:pt idx="35">
                  <c:v>145</c:v>
                </c:pt>
                <c:pt idx="36">
                  <c:v>146</c:v>
                </c:pt>
                <c:pt idx="37">
                  <c:v>147</c:v>
                </c:pt>
                <c:pt idx="38">
                  <c:v>148</c:v>
                </c:pt>
                <c:pt idx="39">
                  <c:v>149</c:v>
                </c:pt>
                <c:pt idx="40">
                  <c:v>150</c:v>
                </c:pt>
                <c:pt idx="41">
                  <c:v>151</c:v>
                </c:pt>
                <c:pt idx="42">
                  <c:v>152</c:v>
                </c:pt>
                <c:pt idx="43">
                  <c:v>153</c:v>
                </c:pt>
                <c:pt idx="44">
                  <c:v>154</c:v>
                </c:pt>
                <c:pt idx="45">
                  <c:v>155</c:v>
                </c:pt>
                <c:pt idx="46">
                  <c:v>156</c:v>
                </c:pt>
                <c:pt idx="47">
                  <c:v>157</c:v>
                </c:pt>
                <c:pt idx="48">
                  <c:v>158</c:v>
                </c:pt>
                <c:pt idx="49">
                  <c:v>159</c:v>
                </c:pt>
                <c:pt idx="50">
                  <c:v>160</c:v>
                </c:pt>
                <c:pt idx="51">
                  <c:v>161</c:v>
                </c:pt>
                <c:pt idx="52">
                  <c:v>162</c:v>
                </c:pt>
                <c:pt idx="53">
                  <c:v>163</c:v>
                </c:pt>
                <c:pt idx="54">
                  <c:v>164</c:v>
                </c:pt>
                <c:pt idx="55">
                  <c:v>165</c:v>
                </c:pt>
                <c:pt idx="56">
                  <c:v>166</c:v>
                </c:pt>
                <c:pt idx="57">
                  <c:v>167</c:v>
                </c:pt>
                <c:pt idx="58">
                  <c:v>168</c:v>
                </c:pt>
                <c:pt idx="59">
                  <c:v>169</c:v>
                </c:pt>
                <c:pt idx="60">
                  <c:v>170</c:v>
                </c:pt>
                <c:pt idx="61">
                  <c:v>171</c:v>
                </c:pt>
                <c:pt idx="62">
                  <c:v>172</c:v>
                </c:pt>
                <c:pt idx="63">
                  <c:v>173</c:v>
                </c:pt>
                <c:pt idx="64">
                  <c:v>174</c:v>
                </c:pt>
                <c:pt idx="65">
                  <c:v>175</c:v>
                </c:pt>
                <c:pt idx="66">
                  <c:v>176</c:v>
                </c:pt>
                <c:pt idx="67">
                  <c:v>177</c:v>
                </c:pt>
                <c:pt idx="68">
                  <c:v>178</c:v>
                </c:pt>
                <c:pt idx="69">
                  <c:v>179</c:v>
                </c:pt>
                <c:pt idx="70">
                  <c:v>180</c:v>
                </c:pt>
                <c:pt idx="71">
                  <c:v>181</c:v>
                </c:pt>
                <c:pt idx="72">
                  <c:v>182</c:v>
                </c:pt>
                <c:pt idx="73">
                  <c:v>183</c:v>
                </c:pt>
                <c:pt idx="74">
                  <c:v>184</c:v>
                </c:pt>
                <c:pt idx="75">
                  <c:v>185</c:v>
                </c:pt>
                <c:pt idx="76">
                  <c:v>186</c:v>
                </c:pt>
                <c:pt idx="77">
                  <c:v>187</c:v>
                </c:pt>
                <c:pt idx="78">
                  <c:v>188</c:v>
                </c:pt>
                <c:pt idx="79">
                  <c:v>189</c:v>
                </c:pt>
                <c:pt idx="80">
                  <c:v>190</c:v>
                </c:pt>
                <c:pt idx="81">
                  <c:v>191</c:v>
                </c:pt>
                <c:pt idx="82">
                  <c:v>192</c:v>
                </c:pt>
                <c:pt idx="83">
                  <c:v>193</c:v>
                </c:pt>
                <c:pt idx="84">
                  <c:v>194</c:v>
                </c:pt>
                <c:pt idx="85">
                  <c:v>195</c:v>
                </c:pt>
                <c:pt idx="86">
                  <c:v>196</c:v>
                </c:pt>
                <c:pt idx="87">
                  <c:v>197</c:v>
                </c:pt>
                <c:pt idx="88">
                  <c:v>198</c:v>
                </c:pt>
                <c:pt idx="89">
                  <c:v>199</c:v>
                </c:pt>
                <c:pt idx="90">
                  <c:v>200</c:v>
                </c:pt>
                <c:pt idx="91">
                  <c:v>201</c:v>
                </c:pt>
                <c:pt idx="92">
                  <c:v>202</c:v>
                </c:pt>
                <c:pt idx="93">
                  <c:v>203</c:v>
                </c:pt>
                <c:pt idx="94">
                  <c:v>204</c:v>
                </c:pt>
                <c:pt idx="95">
                  <c:v>205</c:v>
                </c:pt>
                <c:pt idx="96">
                  <c:v>206</c:v>
                </c:pt>
                <c:pt idx="97">
                  <c:v>207</c:v>
                </c:pt>
                <c:pt idx="98">
                  <c:v>208</c:v>
                </c:pt>
                <c:pt idx="99">
                  <c:v>209</c:v>
                </c:pt>
                <c:pt idx="100">
                  <c:v>210</c:v>
                </c:pt>
                <c:pt idx="101">
                  <c:v>211</c:v>
                </c:pt>
                <c:pt idx="102">
                  <c:v>212</c:v>
                </c:pt>
                <c:pt idx="103">
                  <c:v>213</c:v>
                </c:pt>
                <c:pt idx="104">
                  <c:v>214</c:v>
                </c:pt>
                <c:pt idx="105">
                  <c:v>215</c:v>
                </c:pt>
                <c:pt idx="106">
                  <c:v>216</c:v>
                </c:pt>
                <c:pt idx="107">
                  <c:v>217</c:v>
                </c:pt>
                <c:pt idx="108">
                  <c:v>218</c:v>
                </c:pt>
                <c:pt idx="109">
                  <c:v>219</c:v>
                </c:pt>
                <c:pt idx="110">
                  <c:v>220</c:v>
                </c:pt>
                <c:pt idx="111">
                  <c:v>221</c:v>
                </c:pt>
                <c:pt idx="112">
                  <c:v>222</c:v>
                </c:pt>
                <c:pt idx="113">
                  <c:v>223</c:v>
                </c:pt>
                <c:pt idx="114">
                  <c:v>224</c:v>
                </c:pt>
                <c:pt idx="115">
                  <c:v>225</c:v>
                </c:pt>
                <c:pt idx="116">
                  <c:v>226</c:v>
                </c:pt>
                <c:pt idx="117">
                  <c:v>227</c:v>
                </c:pt>
                <c:pt idx="118">
                  <c:v>228</c:v>
                </c:pt>
                <c:pt idx="119">
                  <c:v>229</c:v>
                </c:pt>
                <c:pt idx="120">
                  <c:v>230</c:v>
                </c:pt>
                <c:pt idx="121">
                  <c:v>231</c:v>
                </c:pt>
                <c:pt idx="122">
                  <c:v>232</c:v>
                </c:pt>
                <c:pt idx="123">
                  <c:v>233</c:v>
                </c:pt>
                <c:pt idx="124">
                  <c:v>234</c:v>
                </c:pt>
                <c:pt idx="125">
                  <c:v>235</c:v>
                </c:pt>
                <c:pt idx="126">
                  <c:v>236</c:v>
                </c:pt>
                <c:pt idx="127">
                  <c:v>237</c:v>
                </c:pt>
                <c:pt idx="128">
                  <c:v>238</c:v>
                </c:pt>
                <c:pt idx="129">
                  <c:v>239</c:v>
                </c:pt>
                <c:pt idx="130">
                  <c:v>240</c:v>
                </c:pt>
                <c:pt idx="131">
                  <c:v>241</c:v>
                </c:pt>
                <c:pt idx="132">
                  <c:v>242</c:v>
                </c:pt>
                <c:pt idx="133">
                  <c:v>243</c:v>
                </c:pt>
                <c:pt idx="134">
                  <c:v>244</c:v>
                </c:pt>
                <c:pt idx="135">
                  <c:v>245</c:v>
                </c:pt>
                <c:pt idx="136">
                  <c:v>246</c:v>
                </c:pt>
                <c:pt idx="137">
                  <c:v>247</c:v>
                </c:pt>
                <c:pt idx="138">
                  <c:v>248</c:v>
                </c:pt>
                <c:pt idx="139">
                  <c:v>249</c:v>
                </c:pt>
                <c:pt idx="140">
                  <c:v>250</c:v>
                </c:pt>
                <c:pt idx="141">
                  <c:v>251</c:v>
                </c:pt>
                <c:pt idx="142">
                  <c:v>252</c:v>
                </c:pt>
                <c:pt idx="143">
                  <c:v>253</c:v>
                </c:pt>
                <c:pt idx="144">
                  <c:v>254</c:v>
                </c:pt>
                <c:pt idx="145">
                  <c:v>255</c:v>
                </c:pt>
                <c:pt idx="146">
                  <c:v>256</c:v>
                </c:pt>
                <c:pt idx="147">
                  <c:v>257</c:v>
                </c:pt>
                <c:pt idx="148">
                  <c:v>258</c:v>
                </c:pt>
                <c:pt idx="149">
                  <c:v>259</c:v>
                </c:pt>
                <c:pt idx="150">
                  <c:v>260</c:v>
                </c:pt>
                <c:pt idx="151">
                  <c:v>261</c:v>
                </c:pt>
                <c:pt idx="152">
                  <c:v>262</c:v>
                </c:pt>
                <c:pt idx="153">
                  <c:v>263</c:v>
                </c:pt>
                <c:pt idx="154">
                  <c:v>264</c:v>
                </c:pt>
                <c:pt idx="155">
                  <c:v>265</c:v>
                </c:pt>
                <c:pt idx="156">
                  <c:v>266</c:v>
                </c:pt>
                <c:pt idx="157">
                  <c:v>267</c:v>
                </c:pt>
                <c:pt idx="158">
                  <c:v>268</c:v>
                </c:pt>
                <c:pt idx="159">
                  <c:v>269</c:v>
                </c:pt>
                <c:pt idx="160">
                  <c:v>270</c:v>
                </c:pt>
                <c:pt idx="161">
                  <c:v>271</c:v>
                </c:pt>
                <c:pt idx="162">
                  <c:v>272</c:v>
                </c:pt>
                <c:pt idx="163">
                  <c:v>273</c:v>
                </c:pt>
                <c:pt idx="164">
                  <c:v>274</c:v>
                </c:pt>
                <c:pt idx="165">
                  <c:v>275</c:v>
                </c:pt>
                <c:pt idx="166">
                  <c:v>276</c:v>
                </c:pt>
                <c:pt idx="167">
                  <c:v>277</c:v>
                </c:pt>
                <c:pt idx="168">
                  <c:v>278</c:v>
                </c:pt>
                <c:pt idx="169">
                  <c:v>279</c:v>
                </c:pt>
                <c:pt idx="170">
                  <c:v>280</c:v>
                </c:pt>
                <c:pt idx="171">
                  <c:v>281</c:v>
                </c:pt>
                <c:pt idx="172">
                  <c:v>282</c:v>
                </c:pt>
                <c:pt idx="173">
                  <c:v>283</c:v>
                </c:pt>
                <c:pt idx="174">
                  <c:v>284</c:v>
                </c:pt>
                <c:pt idx="175">
                  <c:v>285</c:v>
                </c:pt>
                <c:pt idx="176">
                  <c:v>286</c:v>
                </c:pt>
                <c:pt idx="177">
                  <c:v>287</c:v>
                </c:pt>
                <c:pt idx="178">
                  <c:v>288</c:v>
                </c:pt>
                <c:pt idx="179">
                  <c:v>289</c:v>
                </c:pt>
                <c:pt idx="180">
                  <c:v>290</c:v>
                </c:pt>
                <c:pt idx="181">
                  <c:v>291</c:v>
                </c:pt>
                <c:pt idx="182">
                  <c:v>292</c:v>
                </c:pt>
                <c:pt idx="183">
                  <c:v>293</c:v>
                </c:pt>
                <c:pt idx="184">
                  <c:v>294</c:v>
                </c:pt>
                <c:pt idx="185">
                  <c:v>295</c:v>
                </c:pt>
                <c:pt idx="186">
                  <c:v>296</c:v>
                </c:pt>
                <c:pt idx="187">
                  <c:v>297</c:v>
                </c:pt>
                <c:pt idx="188">
                  <c:v>298</c:v>
                </c:pt>
                <c:pt idx="189">
                  <c:v>299</c:v>
                </c:pt>
                <c:pt idx="190">
                  <c:v>300</c:v>
                </c:pt>
                <c:pt idx="191">
                  <c:v>301</c:v>
                </c:pt>
                <c:pt idx="192">
                  <c:v>302</c:v>
                </c:pt>
                <c:pt idx="193">
                  <c:v>303</c:v>
                </c:pt>
                <c:pt idx="194">
                  <c:v>304</c:v>
                </c:pt>
                <c:pt idx="195">
                  <c:v>305</c:v>
                </c:pt>
                <c:pt idx="196">
                  <c:v>306</c:v>
                </c:pt>
                <c:pt idx="197">
                  <c:v>307</c:v>
                </c:pt>
                <c:pt idx="198">
                  <c:v>308</c:v>
                </c:pt>
                <c:pt idx="199">
                  <c:v>309</c:v>
                </c:pt>
                <c:pt idx="200">
                  <c:v>310</c:v>
                </c:pt>
                <c:pt idx="201">
                  <c:v>311</c:v>
                </c:pt>
                <c:pt idx="202">
                  <c:v>312</c:v>
                </c:pt>
                <c:pt idx="203">
                  <c:v>313</c:v>
                </c:pt>
                <c:pt idx="204">
                  <c:v>314</c:v>
                </c:pt>
                <c:pt idx="205">
                  <c:v>315</c:v>
                </c:pt>
                <c:pt idx="206">
                  <c:v>316</c:v>
                </c:pt>
                <c:pt idx="207">
                  <c:v>317</c:v>
                </c:pt>
                <c:pt idx="208">
                  <c:v>318</c:v>
                </c:pt>
                <c:pt idx="209">
                  <c:v>319</c:v>
                </c:pt>
                <c:pt idx="210">
                  <c:v>320</c:v>
                </c:pt>
                <c:pt idx="211">
                  <c:v>321</c:v>
                </c:pt>
                <c:pt idx="212">
                  <c:v>322</c:v>
                </c:pt>
                <c:pt idx="213">
                  <c:v>323</c:v>
                </c:pt>
                <c:pt idx="214">
                  <c:v>324</c:v>
                </c:pt>
                <c:pt idx="215">
                  <c:v>325</c:v>
                </c:pt>
                <c:pt idx="216">
                  <c:v>326</c:v>
                </c:pt>
                <c:pt idx="217">
                  <c:v>327</c:v>
                </c:pt>
                <c:pt idx="218">
                  <c:v>328</c:v>
                </c:pt>
                <c:pt idx="219">
                  <c:v>329</c:v>
                </c:pt>
                <c:pt idx="220">
                  <c:v>330</c:v>
                </c:pt>
              </c:numCache>
            </c:numRef>
          </c:xVal>
          <c:yVal>
            <c:numRef>
              <c:f>Sheet1!$R$110:$R$330</c:f>
              <c:numCache>
                <c:formatCode>General</c:formatCode>
                <c:ptCount val="221"/>
                <c:pt idx="0">
                  <c:v>110</c:v>
                </c:pt>
                <c:pt idx="1">
                  <c:v>111</c:v>
                </c:pt>
                <c:pt idx="2">
                  <c:v>112</c:v>
                </c:pt>
                <c:pt idx="3">
                  <c:v>113</c:v>
                </c:pt>
                <c:pt idx="4">
                  <c:v>114</c:v>
                </c:pt>
                <c:pt idx="5">
                  <c:v>115</c:v>
                </c:pt>
                <c:pt idx="6">
                  <c:v>116</c:v>
                </c:pt>
                <c:pt idx="7">
                  <c:v>117</c:v>
                </c:pt>
                <c:pt idx="8">
                  <c:v>118</c:v>
                </c:pt>
                <c:pt idx="9">
                  <c:v>119</c:v>
                </c:pt>
                <c:pt idx="10">
                  <c:v>120</c:v>
                </c:pt>
                <c:pt idx="11">
                  <c:v>121</c:v>
                </c:pt>
                <c:pt idx="12">
                  <c:v>122</c:v>
                </c:pt>
                <c:pt idx="13">
                  <c:v>123</c:v>
                </c:pt>
                <c:pt idx="14">
                  <c:v>124</c:v>
                </c:pt>
                <c:pt idx="15">
                  <c:v>125</c:v>
                </c:pt>
                <c:pt idx="16">
                  <c:v>126</c:v>
                </c:pt>
                <c:pt idx="17">
                  <c:v>127</c:v>
                </c:pt>
                <c:pt idx="18">
                  <c:v>128</c:v>
                </c:pt>
                <c:pt idx="19">
                  <c:v>129</c:v>
                </c:pt>
                <c:pt idx="20">
                  <c:v>130</c:v>
                </c:pt>
                <c:pt idx="21">
                  <c:v>131</c:v>
                </c:pt>
                <c:pt idx="22">
                  <c:v>132</c:v>
                </c:pt>
                <c:pt idx="23">
                  <c:v>133</c:v>
                </c:pt>
                <c:pt idx="24">
                  <c:v>134</c:v>
                </c:pt>
                <c:pt idx="25">
                  <c:v>135</c:v>
                </c:pt>
                <c:pt idx="26">
                  <c:v>136</c:v>
                </c:pt>
                <c:pt idx="27">
                  <c:v>137</c:v>
                </c:pt>
                <c:pt idx="28">
                  <c:v>138</c:v>
                </c:pt>
                <c:pt idx="29">
                  <c:v>139</c:v>
                </c:pt>
                <c:pt idx="30">
                  <c:v>140</c:v>
                </c:pt>
                <c:pt idx="31">
                  <c:v>141</c:v>
                </c:pt>
                <c:pt idx="32">
                  <c:v>142</c:v>
                </c:pt>
                <c:pt idx="33">
                  <c:v>143</c:v>
                </c:pt>
                <c:pt idx="34">
                  <c:v>144</c:v>
                </c:pt>
                <c:pt idx="35">
                  <c:v>145</c:v>
                </c:pt>
                <c:pt idx="36">
                  <c:v>146</c:v>
                </c:pt>
                <c:pt idx="37">
                  <c:v>147</c:v>
                </c:pt>
                <c:pt idx="38">
                  <c:v>148</c:v>
                </c:pt>
                <c:pt idx="39">
                  <c:v>149</c:v>
                </c:pt>
                <c:pt idx="40">
                  <c:v>150</c:v>
                </c:pt>
                <c:pt idx="41">
                  <c:v>151</c:v>
                </c:pt>
                <c:pt idx="42">
                  <c:v>152</c:v>
                </c:pt>
                <c:pt idx="43">
                  <c:v>153</c:v>
                </c:pt>
                <c:pt idx="44">
                  <c:v>154</c:v>
                </c:pt>
                <c:pt idx="45">
                  <c:v>155</c:v>
                </c:pt>
                <c:pt idx="46">
                  <c:v>156</c:v>
                </c:pt>
                <c:pt idx="47">
                  <c:v>157</c:v>
                </c:pt>
                <c:pt idx="48">
                  <c:v>158</c:v>
                </c:pt>
                <c:pt idx="49">
                  <c:v>159</c:v>
                </c:pt>
                <c:pt idx="50">
                  <c:v>160</c:v>
                </c:pt>
                <c:pt idx="51">
                  <c:v>161</c:v>
                </c:pt>
                <c:pt idx="52">
                  <c:v>162</c:v>
                </c:pt>
                <c:pt idx="53">
                  <c:v>163</c:v>
                </c:pt>
                <c:pt idx="54">
                  <c:v>164</c:v>
                </c:pt>
                <c:pt idx="55">
                  <c:v>165</c:v>
                </c:pt>
                <c:pt idx="56">
                  <c:v>166</c:v>
                </c:pt>
                <c:pt idx="57">
                  <c:v>167</c:v>
                </c:pt>
                <c:pt idx="58">
                  <c:v>168</c:v>
                </c:pt>
                <c:pt idx="59">
                  <c:v>169</c:v>
                </c:pt>
                <c:pt idx="60">
                  <c:v>170</c:v>
                </c:pt>
                <c:pt idx="61">
                  <c:v>171</c:v>
                </c:pt>
                <c:pt idx="62">
                  <c:v>172</c:v>
                </c:pt>
                <c:pt idx="63">
                  <c:v>173</c:v>
                </c:pt>
                <c:pt idx="64">
                  <c:v>174</c:v>
                </c:pt>
                <c:pt idx="65">
                  <c:v>175</c:v>
                </c:pt>
                <c:pt idx="66">
                  <c:v>176</c:v>
                </c:pt>
                <c:pt idx="67">
                  <c:v>177</c:v>
                </c:pt>
                <c:pt idx="68">
                  <c:v>178</c:v>
                </c:pt>
                <c:pt idx="69">
                  <c:v>179</c:v>
                </c:pt>
                <c:pt idx="70">
                  <c:v>180</c:v>
                </c:pt>
                <c:pt idx="71">
                  <c:v>181</c:v>
                </c:pt>
                <c:pt idx="72">
                  <c:v>182</c:v>
                </c:pt>
                <c:pt idx="73">
                  <c:v>183</c:v>
                </c:pt>
                <c:pt idx="74">
                  <c:v>184</c:v>
                </c:pt>
                <c:pt idx="75">
                  <c:v>185</c:v>
                </c:pt>
                <c:pt idx="76">
                  <c:v>186</c:v>
                </c:pt>
                <c:pt idx="77">
                  <c:v>187</c:v>
                </c:pt>
                <c:pt idx="78">
                  <c:v>188</c:v>
                </c:pt>
                <c:pt idx="79">
                  <c:v>189</c:v>
                </c:pt>
                <c:pt idx="80">
                  <c:v>190</c:v>
                </c:pt>
                <c:pt idx="81">
                  <c:v>191</c:v>
                </c:pt>
                <c:pt idx="82">
                  <c:v>192</c:v>
                </c:pt>
                <c:pt idx="83">
                  <c:v>193</c:v>
                </c:pt>
                <c:pt idx="84">
                  <c:v>194</c:v>
                </c:pt>
                <c:pt idx="85">
                  <c:v>195</c:v>
                </c:pt>
                <c:pt idx="86">
                  <c:v>196</c:v>
                </c:pt>
                <c:pt idx="87">
                  <c:v>197</c:v>
                </c:pt>
                <c:pt idx="88">
                  <c:v>198</c:v>
                </c:pt>
                <c:pt idx="89">
                  <c:v>199</c:v>
                </c:pt>
                <c:pt idx="90">
                  <c:v>200</c:v>
                </c:pt>
                <c:pt idx="91">
                  <c:v>201</c:v>
                </c:pt>
                <c:pt idx="92">
                  <c:v>202</c:v>
                </c:pt>
                <c:pt idx="93">
                  <c:v>203</c:v>
                </c:pt>
                <c:pt idx="94">
                  <c:v>204</c:v>
                </c:pt>
                <c:pt idx="95">
                  <c:v>205</c:v>
                </c:pt>
                <c:pt idx="96">
                  <c:v>206</c:v>
                </c:pt>
                <c:pt idx="97">
                  <c:v>207</c:v>
                </c:pt>
                <c:pt idx="98">
                  <c:v>208</c:v>
                </c:pt>
                <c:pt idx="99">
                  <c:v>209</c:v>
                </c:pt>
                <c:pt idx="100">
                  <c:v>210</c:v>
                </c:pt>
                <c:pt idx="101">
                  <c:v>211</c:v>
                </c:pt>
                <c:pt idx="102">
                  <c:v>212</c:v>
                </c:pt>
                <c:pt idx="103">
                  <c:v>213</c:v>
                </c:pt>
                <c:pt idx="104">
                  <c:v>214</c:v>
                </c:pt>
                <c:pt idx="105">
                  <c:v>215</c:v>
                </c:pt>
                <c:pt idx="106">
                  <c:v>216</c:v>
                </c:pt>
                <c:pt idx="107">
                  <c:v>217</c:v>
                </c:pt>
                <c:pt idx="108">
                  <c:v>218</c:v>
                </c:pt>
                <c:pt idx="109">
                  <c:v>219</c:v>
                </c:pt>
                <c:pt idx="110">
                  <c:v>220</c:v>
                </c:pt>
                <c:pt idx="111">
                  <c:v>221</c:v>
                </c:pt>
                <c:pt idx="112">
                  <c:v>222</c:v>
                </c:pt>
                <c:pt idx="113">
                  <c:v>223</c:v>
                </c:pt>
                <c:pt idx="114">
                  <c:v>224</c:v>
                </c:pt>
                <c:pt idx="115">
                  <c:v>225</c:v>
                </c:pt>
                <c:pt idx="116">
                  <c:v>226</c:v>
                </c:pt>
                <c:pt idx="117">
                  <c:v>227</c:v>
                </c:pt>
                <c:pt idx="118">
                  <c:v>228</c:v>
                </c:pt>
                <c:pt idx="119">
                  <c:v>229</c:v>
                </c:pt>
                <c:pt idx="120">
                  <c:v>230</c:v>
                </c:pt>
                <c:pt idx="121">
                  <c:v>231</c:v>
                </c:pt>
                <c:pt idx="122">
                  <c:v>232</c:v>
                </c:pt>
                <c:pt idx="123">
                  <c:v>233</c:v>
                </c:pt>
                <c:pt idx="124">
                  <c:v>234</c:v>
                </c:pt>
                <c:pt idx="125">
                  <c:v>235</c:v>
                </c:pt>
                <c:pt idx="126">
                  <c:v>236</c:v>
                </c:pt>
                <c:pt idx="127">
                  <c:v>237</c:v>
                </c:pt>
                <c:pt idx="128">
                  <c:v>238</c:v>
                </c:pt>
                <c:pt idx="129">
                  <c:v>239</c:v>
                </c:pt>
                <c:pt idx="130">
                  <c:v>240</c:v>
                </c:pt>
                <c:pt idx="131">
                  <c:v>241</c:v>
                </c:pt>
                <c:pt idx="132">
                  <c:v>242</c:v>
                </c:pt>
                <c:pt idx="133">
                  <c:v>243</c:v>
                </c:pt>
                <c:pt idx="134">
                  <c:v>244</c:v>
                </c:pt>
                <c:pt idx="135">
                  <c:v>245</c:v>
                </c:pt>
                <c:pt idx="136">
                  <c:v>246</c:v>
                </c:pt>
                <c:pt idx="137">
                  <c:v>247</c:v>
                </c:pt>
                <c:pt idx="138">
                  <c:v>248</c:v>
                </c:pt>
                <c:pt idx="139">
                  <c:v>249</c:v>
                </c:pt>
                <c:pt idx="140">
                  <c:v>250</c:v>
                </c:pt>
                <c:pt idx="141">
                  <c:v>251</c:v>
                </c:pt>
                <c:pt idx="142">
                  <c:v>252</c:v>
                </c:pt>
                <c:pt idx="143">
                  <c:v>253</c:v>
                </c:pt>
                <c:pt idx="144">
                  <c:v>254</c:v>
                </c:pt>
                <c:pt idx="145">
                  <c:v>255</c:v>
                </c:pt>
                <c:pt idx="146">
                  <c:v>256</c:v>
                </c:pt>
                <c:pt idx="147">
                  <c:v>257</c:v>
                </c:pt>
                <c:pt idx="148">
                  <c:v>258</c:v>
                </c:pt>
                <c:pt idx="149">
                  <c:v>259</c:v>
                </c:pt>
                <c:pt idx="150">
                  <c:v>260</c:v>
                </c:pt>
                <c:pt idx="151">
                  <c:v>261</c:v>
                </c:pt>
                <c:pt idx="152">
                  <c:v>262</c:v>
                </c:pt>
                <c:pt idx="153">
                  <c:v>263</c:v>
                </c:pt>
                <c:pt idx="154">
                  <c:v>264</c:v>
                </c:pt>
                <c:pt idx="155">
                  <c:v>265</c:v>
                </c:pt>
                <c:pt idx="156">
                  <c:v>266</c:v>
                </c:pt>
                <c:pt idx="157">
                  <c:v>267</c:v>
                </c:pt>
                <c:pt idx="158">
                  <c:v>268</c:v>
                </c:pt>
                <c:pt idx="159">
                  <c:v>269</c:v>
                </c:pt>
                <c:pt idx="160">
                  <c:v>270</c:v>
                </c:pt>
                <c:pt idx="161">
                  <c:v>271</c:v>
                </c:pt>
                <c:pt idx="162">
                  <c:v>272</c:v>
                </c:pt>
                <c:pt idx="163">
                  <c:v>273</c:v>
                </c:pt>
                <c:pt idx="164">
                  <c:v>274</c:v>
                </c:pt>
                <c:pt idx="165">
                  <c:v>275</c:v>
                </c:pt>
                <c:pt idx="166">
                  <c:v>276</c:v>
                </c:pt>
                <c:pt idx="167">
                  <c:v>277</c:v>
                </c:pt>
                <c:pt idx="168">
                  <c:v>278</c:v>
                </c:pt>
                <c:pt idx="169">
                  <c:v>279</c:v>
                </c:pt>
                <c:pt idx="170">
                  <c:v>280</c:v>
                </c:pt>
                <c:pt idx="171">
                  <c:v>281</c:v>
                </c:pt>
                <c:pt idx="172">
                  <c:v>282</c:v>
                </c:pt>
                <c:pt idx="173">
                  <c:v>283</c:v>
                </c:pt>
                <c:pt idx="174">
                  <c:v>284</c:v>
                </c:pt>
                <c:pt idx="175">
                  <c:v>285</c:v>
                </c:pt>
                <c:pt idx="176">
                  <c:v>286</c:v>
                </c:pt>
                <c:pt idx="177">
                  <c:v>287</c:v>
                </c:pt>
                <c:pt idx="178">
                  <c:v>288</c:v>
                </c:pt>
                <c:pt idx="179">
                  <c:v>289</c:v>
                </c:pt>
                <c:pt idx="180">
                  <c:v>290</c:v>
                </c:pt>
                <c:pt idx="181">
                  <c:v>291</c:v>
                </c:pt>
                <c:pt idx="182">
                  <c:v>292</c:v>
                </c:pt>
                <c:pt idx="183">
                  <c:v>293</c:v>
                </c:pt>
                <c:pt idx="184">
                  <c:v>294</c:v>
                </c:pt>
                <c:pt idx="185">
                  <c:v>295</c:v>
                </c:pt>
                <c:pt idx="186">
                  <c:v>296</c:v>
                </c:pt>
                <c:pt idx="187">
                  <c:v>297</c:v>
                </c:pt>
                <c:pt idx="188">
                  <c:v>298</c:v>
                </c:pt>
                <c:pt idx="189">
                  <c:v>299</c:v>
                </c:pt>
                <c:pt idx="190">
                  <c:v>300</c:v>
                </c:pt>
                <c:pt idx="191">
                  <c:v>301</c:v>
                </c:pt>
                <c:pt idx="192">
                  <c:v>302</c:v>
                </c:pt>
                <c:pt idx="193">
                  <c:v>303</c:v>
                </c:pt>
                <c:pt idx="194">
                  <c:v>304</c:v>
                </c:pt>
                <c:pt idx="195">
                  <c:v>305</c:v>
                </c:pt>
                <c:pt idx="196">
                  <c:v>306</c:v>
                </c:pt>
                <c:pt idx="197">
                  <c:v>307</c:v>
                </c:pt>
                <c:pt idx="198">
                  <c:v>308</c:v>
                </c:pt>
                <c:pt idx="199">
                  <c:v>309</c:v>
                </c:pt>
                <c:pt idx="200">
                  <c:v>310</c:v>
                </c:pt>
                <c:pt idx="201">
                  <c:v>311</c:v>
                </c:pt>
                <c:pt idx="202">
                  <c:v>312</c:v>
                </c:pt>
                <c:pt idx="203">
                  <c:v>313</c:v>
                </c:pt>
                <c:pt idx="204">
                  <c:v>314</c:v>
                </c:pt>
                <c:pt idx="205">
                  <c:v>315</c:v>
                </c:pt>
                <c:pt idx="206">
                  <c:v>316</c:v>
                </c:pt>
                <c:pt idx="207">
                  <c:v>317</c:v>
                </c:pt>
                <c:pt idx="208">
                  <c:v>318</c:v>
                </c:pt>
                <c:pt idx="209">
                  <c:v>319</c:v>
                </c:pt>
                <c:pt idx="210">
                  <c:v>320</c:v>
                </c:pt>
                <c:pt idx="211">
                  <c:v>321</c:v>
                </c:pt>
                <c:pt idx="212">
                  <c:v>322</c:v>
                </c:pt>
                <c:pt idx="213">
                  <c:v>323</c:v>
                </c:pt>
                <c:pt idx="214">
                  <c:v>324</c:v>
                </c:pt>
                <c:pt idx="215">
                  <c:v>325</c:v>
                </c:pt>
                <c:pt idx="216">
                  <c:v>326</c:v>
                </c:pt>
                <c:pt idx="217">
                  <c:v>327</c:v>
                </c:pt>
                <c:pt idx="218">
                  <c:v>328</c:v>
                </c:pt>
                <c:pt idx="219">
                  <c:v>329</c:v>
                </c:pt>
                <c:pt idx="220">
                  <c:v>330</c:v>
                </c:pt>
              </c:numCache>
            </c:numRef>
          </c:yVal>
          <c:smooth val="0"/>
        </c:ser>
        <c:dLbls>
          <c:showLegendKey val="0"/>
          <c:showVal val="0"/>
          <c:showCatName val="0"/>
          <c:showSerName val="0"/>
          <c:showPercent val="0"/>
          <c:showBubbleSize val="0"/>
        </c:dLbls>
        <c:axId val="299731584"/>
        <c:axId val="299897984"/>
      </c:scatterChart>
      <c:valAx>
        <c:axId val="299731584"/>
        <c:scaling>
          <c:orientation val="minMax"/>
          <c:max val="330"/>
          <c:min val="110"/>
        </c:scaling>
        <c:delete val="0"/>
        <c:axPos val="b"/>
        <c:title>
          <c:tx>
            <c:rich>
              <a:bodyPr/>
              <a:lstStyle/>
              <a:p>
                <a:pPr>
                  <a:defRPr b="0" i="0" baseline="0"/>
                </a:pPr>
                <a:r>
                  <a:rPr lang="en-GB" b="0" i="0" baseline="0">
                    <a:latin typeface="Times New Roman" pitchFamily="18" charset="0"/>
                  </a:rPr>
                  <a:t>right humerus (mm)</a:t>
                </a:r>
              </a:p>
            </c:rich>
          </c:tx>
          <c:overlay val="0"/>
        </c:title>
        <c:numFmt formatCode="General" sourceLinked="1"/>
        <c:majorTickMark val="none"/>
        <c:minorTickMark val="none"/>
        <c:tickLblPos val="nextTo"/>
        <c:txPr>
          <a:bodyPr/>
          <a:lstStyle/>
          <a:p>
            <a:pPr>
              <a:defRPr baseline="0">
                <a:latin typeface="Times New Roman" pitchFamily="18" charset="0"/>
              </a:defRPr>
            </a:pPr>
            <a:endParaRPr lang="en-US"/>
          </a:p>
        </c:txPr>
        <c:crossAx val="299897984"/>
        <c:crosses val="autoZero"/>
        <c:crossBetween val="midCat"/>
        <c:majorUnit val="20"/>
      </c:valAx>
      <c:valAx>
        <c:axId val="299897984"/>
        <c:scaling>
          <c:orientation val="minMax"/>
          <c:max val="330"/>
          <c:min val="110"/>
        </c:scaling>
        <c:delete val="0"/>
        <c:axPos val="l"/>
        <c:majorGridlines/>
        <c:title>
          <c:tx>
            <c:rich>
              <a:bodyPr/>
              <a:lstStyle/>
              <a:p>
                <a:pPr>
                  <a:defRPr b="0" i="0" baseline="0">
                    <a:latin typeface="Times New Roman" pitchFamily="18" charset="0"/>
                  </a:defRPr>
                </a:pPr>
                <a:r>
                  <a:rPr lang="en-GB" b="0" i="0" baseline="0">
                    <a:latin typeface="Times New Roman" pitchFamily="18" charset="0"/>
                  </a:rPr>
                  <a:t>left humerus (mm)</a:t>
                </a:r>
              </a:p>
            </c:rich>
          </c:tx>
          <c:overlay val="0"/>
        </c:title>
        <c:numFmt formatCode="General" sourceLinked="1"/>
        <c:majorTickMark val="none"/>
        <c:minorTickMark val="none"/>
        <c:tickLblPos val="nextTo"/>
        <c:txPr>
          <a:bodyPr/>
          <a:lstStyle/>
          <a:p>
            <a:pPr>
              <a:defRPr baseline="0">
                <a:latin typeface="Times New Roman" pitchFamily="18" charset="0"/>
              </a:defRPr>
            </a:pPr>
            <a:endParaRPr lang="en-US"/>
          </a:p>
        </c:txPr>
        <c:crossAx val="299731584"/>
        <c:crosses val="autoZero"/>
        <c:crossBetween val="midCat"/>
        <c:majorUnit val="20"/>
      </c:valAx>
    </c:plotArea>
    <c:legend>
      <c:legendPos val="r"/>
      <c:legendEntry>
        <c:idx val="1"/>
        <c:delete val="1"/>
      </c:legendEntry>
      <c:layout>
        <c:manualLayout>
          <c:xMode val="edge"/>
          <c:yMode val="edge"/>
          <c:x val="3.6801142480597994E-2"/>
          <c:y val="0.87925001341726161"/>
          <c:w val="0.91735966328718566"/>
          <c:h val="0.10290543022849406"/>
        </c:manualLayout>
      </c:layout>
      <c:overlay val="0"/>
      <c:txPr>
        <a:bodyPr/>
        <a:lstStyle/>
        <a:p>
          <a:pPr>
            <a:defRPr baseline="0">
              <a:latin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i="1" baseline="0">
                <a:latin typeface="Times New Roman" pitchFamily="18" charset="0"/>
              </a:rPr>
              <a:t>Pan troglodytes </a:t>
            </a:r>
            <a:r>
              <a:rPr lang="en-US" sz="1100" b="0" i="0" baseline="0">
                <a:latin typeface="Times New Roman" pitchFamily="18" charset="0"/>
              </a:rPr>
              <a:t>female humeral length by individual</a:t>
            </a:r>
          </a:p>
        </c:rich>
      </c:tx>
      <c:overlay val="0"/>
    </c:title>
    <c:autoTitleDeleted val="0"/>
    <c:plotArea>
      <c:layout>
        <c:manualLayout>
          <c:layoutTarget val="inner"/>
          <c:xMode val="edge"/>
          <c:yMode val="edge"/>
          <c:x val="0.11853940554727962"/>
          <c:y val="0.11283491632584984"/>
          <c:w val="0.7942352539547427"/>
          <c:h val="0.68794440131603263"/>
        </c:manualLayout>
      </c:layout>
      <c:scatterChart>
        <c:scatterStyle val="lineMarker"/>
        <c:varyColors val="0"/>
        <c:ser>
          <c:idx val="0"/>
          <c:order val="0"/>
          <c:tx>
            <c:v>individuals</c:v>
          </c:tx>
          <c:spPr>
            <a:ln w="28575">
              <a:noFill/>
            </a:ln>
          </c:spPr>
          <c:marker>
            <c:symbol val="circle"/>
            <c:size val="2"/>
          </c:marker>
          <c:xVal>
            <c:numRef>
              <c:f>Sheet1!$A$1:$A$90</c:f>
              <c:numCache>
                <c:formatCode>General</c:formatCode>
                <c:ptCount val="90"/>
                <c:pt idx="0">
                  <c:v>27</c:v>
                </c:pt>
                <c:pt idx="1">
                  <c:v>45</c:v>
                </c:pt>
                <c:pt idx="2">
                  <c:v>35</c:v>
                </c:pt>
                <c:pt idx="3">
                  <c:v>46</c:v>
                </c:pt>
                <c:pt idx="5">
                  <c:v>53</c:v>
                </c:pt>
                <c:pt idx="6">
                  <c:v>47</c:v>
                </c:pt>
                <c:pt idx="7">
                  <c:v>55</c:v>
                </c:pt>
                <c:pt idx="8">
                  <c:v>62</c:v>
                </c:pt>
                <c:pt idx="9">
                  <c:v>16</c:v>
                </c:pt>
                <c:pt idx="10">
                  <c:v>62</c:v>
                </c:pt>
                <c:pt idx="12">
                  <c:v>55</c:v>
                </c:pt>
                <c:pt idx="13">
                  <c:v>47</c:v>
                </c:pt>
                <c:pt idx="14">
                  <c:v>48</c:v>
                </c:pt>
                <c:pt idx="15">
                  <c:v>53</c:v>
                </c:pt>
                <c:pt idx="16">
                  <c:v>19</c:v>
                </c:pt>
                <c:pt idx="17">
                  <c:v>64</c:v>
                </c:pt>
                <c:pt idx="18">
                  <c:v>60</c:v>
                </c:pt>
                <c:pt idx="19">
                  <c:v>64</c:v>
                </c:pt>
                <c:pt idx="20">
                  <c:v>62</c:v>
                </c:pt>
                <c:pt idx="21">
                  <c:v>64</c:v>
                </c:pt>
                <c:pt idx="22">
                  <c:v>64</c:v>
                </c:pt>
                <c:pt idx="23">
                  <c:v>58</c:v>
                </c:pt>
                <c:pt idx="24">
                  <c:v>64</c:v>
                </c:pt>
                <c:pt idx="25">
                  <c:v>64</c:v>
                </c:pt>
                <c:pt idx="26">
                  <c:v>64</c:v>
                </c:pt>
                <c:pt idx="27">
                  <c:v>62</c:v>
                </c:pt>
                <c:pt idx="28">
                  <c:v>64</c:v>
                </c:pt>
                <c:pt idx="29">
                  <c:v>43</c:v>
                </c:pt>
                <c:pt idx="30">
                  <c:v>62</c:v>
                </c:pt>
                <c:pt idx="31">
                  <c:v>64</c:v>
                </c:pt>
                <c:pt idx="32">
                  <c:v>56</c:v>
                </c:pt>
                <c:pt idx="33">
                  <c:v>52</c:v>
                </c:pt>
                <c:pt idx="34">
                  <c:v>64</c:v>
                </c:pt>
                <c:pt idx="35">
                  <c:v>64</c:v>
                </c:pt>
                <c:pt idx="36">
                  <c:v>31</c:v>
                </c:pt>
                <c:pt idx="37">
                  <c:v>49</c:v>
                </c:pt>
                <c:pt idx="38">
                  <c:v>10</c:v>
                </c:pt>
                <c:pt idx="39">
                  <c:v>64</c:v>
                </c:pt>
                <c:pt idx="40">
                  <c:v>64</c:v>
                </c:pt>
                <c:pt idx="41">
                  <c:v>38</c:v>
                </c:pt>
                <c:pt idx="42">
                  <c:v>16</c:v>
                </c:pt>
                <c:pt idx="43">
                  <c:v>64</c:v>
                </c:pt>
                <c:pt idx="44">
                  <c:v>64</c:v>
                </c:pt>
                <c:pt idx="45">
                  <c:v>33</c:v>
                </c:pt>
                <c:pt idx="46">
                  <c:v>64</c:v>
                </c:pt>
                <c:pt idx="47">
                  <c:v>30</c:v>
                </c:pt>
                <c:pt idx="48">
                  <c:v>29</c:v>
                </c:pt>
                <c:pt idx="49">
                  <c:v>64</c:v>
                </c:pt>
                <c:pt idx="50">
                  <c:v>62</c:v>
                </c:pt>
                <c:pt idx="51">
                  <c:v>64</c:v>
                </c:pt>
                <c:pt idx="52">
                  <c:v>25</c:v>
                </c:pt>
                <c:pt idx="53">
                  <c:v>64</c:v>
                </c:pt>
                <c:pt idx="54">
                  <c:v>46</c:v>
                </c:pt>
                <c:pt idx="55">
                  <c:v>64</c:v>
                </c:pt>
                <c:pt idx="56">
                  <c:v>64</c:v>
                </c:pt>
                <c:pt idx="57">
                  <c:v>64</c:v>
                </c:pt>
                <c:pt idx="58">
                  <c:v>63</c:v>
                </c:pt>
                <c:pt idx="59">
                  <c:v>63</c:v>
                </c:pt>
                <c:pt idx="60">
                  <c:v>63</c:v>
                </c:pt>
                <c:pt idx="61">
                  <c:v>63</c:v>
                </c:pt>
                <c:pt idx="62">
                  <c:v>22</c:v>
                </c:pt>
                <c:pt idx="63">
                  <c:v>35</c:v>
                </c:pt>
                <c:pt idx="64">
                  <c:v>25</c:v>
                </c:pt>
                <c:pt idx="65">
                  <c:v>29</c:v>
                </c:pt>
                <c:pt idx="66">
                  <c:v>10</c:v>
                </c:pt>
                <c:pt idx="67">
                  <c:v>60</c:v>
                </c:pt>
                <c:pt idx="68">
                  <c:v>62</c:v>
                </c:pt>
                <c:pt idx="69">
                  <c:v>45</c:v>
                </c:pt>
                <c:pt idx="70">
                  <c:v>15</c:v>
                </c:pt>
                <c:pt idx="71">
                  <c:v>28</c:v>
                </c:pt>
                <c:pt idx="72">
                  <c:v>60</c:v>
                </c:pt>
                <c:pt idx="73">
                  <c:v>43</c:v>
                </c:pt>
                <c:pt idx="74">
                  <c:v>52</c:v>
                </c:pt>
                <c:pt idx="75">
                  <c:v>62</c:v>
                </c:pt>
                <c:pt idx="76">
                  <c:v>64</c:v>
                </c:pt>
                <c:pt idx="77">
                  <c:v>57</c:v>
                </c:pt>
                <c:pt idx="78">
                  <c:v>25</c:v>
                </c:pt>
                <c:pt idx="80">
                  <c:v>56</c:v>
                </c:pt>
                <c:pt idx="81">
                  <c:v>48</c:v>
                </c:pt>
                <c:pt idx="82">
                  <c:v>55</c:v>
                </c:pt>
                <c:pt idx="83">
                  <c:v>41</c:v>
                </c:pt>
                <c:pt idx="84">
                  <c:v>48</c:v>
                </c:pt>
                <c:pt idx="85">
                  <c:v>32</c:v>
                </c:pt>
                <c:pt idx="87">
                  <c:v>62</c:v>
                </c:pt>
                <c:pt idx="88">
                  <c:v>61</c:v>
                </c:pt>
                <c:pt idx="89">
                  <c:v>60</c:v>
                </c:pt>
              </c:numCache>
            </c:numRef>
          </c:xVal>
          <c:yVal>
            <c:numRef>
              <c:f>Sheet1!$B$1:$B$90</c:f>
              <c:numCache>
                <c:formatCode>General</c:formatCode>
                <c:ptCount val="90"/>
                <c:pt idx="1">
                  <c:v>222</c:v>
                </c:pt>
                <c:pt idx="2">
                  <c:v>208</c:v>
                </c:pt>
                <c:pt idx="3">
                  <c:v>214</c:v>
                </c:pt>
                <c:pt idx="4">
                  <c:v>242.5</c:v>
                </c:pt>
                <c:pt idx="5">
                  <c:v>261</c:v>
                </c:pt>
                <c:pt idx="6">
                  <c:v>236</c:v>
                </c:pt>
                <c:pt idx="8">
                  <c:v>273</c:v>
                </c:pt>
                <c:pt idx="10">
                  <c:v>295.5</c:v>
                </c:pt>
                <c:pt idx="11">
                  <c:v>301.5</c:v>
                </c:pt>
                <c:pt idx="12">
                  <c:v>281.5</c:v>
                </c:pt>
                <c:pt idx="13">
                  <c:v>218</c:v>
                </c:pt>
                <c:pt idx="14">
                  <c:v>262</c:v>
                </c:pt>
                <c:pt idx="15">
                  <c:v>275</c:v>
                </c:pt>
                <c:pt idx="17">
                  <c:v>272</c:v>
                </c:pt>
                <c:pt idx="18">
                  <c:v>260.5</c:v>
                </c:pt>
                <c:pt idx="19">
                  <c:v>276</c:v>
                </c:pt>
                <c:pt idx="20">
                  <c:v>299</c:v>
                </c:pt>
                <c:pt idx="21">
                  <c:v>297</c:v>
                </c:pt>
                <c:pt idx="22">
                  <c:v>310</c:v>
                </c:pt>
                <c:pt idx="23">
                  <c:v>273</c:v>
                </c:pt>
                <c:pt idx="24">
                  <c:v>304.5</c:v>
                </c:pt>
                <c:pt idx="25">
                  <c:v>314</c:v>
                </c:pt>
                <c:pt idx="26">
                  <c:v>293</c:v>
                </c:pt>
                <c:pt idx="27">
                  <c:v>262.5</c:v>
                </c:pt>
                <c:pt idx="28">
                  <c:v>278</c:v>
                </c:pt>
                <c:pt idx="29">
                  <c:v>303.5</c:v>
                </c:pt>
                <c:pt idx="30">
                  <c:v>302.5</c:v>
                </c:pt>
                <c:pt idx="31">
                  <c:v>292.5</c:v>
                </c:pt>
                <c:pt idx="32">
                  <c:v>211</c:v>
                </c:pt>
                <c:pt idx="33">
                  <c:v>233</c:v>
                </c:pt>
                <c:pt idx="34">
                  <c:v>291</c:v>
                </c:pt>
                <c:pt idx="35">
                  <c:v>293</c:v>
                </c:pt>
                <c:pt idx="36">
                  <c:v>173.5</c:v>
                </c:pt>
                <c:pt idx="37">
                  <c:v>215</c:v>
                </c:pt>
                <c:pt idx="38">
                  <c:v>100.5</c:v>
                </c:pt>
                <c:pt idx="39">
                  <c:v>304.5</c:v>
                </c:pt>
                <c:pt idx="40">
                  <c:v>279.5</c:v>
                </c:pt>
                <c:pt idx="41">
                  <c:v>201.5</c:v>
                </c:pt>
                <c:pt idx="42">
                  <c:v>138.5</c:v>
                </c:pt>
                <c:pt idx="43">
                  <c:v>289</c:v>
                </c:pt>
                <c:pt idx="44">
                  <c:v>322</c:v>
                </c:pt>
                <c:pt idx="45">
                  <c:v>205</c:v>
                </c:pt>
                <c:pt idx="46">
                  <c:v>313.5</c:v>
                </c:pt>
                <c:pt idx="47">
                  <c:v>170</c:v>
                </c:pt>
                <c:pt idx="48">
                  <c:v>169.5</c:v>
                </c:pt>
                <c:pt idx="49">
                  <c:v>291.5</c:v>
                </c:pt>
                <c:pt idx="50">
                  <c:v>315</c:v>
                </c:pt>
                <c:pt idx="51">
                  <c:v>306.5</c:v>
                </c:pt>
                <c:pt idx="53">
                  <c:v>262.5</c:v>
                </c:pt>
                <c:pt idx="54">
                  <c:v>227</c:v>
                </c:pt>
                <c:pt idx="55">
                  <c:v>299</c:v>
                </c:pt>
                <c:pt idx="56">
                  <c:v>276.5</c:v>
                </c:pt>
                <c:pt idx="57">
                  <c:v>301</c:v>
                </c:pt>
                <c:pt idx="58">
                  <c:v>287.5</c:v>
                </c:pt>
                <c:pt idx="59">
                  <c:v>305</c:v>
                </c:pt>
                <c:pt idx="60">
                  <c:v>296</c:v>
                </c:pt>
                <c:pt idx="61">
                  <c:v>299.5</c:v>
                </c:pt>
                <c:pt idx="62">
                  <c:v>150</c:v>
                </c:pt>
                <c:pt idx="63">
                  <c:v>189.5</c:v>
                </c:pt>
                <c:pt idx="64">
                  <c:v>187.5</c:v>
                </c:pt>
                <c:pt idx="65">
                  <c:v>178.5</c:v>
                </c:pt>
                <c:pt idx="66">
                  <c:v>122</c:v>
                </c:pt>
                <c:pt idx="67">
                  <c:v>292</c:v>
                </c:pt>
                <c:pt idx="68">
                  <c:v>270.5</c:v>
                </c:pt>
                <c:pt idx="69">
                  <c:v>220.5</c:v>
                </c:pt>
                <c:pt idx="70">
                  <c:v>140</c:v>
                </c:pt>
                <c:pt idx="71">
                  <c:v>216</c:v>
                </c:pt>
                <c:pt idx="72">
                  <c:v>304.5</c:v>
                </c:pt>
                <c:pt idx="73">
                  <c:v>241</c:v>
                </c:pt>
                <c:pt idx="74">
                  <c:v>257.5</c:v>
                </c:pt>
                <c:pt idx="75">
                  <c:v>270.5</c:v>
                </c:pt>
                <c:pt idx="76">
                  <c:v>279</c:v>
                </c:pt>
                <c:pt idx="77">
                  <c:v>317.5</c:v>
                </c:pt>
                <c:pt idx="78">
                  <c:v>171.5</c:v>
                </c:pt>
                <c:pt idx="79">
                  <c:v>275.5</c:v>
                </c:pt>
                <c:pt idx="80">
                  <c:v>280.5</c:v>
                </c:pt>
                <c:pt idx="81">
                  <c:v>225.5</c:v>
                </c:pt>
                <c:pt idx="82">
                  <c:v>241.5</c:v>
                </c:pt>
                <c:pt idx="83">
                  <c:v>224.5</c:v>
                </c:pt>
                <c:pt idx="84">
                  <c:v>261.5</c:v>
                </c:pt>
                <c:pt idx="85">
                  <c:v>186</c:v>
                </c:pt>
                <c:pt idx="86">
                  <c:v>203</c:v>
                </c:pt>
                <c:pt idx="87">
                  <c:v>285</c:v>
                </c:pt>
                <c:pt idx="88">
                  <c:v>272</c:v>
                </c:pt>
                <c:pt idx="89">
                  <c:v>266.5</c:v>
                </c:pt>
              </c:numCache>
            </c:numRef>
          </c:yVal>
          <c:smooth val="0"/>
        </c:ser>
        <c:dLbls>
          <c:showLegendKey val="0"/>
          <c:showVal val="0"/>
          <c:showCatName val="0"/>
          <c:showSerName val="0"/>
          <c:showPercent val="0"/>
          <c:showBubbleSize val="0"/>
        </c:dLbls>
        <c:axId val="286733440"/>
        <c:axId val="286735360"/>
      </c:scatterChart>
      <c:valAx>
        <c:axId val="286733440"/>
        <c:scaling>
          <c:orientation val="minMax"/>
          <c:max val="65"/>
          <c:min val="8"/>
        </c:scaling>
        <c:delete val="0"/>
        <c:axPos val="b"/>
        <c:title>
          <c:tx>
            <c:rich>
              <a:bodyPr/>
              <a:lstStyle/>
              <a:p>
                <a:pPr>
                  <a:defRPr b="0" i="0" baseline="0">
                    <a:latin typeface="Times New Roman" pitchFamily="18" charset="0"/>
                  </a:defRPr>
                </a:pPr>
                <a:r>
                  <a:rPr lang="en-GB" b="0" i="0" baseline="0">
                    <a:latin typeface="Times New Roman" pitchFamily="18" charset="0"/>
                  </a:rPr>
                  <a:t>dental score</a:t>
                </a:r>
              </a:p>
            </c:rich>
          </c:tx>
          <c:overlay val="0"/>
        </c:title>
        <c:numFmt formatCode="General" sourceLinked="1"/>
        <c:majorTickMark val="none"/>
        <c:minorTickMark val="none"/>
        <c:tickLblPos val="nextTo"/>
        <c:txPr>
          <a:bodyPr/>
          <a:lstStyle/>
          <a:p>
            <a:pPr>
              <a:defRPr baseline="0">
                <a:latin typeface="Times New Roman" pitchFamily="18" charset="0"/>
              </a:defRPr>
            </a:pPr>
            <a:endParaRPr lang="en-US"/>
          </a:p>
        </c:txPr>
        <c:crossAx val="286735360"/>
        <c:crosses val="autoZero"/>
        <c:crossBetween val="midCat"/>
        <c:majorUnit val="5"/>
      </c:valAx>
      <c:valAx>
        <c:axId val="286735360"/>
        <c:scaling>
          <c:orientation val="minMax"/>
          <c:min val="95"/>
        </c:scaling>
        <c:delete val="0"/>
        <c:axPos val="l"/>
        <c:majorGridlines/>
        <c:title>
          <c:tx>
            <c:rich>
              <a:bodyPr/>
              <a:lstStyle/>
              <a:p>
                <a:pPr>
                  <a:defRPr/>
                </a:pPr>
                <a:r>
                  <a:rPr lang="en-GB" b="0" i="0" baseline="0">
                    <a:latin typeface="Times New Roman" pitchFamily="18" charset="0"/>
                  </a:rPr>
                  <a:t>humeral length (mm)</a:t>
                </a:r>
              </a:p>
            </c:rich>
          </c:tx>
          <c:overlay val="0"/>
        </c:title>
        <c:numFmt formatCode="General" sourceLinked="1"/>
        <c:majorTickMark val="none"/>
        <c:minorTickMark val="none"/>
        <c:tickLblPos val="nextTo"/>
        <c:txPr>
          <a:bodyPr/>
          <a:lstStyle/>
          <a:p>
            <a:pPr>
              <a:defRPr baseline="0">
                <a:latin typeface="Times New Roman" pitchFamily="18" charset="0"/>
              </a:defRPr>
            </a:pPr>
            <a:endParaRPr lang="en-US"/>
          </a:p>
        </c:txPr>
        <c:crossAx val="286733440"/>
        <c:crosses val="autoZero"/>
        <c:crossBetween val="midCat"/>
        <c:majorUnit val="4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0" i="0" baseline="0">
                <a:latin typeface="Times New Roman" pitchFamily="18" charset="0"/>
              </a:rPr>
              <a:t>Multiple linear regressions for bone length in </a:t>
            </a:r>
            <a:r>
              <a:rPr lang="en-GB" sz="1200" b="0" i="1" baseline="0">
                <a:latin typeface="Times New Roman" pitchFamily="18" charset="0"/>
              </a:rPr>
              <a:t>Pan troglodytes</a:t>
            </a:r>
            <a:r>
              <a:rPr lang="en-GB" sz="1200" b="0" i="0" baseline="0">
                <a:latin typeface="Times New Roman" pitchFamily="18" charset="0"/>
              </a:rPr>
              <a:t> females</a:t>
            </a:r>
            <a:endParaRPr lang="en-GB" sz="1200" b="0" i="1" baseline="0">
              <a:latin typeface="Times New Roman" pitchFamily="18" charset="0"/>
            </a:endParaRPr>
          </a:p>
        </c:rich>
      </c:tx>
      <c:layout>
        <c:manualLayout>
          <c:xMode val="edge"/>
          <c:yMode val="edge"/>
          <c:x val="0.15467676464106109"/>
          <c:y val="5.7861646681849489E-2"/>
        </c:manualLayout>
      </c:layout>
      <c:overlay val="0"/>
    </c:title>
    <c:autoTitleDeleted val="0"/>
    <c:plotArea>
      <c:layout>
        <c:manualLayout>
          <c:layoutTarget val="inner"/>
          <c:xMode val="edge"/>
          <c:yMode val="edge"/>
          <c:x val="0.10056411962589183"/>
          <c:y val="0.12625645050392756"/>
          <c:w val="0.69085819200484699"/>
          <c:h val="0.74465353309435711"/>
        </c:manualLayout>
      </c:layout>
      <c:scatterChart>
        <c:scatterStyle val="lineMarker"/>
        <c:varyColors val="0"/>
        <c:ser>
          <c:idx val="0"/>
          <c:order val="0"/>
          <c:tx>
            <c:strRef>
              <c:f>Sheet1!$E$45</c:f>
              <c:strCache>
                <c:ptCount val="1"/>
                <c:pt idx="0">
                  <c:v>humerus</c:v>
                </c:pt>
              </c:strCache>
            </c:strRef>
          </c:tx>
          <c:spPr>
            <a:ln w="28575">
              <a:noFill/>
            </a:ln>
          </c:spPr>
          <c:marker>
            <c:symbol val="none"/>
          </c:marker>
          <c:trendline>
            <c:spPr>
              <a:ln>
                <a:solidFill>
                  <a:srgbClr val="00B050"/>
                </a:solidFill>
                <a:prstDash val="dash"/>
              </a:ln>
            </c:spPr>
            <c:trendlineType val="linear"/>
            <c:dispRSqr val="0"/>
            <c:dispEq val="0"/>
          </c:trendline>
          <c:xVal>
            <c:numRef>
              <c:f>Sheet1!$D$46:$D$223</c:f>
              <c:numCache>
                <c:formatCode>General</c:formatCode>
                <c:ptCount val="178"/>
                <c:pt idx="22">
                  <c:v>27</c:v>
                </c:pt>
                <c:pt idx="23">
                  <c:v>45</c:v>
                </c:pt>
                <c:pt idx="24">
                  <c:v>35</c:v>
                </c:pt>
                <c:pt idx="25">
                  <c:v>46</c:v>
                </c:pt>
                <c:pt idx="27">
                  <c:v>53</c:v>
                </c:pt>
                <c:pt idx="28">
                  <c:v>47</c:v>
                </c:pt>
                <c:pt idx="29">
                  <c:v>55</c:v>
                </c:pt>
                <c:pt idx="30">
                  <c:v>62</c:v>
                </c:pt>
                <c:pt idx="31">
                  <c:v>16</c:v>
                </c:pt>
                <c:pt idx="32">
                  <c:v>62</c:v>
                </c:pt>
                <c:pt idx="34">
                  <c:v>55</c:v>
                </c:pt>
                <c:pt idx="35">
                  <c:v>47</c:v>
                </c:pt>
                <c:pt idx="36">
                  <c:v>48</c:v>
                </c:pt>
                <c:pt idx="37">
                  <c:v>53</c:v>
                </c:pt>
                <c:pt idx="38">
                  <c:v>19</c:v>
                </c:pt>
                <c:pt idx="39">
                  <c:v>64</c:v>
                </c:pt>
                <c:pt idx="40">
                  <c:v>60</c:v>
                </c:pt>
                <c:pt idx="41">
                  <c:v>64</c:v>
                </c:pt>
                <c:pt idx="42">
                  <c:v>62</c:v>
                </c:pt>
                <c:pt idx="43">
                  <c:v>64</c:v>
                </c:pt>
                <c:pt idx="44">
                  <c:v>64</c:v>
                </c:pt>
                <c:pt idx="45">
                  <c:v>58</c:v>
                </c:pt>
                <c:pt idx="46">
                  <c:v>64</c:v>
                </c:pt>
                <c:pt idx="47">
                  <c:v>64</c:v>
                </c:pt>
                <c:pt idx="48">
                  <c:v>64</c:v>
                </c:pt>
                <c:pt idx="49">
                  <c:v>62</c:v>
                </c:pt>
                <c:pt idx="50">
                  <c:v>64</c:v>
                </c:pt>
                <c:pt idx="51">
                  <c:v>43</c:v>
                </c:pt>
                <c:pt idx="52">
                  <c:v>62</c:v>
                </c:pt>
                <c:pt idx="53">
                  <c:v>64</c:v>
                </c:pt>
                <c:pt idx="54">
                  <c:v>56</c:v>
                </c:pt>
                <c:pt idx="55">
                  <c:v>52</c:v>
                </c:pt>
                <c:pt idx="56">
                  <c:v>64</c:v>
                </c:pt>
                <c:pt idx="57">
                  <c:v>64</c:v>
                </c:pt>
                <c:pt idx="58">
                  <c:v>31</c:v>
                </c:pt>
                <c:pt idx="59">
                  <c:v>49</c:v>
                </c:pt>
                <c:pt idx="60">
                  <c:v>10</c:v>
                </c:pt>
                <c:pt idx="61">
                  <c:v>64</c:v>
                </c:pt>
                <c:pt idx="62">
                  <c:v>64</c:v>
                </c:pt>
                <c:pt idx="63">
                  <c:v>38</c:v>
                </c:pt>
                <c:pt idx="64">
                  <c:v>16</c:v>
                </c:pt>
                <c:pt idx="65">
                  <c:v>64</c:v>
                </c:pt>
                <c:pt idx="66">
                  <c:v>64</c:v>
                </c:pt>
                <c:pt idx="67">
                  <c:v>33</c:v>
                </c:pt>
                <c:pt idx="68">
                  <c:v>64</c:v>
                </c:pt>
                <c:pt idx="69">
                  <c:v>30</c:v>
                </c:pt>
                <c:pt idx="70">
                  <c:v>29</c:v>
                </c:pt>
                <c:pt idx="71">
                  <c:v>64</c:v>
                </c:pt>
                <c:pt idx="72">
                  <c:v>62</c:v>
                </c:pt>
                <c:pt idx="73">
                  <c:v>64</c:v>
                </c:pt>
                <c:pt idx="74">
                  <c:v>25</c:v>
                </c:pt>
                <c:pt idx="75">
                  <c:v>64</c:v>
                </c:pt>
                <c:pt idx="76">
                  <c:v>46</c:v>
                </c:pt>
                <c:pt idx="77">
                  <c:v>64</c:v>
                </c:pt>
                <c:pt idx="78">
                  <c:v>64</c:v>
                </c:pt>
                <c:pt idx="79">
                  <c:v>64</c:v>
                </c:pt>
                <c:pt idx="80">
                  <c:v>63</c:v>
                </c:pt>
                <c:pt idx="81">
                  <c:v>63</c:v>
                </c:pt>
                <c:pt idx="82">
                  <c:v>63</c:v>
                </c:pt>
                <c:pt idx="83">
                  <c:v>63</c:v>
                </c:pt>
                <c:pt idx="84">
                  <c:v>22</c:v>
                </c:pt>
                <c:pt idx="85">
                  <c:v>35</c:v>
                </c:pt>
                <c:pt idx="86">
                  <c:v>25</c:v>
                </c:pt>
                <c:pt idx="87">
                  <c:v>29</c:v>
                </c:pt>
                <c:pt idx="88">
                  <c:v>10</c:v>
                </c:pt>
                <c:pt idx="89">
                  <c:v>60</c:v>
                </c:pt>
                <c:pt idx="90">
                  <c:v>62</c:v>
                </c:pt>
                <c:pt idx="91">
                  <c:v>45</c:v>
                </c:pt>
                <c:pt idx="92">
                  <c:v>15</c:v>
                </c:pt>
                <c:pt idx="93">
                  <c:v>28</c:v>
                </c:pt>
                <c:pt idx="94">
                  <c:v>60</c:v>
                </c:pt>
                <c:pt idx="95">
                  <c:v>43</c:v>
                </c:pt>
                <c:pt idx="96">
                  <c:v>52</c:v>
                </c:pt>
                <c:pt idx="97">
                  <c:v>62</c:v>
                </c:pt>
                <c:pt idx="98">
                  <c:v>64</c:v>
                </c:pt>
                <c:pt idx="99">
                  <c:v>57</c:v>
                </c:pt>
                <c:pt idx="100">
                  <c:v>25</c:v>
                </c:pt>
                <c:pt idx="102">
                  <c:v>56</c:v>
                </c:pt>
                <c:pt idx="103">
                  <c:v>48</c:v>
                </c:pt>
                <c:pt idx="104">
                  <c:v>55</c:v>
                </c:pt>
                <c:pt idx="105">
                  <c:v>41</c:v>
                </c:pt>
                <c:pt idx="106">
                  <c:v>48</c:v>
                </c:pt>
                <c:pt idx="107">
                  <c:v>32</c:v>
                </c:pt>
                <c:pt idx="109">
                  <c:v>62</c:v>
                </c:pt>
                <c:pt idx="110">
                  <c:v>61</c:v>
                </c:pt>
                <c:pt idx="111">
                  <c:v>60</c:v>
                </c:pt>
                <c:pt idx="114">
                  <c:v>62</c:v>
                </c:pt>
                <c:pt idx="115">
                  <c:v>36</c:v>
                </c:pt>
                <c:pt idx="116">
                  <c:v>30</c:v>
                </c:pt>
                <c:pt idx="117">
                  <c:v>58</c:v>
                </c:pt>
                <c:pt idx="118">
                  <c:v>64</c:v>
                </c:pt>
                <c:pt idx="119">
                  <c:v>55</c:v>
                </c:pt>
                <c:pt idx="120">
                  <c:v>50</c:v>
                </c:pt>
                <c:pt idx="121">
                  <c:v>51</c:v>
                </c:pt>
                <c:pt idx="122">
                  <c:v>27</c:v>
                </c:pt>
                <c:pt idx="123">
                  <c:v>43</c:v>
                </c:pt>
                <c:pt idx="124">
                  <c:v>58</c:v>
                </c:pt>
                <c:pt idx="125">
                  <c:v>25</c:v>
                </c:pt>
                <c:pt idx="126">
                  <c:v>60</c:v>
                </c:pt>
                <c:pt idx="127">
                  <c:v>64</c:v>
                </c:pt>
                <c:pt idx="128">
                  <c:v>63</c:v>
                </c:pt>
                <c:pt idx="129">
                  <c:v>59</c:v>
                </c:pt>
                <c:pt idx="130">
                  <c:v>53</c:v>
                </c:pt>
                <c:pt idx="131">
                  <c:v>30</c:v>
                </c:pt>
                <c:pt idx="133">
                  <c:v>64</c:v>
                </c:pt>
                <c:pt idx="134">
                  <c:v>52</c:v>
                </c:pt>
                <c:pt idx="135">
                  <c:v>60</c:v>
                </c:pt>
                <c:pt idx="136">
                  <c:v>61</c:v>
                </c:pt>
                <c:pt idx="137">
                  <c:v>44</c:v>
                </c:pt>
                <c:pt idx="138">
                  <c:v>41</c:v>
                </c:pt>
                <c:pt idx="139">
                  <c:v>37</c:v>
                </c:pt>
                <c:pt idx="140">
                  <c:v>31</c:v>
                </c:pt>
                <c:pt idx="141">
                  <c:v>64</c:v>
                </c:pt>
                <c:pt idx="142">
                  <c:v>26</c:v>
                </c:pt>
                <c:pt idx="143">
                  <c:v>40</c:v>
                </c:pt>
                <c:pt idx="144">
                  <c:v>49</c:v>
                </c:pt>
                <c:pt idx="145">
                  <c:v>17</c:v>
                </c:pt>
                <c:pt idx="146">
                  <c:v>59</c:v>
                </c:pt>
                <c:pt idx="147">
                  <c:v>40</c:v>
                </c:pt>
                <c:pt idx="148">
                  <c:v>47</c:v>
                </c:pt>
                <c:pt idx="149">
                  <c:v>38</c:v>
                </c:pt>
                <c:pt idx="150">
                  <c:v>60</c:v>
                </c:pt>
                <c:pt idx="151">
                  <c:v>61</c:v>
                </c:pt>
                <c:pt idx="152">
                  <c:v>26</c:v>
                </c:pt>
                <c:pt idx="153">
                  <c:v>48</c:v>
                </c:pt>
                <c:pt idx="154">
                  <c:v>20</c:v>
                </c:pt>
                <c:pt idx="155">
                  <c:v>46</c:v>
                </c:pt>
                <c:pt idx="156">
                  <c:v>63</c:v>
                </c:pt>
                <c:pt idx="157">
                  <c:v>63</c:v>
                </c:pt>
                <c:pt idx="158">
                  <c:v>44</c:v>
                </c:pt>
                <c:pt idx="159">
                  <c:v>13</c:v>
                </c:pt>
                <c:pt idx="160">
                  <c:v>20</c:v>
                </c:pt>
                <c:pt idx="162">
                  <c:v>28</c:v>
                </c:pt>
                <c:pt idx="163">
                  <c:v>61</c:v>
                </c:pt>
                <c:pt idx="164">
                  <c:v>31</c:v>
                </c:pt>
                <c:pt idx="165">
                  <c:v>39</c:v>
                </c:pt>
                <c:pt idx="166">
                  <c:v>64</c:v>
                </c:pt>
                <c:pt idx="167">
                  <c:v>43</c:v>
                </c:pt>
                <c:pt idx="168">
                  <c:v>60</c:v>
                </c:pt>
                <c:pt idx="169">
                  <c:v>60</c:v>
                </c:pt>
                <c:pt idx="170">
                  <c:v>29</c:v>
                </c:pt>
                <c:pt idx="171">
                  <c:v>25</c:v>
                </c:pt>
                <c:pt idx="172">
                  <c:v>55</c:v>
                </c:pt>
                <c:pt idx="174">
                  <c:v>38</c:v>
                </c:pt>
                <c:pt idx="176">
                  <c:v>48</c:v>
                </c:pt>
              </c:numCache>
            </c:numRef>
          </c:xVal>
          <c:yVal>
            <c:numRef>
              <c:f>Sheet1!$E$46:$E$223</c:f>
              <c:numCache>
                <c:formatCode>General</c:formatCode>
                <c:ptCount val="178"/>
                <c:pt idx="1">
                  <c:v>86.5</c:v>
                </c:pt>
                <c:pt idx="2">
                  <c:v>182.5</c:v>
                </c:pt>
                <c:pt idx="3">
                  <c:v>148</c:v>
                </c:pt>
                <c:pt idx="4">
                  <c:v>136.5</c:v>
                </c:pt>
                <c:pt idx="5">
                  <c:v>167</c:v>
                </c:pt>
                <c:pt idx="6">
                  <c:v>234</c:v>
                </c:pt>
                <c:pt idx="8">
                  <c:v>308</c:v>
                </c:pt>
                <c:pt idx="9">
                  <c:v>260</c:v>
                </c:pt>
                <c:pt idx="10">
                  <c:v>292.5</c:v>
                </c:pt>
                <c:pt idx="11">
                  <c:v>94</c:v>
                </c:pt>
                <c:pt idx="12">
                  <c:v>254.5</c:v>
                </c:pt>
                <c:pt idx="13">
                  <c:v>223</c:v>
                </c:pt>
                <c:pt idx="15">
                  <c:v>230</c:v>
                </c:pt>
                <c:pt idx="16">
                  <c:v>299</c:v>
                </c:pt>
                <c:pt idx="19">
                  <c:v>363</c:v>
                </c:pt>
                <c:pt idx="20">
                  <c:v>143</c:v>
                </c:pt>
                <c:pt idx="23">
                  <c:v>222</c:v>
                </c:pt>
                <c:pt idx="24">
                  <c:v>208</c:v>
                </c:pt>
                <c:pt idx="25">
                  <c:v>214</c:v>
                </c:pt>
                <c:pt idx="26">
                  <c:v>242.5</c:v>
                </c:pt>
                <c:pt idx="27">
                  <c:v>261</c:v>
                </c:pt>
                <c:pt idx="28">
                  <c:v>236</c:v>
                </c:pt>
                <c:pt idx="30">
                  <c:v>273</c:v>
                </c:pt>
                <c:pt idx="32">
                  <c:v>295.5</c:v>
                </c:pt>
                <c:pt idx="33">
                  <c:v>301.5</c:v>
                </c:pt>
                <c:pt idx="34">
                  <c:v>281.5</c:v>
                </c:pt>
                <c:pt idx="35">
                  <c:v>218</c:v>
                </c:pt>
                <c:pt idx="36">
                  <c:v>262</c:v>
                </c:pt>
                <c:pt idx="37">
                  <c:v>275</c:v>
                </c:pt>
                <c:pt idx="39">
                  <c:v>272</c:v>
                </c:pt>
                <c:pt idx="40">
                  <c:v>260.5</c:v>
                </c:pt>
                <c:pt idx="41">
                  <c:v>276</c:v>
                </c:pt>
                <c:pt idx="42">
                  <c:v>299</c:v>
                </c:pt>
                <c:pt idx="43">
                  <c:v>297</c:v>
                </c:pt>
                <c:pt idx="44">
                  <c:v>310</c:v>
                </c:pt>
                <c:pt idx="45">
                  <c:v>273</c:v>
                </c:pt>
                <c:pt idx="46">
                  <c:v>304.5</c:v>
                </c:pt>
                <c:pt idx="47">
                  <c:v>314</c:v>
                </c:pt>
                <c:pt idx="48">
                  <c:v>293</c:v>
                </c:pt>
                <c:pt idx="49">
                  <c:v>262.5</c:v>
                </c:pt>
                <c:pt idx="50">
                  <c:v>278</c:v>
                </c:pt>
                <c:pt idx="51">
                  <c:v>303.5</c:v>
                </c:pt>
                <c:pt idx="52">
                  <c:v>302.5</c:v>
                </c:pt>
                <c:pt idx="53">
                  <c:v>292.5</c:v>
                </c:pt>
                <c:pt idx="54">
                  <c:v>211</c:v>
                </c:pt>
                <c:pt idx="55">
                  <c:v>233</c:v>
                </c:pt>
                <c:pt idx="56">
                  <c:v>291</c:v>
                </c:pt>
                <c:pt idx="57">
                  <c:v>293</c:v>
                </c:pt>
                <c:pt idx="58">
                  <c:v>173.5</c:v>
                </c:pt>
                <c:pt idx="59">
                  <c:v>215</c:v>
                </c:pt>
                <c:pt idx="60">
                  <c:v>100.5</c:v>
                </c:pt>
                <c:pt idx="61">
                  <c:v>304.5</c:v>
                </c:pt>
                <c:pt idx="62">
                  <c:v>279.5</c:v>
                </c:pt>
                <c:pt idx="63">
                  <c:v>201.5</c:v>
                </c:pt>
                <c:pt idx="64">
                  <c:v>138.5</c:v>
                </c:pt>
                <c:pt idx="65">
                  <c:v>289</c:v>
                </c:pt>
                <c:pt idx="66">
                  <c:v>322</c:v>
                </c:pt>
                <c:pt idx="67">
                  <c:v>205</c:v>
                </c:pt>
                <c:pt idx="68">
                  <c:v>313.5</c:v>
                </c:pt>
                <c:pt idx="69">
                  <c:v>170</c:v>
                </c:pt>
                <c:pt idx="70">
                  <c:v>169.5</c:v>
                </c:pt>
                <c:pt idx="71">
                  <c:v>291.5</c:v>
                </c:pt>
                <c:pt idx="72">
                  <c:v>315</c:v>
                </c:pt>
                <c:pt idx="73">
                  <c:v>306.5</c:v>
                </c:pt>
                <c:pt idx="75">
                  <c:v>262.5</c:v>
                </c:pt>
                <c:pt idx="76">
                  <c:v>227</c:v>
                </c:pt>
                <c:pt idx="77">
                  <c:v>299</c:v>
                </c:pt>
                <c:pt idx="78">
                  <c:v>276.5</c:v>
                </c:pt>
                <c:pt idx="79">
                  <c:v>301</c:v>
                </c:pt>
                <c:pt idx="80">
                  <c:v>287.5</c:v>
                </c:pt>
                <c:pt idx="81">
                  <c:v>305</c:v>
                </c:pt>
                <c:pt idx="82">
                  <c:v>296</c:v>
                </c:pt>
                <c:pt idx="83">
                  <c:v>299.5</c:v>
                </c:pt>
                <c:pt idx="84">
                  <c:v>150</c:v>
                </c:pt>
                <c:pt idx="85">
                  <c:v>189.5</c:v>
                </c:pt>
                <c:pt idx="86">
                  <c:v>187.5</c:v>
                </c:pt>
                <c:pt idx="87">
                  <c:v>178.5</c:v>
                </c:pt>
                <c:pt idx="88">
                  <c:v>122</c:v>
                </c:pt>
                <c:pt idx="89">
                  <c:v>292</c:v>
                </c:pt>
                <c:pt idx="90">
                  <c:v>270.5</c:v>
                </c:pt>
                <c:pt idx="91">
                  <c:v>220.5</c:v>
                </c:pt>
                <c:pt idx="92">
                  <c:v>140</c:v>
                </c:pt>
                <c:pt idx="93">
                  <c:v>216</c:v>
                </c:pt>
                <c:pt idx="94">
                  <c:v>304.5</c:v>
                </c:pt>
                <c:pt idx="95">
                  <c:v>241</c:v>
                </c:pt>
                <c:pt idx="96">
                  <c:v>257.5</c:v>
                </c:pt>
                <c:pt idx="97">
                  <c:v>270.5</c:v>
                </c:pt>
                <c:pt idx="98">
                  <c:v>279</c:v>
                </c:pt>
                <c:pt idx="99">
                  <c:v>317.5</c:v>
                </c:pt>
                <c:pt idx="100">
                  <c:v>171.5</c:v>
                </c:pt>
                <c:pt idx="101">
                  <c:v>275.5</c:v>
                </c:pt>
                <c:pt idx="102">
                  <c:v>280.5</c:v>
                </c:pt>
                <c:pt idx="103">
                  <c:v>225.5</c:v>
                </c:pt>
                <c:pt idx="104">
                  <c:v>241.5</c:v>
                </c:pt>
                <c:pt idx="105">
                  <c:v>224.5</c:v>
                </c:pt>
                <c:pt idx="106">
                  <c:v>261.5</c:v>
                </c:pt>
                <c:pt idx="107">
                  <c:v>186</c:v>
                </c:pt>
                <c:pt idx="108">
                  <c:v>203</c:v>
                </c:pt>
                <c:pt idx="109">
                  <c:v>285</c:v>
                </c:pt>
                <c:pt idx="110">
                  <c:v>272</c:v>
                </c:pt>
                <c:pt idx="111">
                  <c:v>266.5</c:v>
                </c:pt>
                <c:pt idx="112">
                  <c:v>284</c:v>
                </c:pt>
                <c:pt idx="114">
                  <c:v>279</c:v>
                </c:pt>
                <c:pt idx="115">
                  <c:v>192</c:v>
                </c:pt>
                <c:pt idx="116">
                  <c:v>205</c:v>
                </c:pt>
                <c:pt idx="117">
                  <c:v>279.5</c:v>
                </c:pt>
                <c:pt idx="118">
                  <c:v>300.5</c:v>
                </c:pt>
                <c:pt idx="120">
                  <c:v>252</c:v>
                </c:pt>
                <c:pt idx="121">
                  <c:v>228.5</c:v>
                </c:pt>
                <c:pt idx="122">
                  <c:v>163</c:v>
                </c:pt>
                <c:pt idx="123">
                  <c:v>201.5</c:v>
                </c:pt>
                <c:pt idx="124">
                  <c:v>260.5</c:v>
                </c:pt>
                <c:pt idx="126">
                  <c:v>272</c:v>
                </c:pt>
                <c:pt idx="127">
                  <c:v>270.5</c:v>
                </c:pt>
                <c:pt idx="128">
                  <c:v>291.5</c:v>
                </c:pt>
                <c:pt idx="129">
                  <c:v>303.5</c:v>
                </c:pt>
                <c:pt idx="130">
                  <c:v>207</c:v>
                </c:pt>
                <c:pt idx="131">
                  <c:v>174</c:v>
                </c:pt>
                <c:pt idx="133">
                  <c:v>300</c:v>
                </c:pt>
                <c:pt idx="134">
                  <c:v>218</c:v>
                </c:pt>
                <c:pt idx="135">
                  <c:v>262.5</c:v>
                </c:pt>
                <c:pt idx="136">
                  <c:v>278.5</c:v>
                </c:pt>
                <c:pt idx="137">
                  <c:v>214</c:v>
                </c:pt>
                <c:pt idx="138">
                  <c:v>192</c:v>
                </c:pt>
                <c:pt idx="139">
                  <c:v>206</c:v>
                </c:pt>
                <c:pt idx="140">
                  <c:v>195.5</c:v>
                </c:pt>
                <c:pt idx="141">
                  <c:v>319</c:v>
                </c:pt>
                <c:pt idx="143">
                  <c:v>202</c:v>
                </c:pt>
                <c:pt idx="144">
                  <c:v>240.5</c:v>
                </c:pt>
                <c:pt idx="146">
                  <c:v>261</c:v>
                </c:pt>
                <c:pt idx="147">
                  <c:v>203</c:v>
                </c:pt>
                <c:pt idx="148">
                  <c:v>221.5</c:v>
                </c:pt>
                <c:pt idx="150">
                  <c:v>282</c:v>
                </c:pt>
                <c:pt idx="151">
                  <c:v>285.5</c:v>
                </c:pt>
                <c:pt idx="152">
                  <c:v>198</c:v>
                </c:pt>
                <c:pt idx="155">
                  <c:v>199.5</c:v>
                </c:pt>
                <c:pt idx="156">
                  <c:v>294</c:v>
                </c:pt>
                <c:pt idx="157">
                  <c:v>303</c:v>
                </c:pt>
                <c:pt idx="158">
                  <c:v>236</c:v>
                </c:pt>
                <c:pt idx="159">
                  <c:v>137</c:v>
                </c:pt>
                <c:pt idx="160">
                  <c:v>157</c:v>
                </c:pt>
                <c:pt idx="161">
                  <c:v>300</c:v>
                </c:pt>
                <c:pt idx="162">
                  <c:v>167</c:v>
                </c:pt>
                <c:pt idx="163">
                  <c:v>287</c:v>
                </c:pt>
                <c:pt idx="164">
                  <c:v>172</c:v>
                </c:pt>
                <c:pt idx="165">
                  <c:v>177</c:v>
                </c:pt>
                <c:pt idx="166">
                  <c:v>197</c:v>
                </c:pt>
                <c:pt idx="167">
                  <c:v>207.5</c:v>
                </c:pt>
                <c:pt idx="168">
                  <c:v>299.5</c:v>
                </c:pt>
                <c:pt idx="170">
                  <c:v>204</c:v>
                </c:pt>
                <c:pt idx="171">
                  <c:v>217</c:v>
                </c:pt>
                <c:pt idx="172">
                  <c:v>237</c:v>
                </c:pt>
                <c:pt idx="173">
                  <c:v>254</c:v>
                </c:pt>
                <c:pt idx="174">
                  <c:v>218.5</c:v>
                </c:pt>
                <c:pt idx="175">
                  <c:v>276</c:v>
                </c:pt>
                <c:pt idx="176">
                  <c:v>220.5</c:v>
                </c:pt>
                <c:pt idx="177">
                  <c:v>257</c:v>
                </c:pt>
              </c:numCache>
            </c:numRef>
          </c:yVal>
          <c:smooth val="0"/>
        </c:ser>
        <c:ser>
          <c:idx val="1"/>
          <c:order val="1"/>
          <c:tx>
            <c:strRef>
              <c:f>Sheet1!$F$45</c:f>
              <c:strCache>
                <c:ptCount val="1"/>
                <c:pt idx="0">
                  <c:v>radius</c:v>
                </c:pt>
              </c:strCache>
            </c:strRef>
          </c:tx>
          <c:spPr>
            <a:ln w="28575">
              <a:noFill/>
            </a:ln>
          </c:spPr>
          <c:marker>
            <c:symbol val="none"/>
          </c:marker>
          <c:trendline>
            <c:spPr>
              <a:ln>
                <a:solidFill>
                  <a:schemeClr val="tx2">
                    <a:lumMod val="75000"/>
                  </a:schemeClr>
                </a:solidFill>
                <a:prstDash val="lgDashDot"/>
              </a:ln>
            </c:spPr>
            <c:trendlineType val="linear"/>
            <c:dispRSqr val="0"/>
            <c:dispEq val="0"/>
          </c:trendline>
          <c:xVal>
            <c:numRef>
              <c:f>Sheet1!$D$46:$D$223</c:f>
              <c:numCache>
                <c:formatCode>General</c:formatCode>
                <c:ptCount val="178"/>
                <c:pt idx="22">
                  <c:v>27</c:v>
                </c:pt>
                <c:pt idx="23">
                  <c:v>45</c:v>
                </c:pt>
                <c:pt idx="24">
                  <c:v>35</c:v>
                </c:pt>
                <c:pt idx="25">
                  <c:v>46</c:v>
                </c:pt>
                <c:pt idx="27">
                  <c:v>53</c:v>
                </c:pt>
                <c:pt idx="28">
                  <c:v>47</c:v>
                </c:pt>
                <c:pt idx="29">
                  <c:v>55</c:v>
                </c:pt>
                <c:pt idx="30">
                  <c:v>62</c:v>
                </c:pt>
                <c:pt idx="31">
                  <c:v>16</c:v>
                </c:pt>
                <c:pt idx="32">
                  <c:v>62</c:v>
                </c:pt>
                <c:pt idx="34">
                  <c:v>55</c:v>
                </c:pt>
                <c:pt idx="35">
                  <c:v>47</c:v>
                </c:pt>
                <c:pt idx="36">
                  <c:v>48</c:v>
                </c:pt>
                <c:pt idx="37">
                  <c:v>53</c:v>
                </c:pt>
                <c:pt idx="38">
                  <c:v>19</c:v>
                </c:pt>
                <c:pt idx="39">
                  <c:v>64</c:v>
                </c:pt>
                <c:pt idx="40">
                  <c:v>60</c:v>
                </c:pt>
                <c:pt idx="41">
                  <c:v>64</c:v>
                </c:pt>
                <c:pt idx="42">
                  <c:v>62</c:v>
                </c:pt>
                <c:pt idx="43">
                  <c:v>64</c:v>
                </c:pt>
                <c:pt idx="44">
                  <c:v>64</c:v>
                </c:pt>
                <c:pt idx="45">
                  <c:v>58</c:v>
                </c:pt>
                <c:pt idx="46">
                  <c:v>64</c:v>
                </c:pt>
                <c:pt idx="47">
                  <c:v>64</c:v>
                </c:pt>
                <c:pt idx="48">
                  <c:v>64</c:v>
                </c:pt>
                <c:pt idx="49">
                  <c:v>62</c:v>
                </c:pt>
                <c:pt idx="50">
                  <c:v>64</c:v>
                </c:pt>
                <c:pt idx="51">
                  <c:v>43</c:v>
                </c:pt>
                <c:pt idx="52">
                  <c:v>62</c:v>
                </c:pt>
                <c:pt idx="53">
                  <c:v>64</c:v>
                </c:pt>
                <c:pt idx="54">
                  <c:v>56</c:v>
                </c:pt>
                <c:pt idx="55">
                  <c:v>52</c:v>
                </c:pt>
                <c:pt idx="56">
                  <c:v>64</c:v>
                </c:pt>
                <c:pt idx="57">
                  <c:v>64</c:v>
                </c:pt>
                <c:pt idx="58">
                  <c:v>31</c:v>
                </c:pt>
                <c:pt idx="59">
                  <c:v>49</c:v>
                </c:pt>
                <c:pt idx="60">
                  <c:v>10</c:v>
                </c:pt>
                <c:pt idx="61">
                  <c:v>64</c:v>
                </c:pt>
                <c:pt idx="62">
                  <c:v>64</c:v>
                </c:pt>
                <c:pt idx="63">
                  <c:v>38</c:v>
                </c:pt>
                <c:pt idx="64">
                  <c:v>16</c:v>
                </c:pt>
                <c:pt idx="65">
                  <c:v>64</c:v>
                </c:pt>
                <c:pt idx="66">
                  <c:v>64</c:v>
                </c:pt>
                <c:pt idx="67">
                  <c:v>33</c:v>
                </c:pt>
                <c:pt idx="68">
                  <c:v>64</c:v>
                </c:pt>
                <c:pt idx="69">
                  <c:v>30</c:v>
                </c:pt>
                <c:pt idx="70">
                  <c:v>29</c:v>
                </c:pt>
                <c:pt idx="71">
                  <c:v>64</c:v>
                </c:pt>
                <c:pt idx="72">
                  <c:v>62</c:v>
                </c:pt>
                <c:pt idx="73">
                  <c:v>64</c:v>
                </c:pt>
                <c:pt idx="74">
                  <c:v>25</c:v>
                </c:pt>
                <c:pt idx="75">
                  <c:v>64</c:v>
                </c:pt>
                <c:pt idx="76">
                  <c:v>46</c:v>
                </c:pt>
                <c:pt idx="77">
                  <c:v>64</c:v>
                </c:pt>
                <c:pt idx="78">
                  <c:v>64</c:v>
                </c:pt>
                <c:pt idx="79">
                  <c:v>64</c:v>
                </c:pt>
                <c:pt idx="80">
                  <c:v>63</c:v>
                </c:pt>
                <c:pt idx="81">
                  <c:v>63</c:v>
                </c:pt>
                <c:pt idx="82">
                  <c:v>63</c:v>
                </c:pt>
                <c:pt idx="83">
                  <c:v>63</c:v>
                </c:pt>
                <c:pt idx="84">
                  <c:v>22</c:v>
                </c:pt>
                <c:pt idx="85">
                  <c:v>35</c:v>
                </c:pt>
                <c:pt idx="86">
                  <c:v>25</c:v>
                </c:pt>
                <c:pt idx="87">
                  <c:v>29</c:v>
                </c:pt>
                <c:pt idx="88">
                  <c:v>10</c:v>
                </c:pt>
                <c:pt idx="89">
                  <c:v>60</c:v>
                </c:pt>
                <c:pt idx="90">
                  <c:v>62</c:v>
                </c:pt>
                <c:pt idx="91">
                  <c:v>45</c:v>
                </c:pt>
                <c:pt idx="92">
                  <c:v>15</c:v>
                </c:pt>
                <c:pt idx="93">
                  <c:v>28</c:v>
                </c:pt>
                <c:pt idx="94">
                  <c:v>60</c:v>
                </c:pt>
                <c:pt idx="95">
                  <c:v>43</c:v>
                </c:pt>
                <c:pt idx="96">
                  <c:v>52</c:v>
                </c:pt>
                <c:pt idx="97">
                  <c:v>62</c:v>
                </c:pt>
                <c:pt idx="98">
                  <c:v>64</c:v>
                </c:pt>
                <c:pt idx="99">
                  <c:v>57</c:v>
                </c:pt>
                <c:pt idx="100">
                  <c:v>25</c:v>
                </c:pt>
                <c:pt idx="102">
                  <c:v>56</c:v>
                </c:pt>
                <c:pt idx="103">
                  <c:v>48</c:v>
                </c:pt>
                <c:pt idx="104">
                  <c:v>55</c:v>
                </c:pt>
                <c:pt idx="105">
                  <c:v>41</c:v>
                </c:pt>
                <c:pt idx="106">
                  <c:v>48</c:v>
                </c:pt>
                <c:pt idx="107">
                  <c:v>32</c:v>
                </c:pt>
                <c:pt idx="109">
                  <c:v>62</c:v>
                </c:pt>
                <c:pt idx="110">
                  <c:v>61</c:v>
                </c:pt>
                <c:pt idx="111">
                  <c:v>60</c:v>
                </c:pt>
                <c:pt idx="114">
                  <c:v>62</c:v>
                </c:pt>
                <c:pt idx="115">
                  <c:v>36</c:v>
                </c:pt>
                <c:pt idx="116">
                  <c:v>30</c:v>
                </c:pt>
                <c:pt idx="117">
                  <c:v>58</c:v>
                </c:pt>
                <c:pt idx="118">
                  <c:v>64</c:v>
                </c:pt>
                <c:pt idx="119">
                  <c:v>55</c:v>
                </c:pt>
                <c:pt idx="120">
                  <c:v>50</c:v>
                </c:pt>
                <c:pt idx="121">
                  <c:v>51</c:v>
                </c:pt>
                <c:pt idx="122">
                  <c:v>27</c:v>
                </c:pt>
                <c:pt idx="123">
                  <c:v>43</c:v>
                </c:pt>
                <c:pt idx="124">
                  <c:v>58</c:v>
                </c:pt>
                <c:pt idx="125">
                  <c:v>25</c:v>
                </c:pt>
                <c:pt idx="126">
                  <c:v>60</c:v>
                </c:pt>
                <c:pt idx="127">
                  <c:v>64</c:v>
                </c:pt>
                <c:pt idx="128">
                  <c:v>63</c:v>
                </c:pt>
                <c:pt idx="129">
                  <c:v>59</c:v>
                </c:pt>
                <c:pt idx="130">
                  <c:v>53</c:v>
                </c:pt>
                <c:pt idx="131">
                  <c:v>30</c:v>
                </c:pt>
                <c:pt idx="133">
                  <c:v>64</c:v>
                </c:pt>
                <c:pt idx="134">
                  <c:v>52</c:v>
                </c:pt>
                <c:pt idx="135">
                  <c:v>60</c:v>
                </c:pt>
                <c:pt idx="136">
                  <c:v>61</c:v>
                </c:pt>
                <c:pt idx="137">
                  <c:v>44</c:v>
                </c:pt>
                <c:pt idx="138">
                  <c:v>41</c:v>
                </c:pt>
                <c:pt idx="139">
                  <c:v>37</c:v>
                </c:pt>
                <c:pt idx="140">
                  <c:v>31</c:v>
                </c:pt>
                <c:pt idx="141">
                  <c:v>64</c:v>
                </c:pt>
                <c:pt idx="142">
                  <c:v>26</c:v>
                </c:pt>
                <c:pt idx="143">
                  <c:v>40</c:v>
                </c:pt>
                <c:pt idx="144">
                  <c:v>49</c:v>
                </c:pt>
                <c:pt idx="145">
                  <c:v>17</c:v>
                </c:pt>
                <c:pt idx="146">
                  <c:v>59</c:v>
                </c:pt>
                <c:pt idx="147">
                  <c:v>40</c:v>
                </c:pt>
                <c:pt idx="148">
                  <c:v>47</c:v>
                </c:pt>
                <c:pt idx="149">
                  <c:v>38</c:v>
                </c:pt>
                <c:pt idx="150">
                  <c:v>60</c:v>
                </c:pt>
                <c:pt idx="151">
                  <c:v>61</c:v>
                </c:pt>
                <c:pt idx="152">
                  <c:v>26</c:v>
                </c:pt>
                <c:pt idx="153">
                  <c:v>48</c:v>
                </c:pt>
                <c:pt idx="154">
                  <c:v>20</c:v>
                </c:pt>
                <c:pt idx="155">
                  <c:v>46</c:v>
                </c:pt>
                <c:pt idx="156">
                  <c:v>63</c:v>
                </c:pt>
                <c:pt idx="157">
                  <c:v>63</c:v>
                </c:pt>
                <c:pt idx="158">
                  <c:v>44</c:v>
                </c:pt>
                <c:pt idx="159">
                  <c:v>13</c:v>
                </c:pt>
                <c:pt idx="160">
                  <c:v>20</c:v>
                </c:pt>
                <c:pt idx="162">
                  <c:v>28</c:v>
                </c:pt>
                <c:pt idx="163">
                  <c:v>61</c:v>
                </c:pt>
                <c:pt idx="164">
                  <c:v>31</c:v>
                </c:pt>
                <c:pt idx="165">
                  <c:v>39</c:v>
                </c:pt>
                <c:pt idx="166">
                  <c:v>64</c:v>
                </c:pt>
                <c:pt idx="167">
                  <c:v>43</c:v>
                </c:pt>
                <c:pt idx="168">
                  <c:v>60</c:v>
                </c:pt>
                <c:pt idx="169">
                  <c:v>60</c:v>
                </c:pt>
                <c:pt idx="170">
                  <c:v>29</c:v>
                </c:pt>
                <c:pt idx="171">
                  <c:v>25</c:v>
                </c:pt>
                <c:pt idx="172">
                  <c:v>55</c:v>
                </c:pt>
                <c:pt idx="174">
                  <c:v>38</c:v>
                </c:pt>
                <c:pt idx="176">
                  <c:v>48</c:v>
                </c:pt>
              </c:numCache>
            </c:numRef>
          </c:xVal>
          <c:yVal>
            <c:numRef>
              <c:f>Sheet1!$F$46:$F$223</c:f>
              <c:numCache>
                <c:formatCode>General</c:formatCode>
                <c:ptCount val="178"/>
                <c:pt idx="2">
                  <c:v>166</c:v>
                </c:pt>
                <c:pt idx="3">
                  <c:v>136</c:v>
                </c:pt>
                <c:pt idx="5">
                  <c:v>149</c:v>
                </c:pt>
                <c:pt idx="6">
                  <c:v>220</c:v>
                </c:pt>
                <c:pt idx="7">
                  <c:v>215</c:v>
                </c:pt>
                <c:pt idx="8">
                  <c:v>279</c:v>
                </c:pt>
                <c:pt idx="9">
                  <c:v>241</c:v>
                </c:pt>
                <c:pt idx="10">
                  <c:v>272.5</c:v>
                </c:pt>
                <c:pt idx="12">
                  <c:v>236</c:v>
                </c:pt>
                <c:pt idx="13">
                  <c:v>203</c:v>
                </c:pt>
                <c:pt idx="14">
                  <c:v>289</c:v>
                </c:pt>
                <c:pt idx="16">
                  <c:v>270</c:v>
                </c:pt>
                <c:pt idx="19">
                  <c:v>373</c:v>
                </c:pt>
                <c:pt idx="20">
                  <c:v>133</c:v>
                </c:pt>
                <c:pt idx="23">
                  <c:v>202</c:v>
                </c:pt>
                <c:pt idx="24">
                  <c:v>183.5</c:v>
                </c:pt>
                <c:pt idx="25">
                  <c:v>192</c:v>
                </c:pt>
                <c:pt idx="26">
                  <c:v>225</c:v>
                </c:pt>
                <c:pt idx="27">
                  <c:v>242</c:v>
                </c:pt>
                <c:pt idx="28">
                  <c:v>222</c:v>
                </c:pt>
                <c:pt idx="30">
                  <c:v>244.5</c:v>
                </c:pt>
                <c:pt idx="32">
                  <c:v>258.5</c:v>
                </c:pt>
                <c:pt idx="33">
                  <c:v>267</c:v>
                </c:pt>
                <c:pt idx="35">
                  <c:v>200</c:v>
                </c:pt>
                <c:pt idx="39">
                  <c:v>265</c:v>
                </c:pt>
                <c:pt idx="40">
                  <c:v>238.5</c:v>
                </c:pt>
                <c:pt idx="41">
                  <c:v>237.5</c:v>
                </c:pt>
                <c:pt idx="42">
                  <c:v>283</c:v>
                </c:pt>
                <c:pt idx="43">
                  <c:v>272.5</c:v>
                </c:pt>
                <c:pt idx="44">
                  <c:v>284</c:v>
                </c:pt>
                <c:pt idx="45">
                  <c:v>243.5</c:v>
                </c:pt>
                <c:pt idx="46">
                  <c:v>274</c:v>
                </c:pt>
                <c:pt idx="47">
                  <c:v>287.5</c:v>
                </c:pt>
                <c:pt idx="48">
                  <c:v>268.5</c:v>
                </c:pt>
                <c:pt idx="49">
                  <c:v>221</c:v>
                </c:pt>
                <c:pt idx="50">
                  <c:v>256.5</c:v>
                </c:pt>
                <c:pt idx="51">
                  <c:v>251</c:v>
                </c:pt>
                <c:pt idx="52">
                  <c:v>251.5</c:v>
                </c:pt>
                <c:pt idx="53">
                  <c:v>273.5</c:v>
                </c:pt>
                <c:pt idx="54">
                  <c:v>197</c:v>
                </c:pt>
                <c:pt idx="55">
                  <c:v>218.5</c:v>
                </c:pt>
                <c:pt idx="56">
                  <c:v>267.5</c:v>
                </c:pt>
                <c:pt idx="57">
                  <c:v>269</c:v>
                </c:pt>
                <c:pt idx="58">
                  <c:v>158</c:v>
                </c:pt>
                <c:pt idx="59">
                  <c:v>205.5</c:v>
                </c:pt>
                <c:pt idx="61">
                  <c:v>285</c:v>
                </c:pt>
                <c:pt idx="62">
                  <c:v>258.5</c:v>
                </c:pt>
                <c:pt idx="63">
                  <c:v>182.5</c:v>
                </c:pt>
                <c:pt idx="65">
                  <c:v>259</c:v>
                </c:pt>
                <c:pt idx="66">
                  <c:v>289.5</c:v>
                </c:pt>
                <c:pt idx="67">
                  <c:v>189</c:v>
                </c:pt>
                <c:pt idx="68">
                  <c:v>287.5</c:v>
                </c:pt>
                <c:pt idx="69">
                  <c:v>159</c:v>
                </c:pt>
                <c:pt idx="70">
                  <c:v>153.5</c:v>
                </c:pt>
                <c:pt idx="71">
                  <c:v>259</c:v>
                </c:pt>
                <c:pt idx="72">
                  <c:v>292</c:v>
                </c:pt>
                <c:pt idx="73">
                  <c:v>288.5</c:v>
                </c:pt>
                <c:pt idx="75">
                  <c:v>238.5</c:v>
                </c:pt>
                <c:pt idx="76">
                  <c:v>212.5</c:v>
                </c:pt>
                <c:pt idx="77">
                  <c:v>279.5</c:v>
                </c:pt>
                <c:pt idx="78">
                  <c:v>259</c:v>
                </c:pt>
                <c:pt idx="79">
                  <c:v>264</c:v>
                </c:pt>
                <c:pt idx="80">
                  <c:v>262</c:v>
                </c:pt>
                <c:pt idx="81">
                  <c:v>264</c:v>
                </c:pt>
                <c:pt idx="82">
                  <c:v>274</c:v>
                </c:pt>
                <c:pt idx="83">
                  <c:v>270</c:v>
                </c:pt>
                <c:pt idx="85">
                  <c:v>177</c:v>
                </c:pt>
                <c:pt idx="86">
                  <c:v>170.5</c:v>
                </c:pt>
                <c:pt idx="87">
                  <c:v>166</c:v>
                </c:pt>
                <c:pt idx="88">
                  <c:v>109.5</c:v>
                </c:pt>
                <c:pt idx="89">
                  <c:v>269</c:v>
                </c:pt>
                <c:pt idx="90">
                  <c:v>252</c:v>
                </c:pt>
                <c:pt idx="91">
                  <c:v>201.5</c:v>
                </c:pt>
                <c:pt idx="93">
                  <c:v>200.5</c:v>
                </c:pt>
                <c:pt idx="94">
                  <c:v>280.5</c:v>
                </c:pt>
                <c:pt idx="95">
                  <c:v>215</c:v>
                </c:pt>
                <c:pt idx="96">
                  <c:v>239.5</c:v>
                </c:pt>
                <c:pt idx="97">
                  <c:v>262.5</c:v>
                </c:pt>
                <c:pt idx="98">
                  <c:v>261</c:v>
                </c:pt>
                <c:pt idx="99">
                  <c:v>283.5</c:v>
                </c:pt>
                <c:pt idx="100">
                  <c:v>160</c:v>
                </c:pt>
                <c:pt idx="101">
                  <c:v>250.5</c:v>
                </c:pt>
                <c:pt idx="102">
                  <c:v>248</c:v>
                </c:pt>
                <c:pt idx="103">
                  <c:v>213.5</c:v>
                </c:pt>
                <c:pt idx="104">
                  <c:v>226.5</c:v>
                </c:pt>
                <c:pt idx="105">
                  <c:v>210</c:v>
                </c:pt>
                <c:pt idx="106">
                  <c:v>232.5</c:v>
                </c:pt>
                <c:pt idx="107">
                  <c:v>167</c:v>
                </c:pt>
                <c:pt idx="108">
                  <c:v>187.5</c:v>
                </c:pt>
                <c:pt idx="109">
                  <c:v>278</c:v>
                </c:pt>
                <c:pt idx="110">
                  <c:v>258</c:v>
                </c:pt>
                <c:pt idx="111">
                  <c:v>244</c:v>
                </c:pt>
                <c:pt idx="112">
                  <c:v>258</c:v>
                </c:pt>
                <c:pt idx="114">
                  <c:v>241</c:v>
                </c:pt>
                <c:pt idx="115">
                  <c:v>179</c:v>
                </c:pt>
                <c:pt idx="116">
                  <c:v>193</c:v>
                </c:pt>
                <c:pt idx="118">
                  <c:v>270</c:v>
                </c:pt>
                <c:pt idx="120">
                  <c:v>229</c:v>
                </c:pt>
                <c:pt idx="121">
                  <c:v>199</c:v>
                </c:pt>
                <c:pt idx="123">
                  <c:v>176.5</c:v>
                </c:pt>
                <c:pt idx="124">
                  <c:v>246.5</c:v>
                </c:pt>
                <c:pt idx="126">
                  <c:v>252</c:v>
                </c:pt>
                <c:pt idx="127">
                  <c:v>244</c:v>
                </c:pt>
                <c:pt idx="128">
                  <c:v>284</c:v>
                </c:pt>
                <c:pt idx="129">
                  <c:v>279</c:v>
                </c:pt>
                <c:pt idx="131">
                  <c:v>152</c:v>
                </c:pt>
                <c:pt idx="133">
                  <c:v>290</c:v>
                </c:pt>
                <c:pt idx="134">
                  <c:v>206.5</c:v>
                </c:pt>
                <c:pt idx="135">
                  <c:v>237.5</c:v>
                </c:pt>
                <c:pt idx="136">
                  <c:v>262</c:v>
                </c:pt>
                <c:pt idx="137">
                  <c:v>199</c:v>
                </c:pt>
                <c:pt idx="138">
                  <c:v>181.5</c:v>
                </c:pt>
                <c:pt idx="139">
                  <c:v>189</c:v>
                </c:pt>
                <c:pt idx="140">
                  <c:v>184</c:v>
                </c:pt>
                <c:pt idx="141">
                  <c:v>290.5</c:v>
                </c:pt>
                <c:pt idx="142">
                  <c:v>167</c:v>
                </c:pt>
                <c:pt idx="143">
                  <c:v>187</c:v>
                </c:pt>
                <c:pt idx="144">
                  <c:v>226</c:v>
                </c:pt>
                <c:pt idx="146">
                  <c:v>239</c:v>
                </c:pt>
                <c:pt idx="147">
                  <c:v>193</c:v>
                </c:pt>
                <c:pt idx="148">
                  <c:v>215.5</c:v>
                </c:pt>
                <c:pt idx="150">
                  <c:v>256</c:v>
                </c:pt>
                <c:pt idx="151">
                  <c:v>267.5</c:v>
                </c:pt>
                <c:pt idx="152">
                  <c:v>179.5</c:v>
                </c:pt>
                <c:pt idx="153">
                  <c:v>212.5</c:v>
                </c:pt>
                <c:pt idx="155">
                  <c:v>182.5</c:v>
                </c:pt>
                <c:pt idx="156">
                  <c:v>271.5</c:v>
                </c:pt>
                <c:pt idx="157">
                  <c:v>279</c:v>
                </c:pt>
                <c:pt idx="158">
                  <c:v>214.5</c:v>
                </c:pt>
                <c:pt idx="159">
                  <c:v>124.5</c:v>
                </c:pt>
                <c:pt idx="160">
                  <c:v>141</c:v>
                </c:pt>
                <c:pt idx="161">
                  <c:v>290.5</c:v>
                </c:pt>
                <c:pt idx="162">
                  <c:v>152</c:v>
                </c:pt>
                <c:pt idx="163">
                  <c:v>281</c:v>
                </c:pt>
                <c:pt idx="164">
                  <c:v>158</c:v>
                </c:pt>
                <c:pt idx="165">
                  <c:v>194</c:v>
                </c:pt>
                <c:pt idx="166">
                  <c:v>262</c:v>
                </c:pt>
                <c:pt idx="167">
                  <c:v>180</c:v>
                </c:pt>
                <c:pt idx="168">
                  <c:v>267</c:v>
                </c:pt>
                <c:pt idx="170">
                  <c:v>179</c:v>
                </c:pt>
                <c:pt idx="172">
                  <c:v>238.5</c:v>
                </c:pt>
                <c:pt idx="173">
                  <c:v>239</c:v>
                </c:pt>
                <c:pt idx="174">
                  <c:v>193.5</c:v>
                </c:pt>
                <c:pt idx="175">
                  <c:v>255.5</c:v>
                </c:pt>
                <c:pt idx="176">
                  <c:v>199</c:v>
                </c:pt>
              </c:numCache>
            </c:numRef>
          </c:yVal>
          <c:smooth val="0"/>
        </c:ser>
        <c:ser>
          <c:idx val="2"/>
          <c:order val="2"/>
          <c:tx>
            <c:strRef>
              <c:f>Sheet1!$G$45</c:f>
              <c:strCache>
                <c:ptCount val="1"/>
                <c:pt idx="0">
                  <c:v>ulna</c:v>
                </c:pt>
              </c:strCache>
            </c:strRef>
          </c:tx>
          <c:spPr>
            <a:ln w="28575">
              <a:noFill/>
            </a:ln>
          </c:spPr>
          <c:marker>
            <c:symbol val="none"/>
          </c:marker>
          <c:trendline>
            <c:spPr>
              <a:ln>
                <a:solidFill>
                  <a:srgbClr val="C00000"/>
                </a:solidFill>
              </a:ln>
            </c:spPr>
            <c:trendlineType val="linear"/>
            <c:dispRSqr val="0"/>
            <c:dispEq val="0"/>
          </c:trendline>
          <c:xVal>
            <c:numRef>
              <c:f>Sheet1!$D$46:$D$223</c:f>
              <c:numCache>
                <c:formatCode>General</c:formatCode>
                <c:ptCount val="178"/>
                <c:pt idx="22">
                  <c:v>27</c:v>
                </c:pt>
                <c:pt idx="23">
                  <c:v>45</c:v>
                </c:pt>
                <c:pt idx="24">
                  <c:v>35</c:v>
                </c:pt>
                <c:pt idx="25">
                  <c:v>46</c:v>
                </c:pt>
                <c:pt idx="27">
                  <c:v>53</c:v>
                </c:pt>
                <c:pt idx="28">
                  <c:v>47</c:v>
                </c:pt>
                <c:pt idx="29">
                  <c:v>55</c:v>
                </c:pt>
                <c:pt idx="30">
                  <c:v>62</c:v>
                </c:pt>
                <c:pt idx="31">
                  <c:v>16</c:v>
                </c:pt>
                <c:pt idx="32">
                  <c:v>62</c:v>
                </c:pt>
                <c:pt idx="34">
                  <c:v>55</c:v>
                </c:pt>
                <c:pt idx="35">
                  <c:v>47</c:v>
                </c:pt>
                <c:pt idx="36">
                  <c:v>48</c:v>
                </c:pt>
                <c:pt idx="37">
                  <c:v>53</c:v>
                </c:pt>
                <c:pt idx="38">
                  <c:v>19</c:v>
                </c:pt>
                <c:pt idx="39">
                  <c:v>64</c:v>
                </c:pt>
                <c:pt idx="40">
                  <c:v>60</c:v>
                </c:pt>
                <c:pt idx="41">
                  <c:v>64</c:v>
                </c:pt>
                <c:pt idx="42">
                  <c:v>62</c:v>
                </c:pt>
                <c:pt idx="43">
                  <c:v>64</c:v>
                </c:pt>
                <c:pt idx="44">
                  <c:v>64</c:v>
                </c:pt>
                <c:pt idx="45">
                  <c:v>58</c:v>
                </c:pt>
                <c:pt idx="46">
                  <c:v>64</c:v>
                </c:pt>
                <c:pt idx="47">
                  <c:v>64</c:v>
                </c:pt>
                <c:pt idx="48">
                  <c:v>64</c:v>
                </c:pt>
                <c:pt idx="49">
                  <c:v>62</c:v>
                </c:pt>
                <c:pt idx="50">
                  <c:v>64</c:v>
                </c:pt>
                <c:pt idx="51">
                  <c:v>43</c:v>
                </c:pt>
                <c:pt idx="52">
                  <c:v>62</c:v>
                </c:pt>
                <c:pt idx="53">
                  <c:v>64</c:v>
                </c:pt>
                <c:pt idx="54">
                  <c:v>56</c:v>
                </c:pt>
                <c:pt idx="55">
                  <c:v>52</c:v>
                </c:pt>
                <c:pt idx="56">
                  <c:v>64</c:v>
                </c:pt>
                <c:pt idx="57">
                  <c:v>64</c:v>
                </c:pt>
                <c:pt idx="58">
                  <c:v>31</c:v>
                </c:pt>
                <c:pt idx="59">
                  <c:v>49</c:v>
                </c:pt>
                <c:pt idx="60">
                  <c:v>10</c:v>
                </c:pt>
                <c:pt idx="61">
                  <c:v>64</c:v>
                </c:pt>
                <c:pt idx="62">
                  <c:v>64</c:v>
                </c:pt>
                <c:pt idx="63">
                  <c:v>38</c:v>
                </c:pt>
                <c:pt idx="64">
                  <c:v>16</c:v>
                </c:pt>
                <c:pt idx="65">
                  <c:v>64</c:v>
                </c:pt>
                <c:pt idx="66">
                  <c:v>64</c:v>
                </c:pt>
                <c:pt idx="67">
                  <c:v>33</c:v>
                </c:pt>
                <c:pt idx="68">
                  <c:v>64</c:v>
                </c:pt>
                <c:pt idx="69">
                  <c:v>30</c:v>
                </c:pt>
                <c:pt idx="70">
                  <c:v>29</c:v>
                </c:pt>
                <c:pt idx="71">
                  <c:v>64</c:v>
                </c:pt>
                <c:pt idx="72">
                  <c:v>62</c:v>
                </c:pt>
                <c:pt idx="73">
                  <c:v>64</c:v>
                </c:pt>
                <c:pt idx="74">
                  <c:v>25</c:v>
                </c:pt>
                <c:pt idx="75">
                  <c:v>64</c:v>
                </c:pt>
                <c:pt idx="76">
                  <c:v>46</c:v>
                </c:pt>
                <c:pt idx="77">
                  <c:v>64</c:v>
                </c:pt>
                <c:pt idx="78">
                  <c:v>64</c:v>
                </c:pt>
                <c:pt idx="79">
                  <c:v>64</c:v>
                </c:pt>
                <c:pt idx="80">
                  <c:v>63</c:v>
                </c:pt>
                <c:pt idx="81">
                  <c:v>63</c:v>
                </c:pt>
                <c:pt idx="82">
                  <c:v>63</c:v>
                </c:pt>
                <c:pt idx="83">
                  <c:v>63</c:v>
                </c:pt>
                <c:pt idx="84">
                  <c:v>22</c:v>
                </c:pt>
                <c:pt idx="85">
                  <c:v>35</c:v>
                </c:pt>
                <c:pt idx="86">
                  <c:v>25</c:v>
                </c:pt>
                <c:pt idx="87">
                  <c:v>29</c:v>
                </c:pt>
                <c:pt idx="88">
                  <c:v>10</c:v>
                </c:pt>
                <c:pt idx="89">
                  <c:v>60</c:v>
                </c:pt>
                <c:pt idx="90">
                  <c:v>62</c:v>
                </c:pt>
                <c:pt idx="91">
                  <c:v>45</c:v>
                </c:pt>
                <c:pt idx="92">
                  <c:v>15</c:v>
                </c:pt>
                <c:pt idx="93">
                  <c:v>28</c:v>
                </c:pt>
                <c:pt idx="94">
                  <c:v>60</c:v>
                </c:pt>
                <c:pt idx="95">
                  <c:v>43</c:v>
                </c:pt>
                <c:pt idx="96">
                  <c:v>52</c:v>
                </c:pt>
                <c:pt idx="97">
                  <c:v>62</c:v>
                </c:pt>
                <c:pt idx="98">
                  <c:v>64</c:v>
                </c:pt>
                <c:pt idx="99">
                  <c:v>57</c:v>
                </c:pt>
                <c:pt idx="100">
                  <c:v>25</c:v>
                </c:pt>
                <c:pt idx="102">
                  <c:v>56</c:v>
                </c:pt>
                <c:pt idx="103">
                  <c:v>48</c:v>
                </c:pt>
                <c:pt idx="104">
                  <c:v>55</c:v>
                </c:pt>
                <c:pt idx="105">
                  <c:v>41</c:v>
                </c:pt>
                <c:pt idx="106">
                  <c:v>48</c:v>
                </c:pt>
                <c:pt idx="107">
                  <c:v>32</c:v>
                </c:pt>
                <c:pt idx="109">
                  <c:v>62</c:v>
                </c:pt>
                <c:pt idx="110">
                  <c:v>61</c:v>
                </c:pt>
                <c:pt idx="111">
                  <c:v>60</c:v>
                </c:pt>
                <c:pt idx="114">
                  <c:v>62</c:v>
                </c:pt>
                <c:pt idx="115">
                  <c:v>36</c:v>
                </c:pt>
                <c:pt idx="116">
                  <c:v>30</c:v>
                </c:pt>
                <c:pt idx="117">
                  <c:v>58</c:v>
                </c:pt>
                <c:pt idx="118">
                  <c:v>64</c:v>
                </c:pt>
                <c:pt idx="119">
                  <c:v>55</c:v>
                </c:pt>
                <c:pt idx="120">
                  <c:v>50</c:v>
                </c:pt>
                <c:pt idx="121">
                  <c:v>51</c:v>
                </c:pt>
                <c:pt idx="122">
                  <c:v>27</c:v>
                </c:pt>
                <c:pt idx="123">
                  <c:v>43</c:v>
                </c:pt>
                <c:pt idx="124">
                  <c:v>58</c:v>
                </c:pt>
                <c:pt idx="125">
                  <c:v>25</c:v>
                </c:pt>
                <c:pt idx="126">
                  <c:v>60</c:v>
                </c:pt>
                <c:pt idx="127">
                  <c:v>64</c:v>
                </c:pt>
                <c:pt idx="128">
                  <c:v>63</c:v>
                </c:pt>
                <c:pt idx="129">
                  <c:v>59</c:v>
                </c:pt>
                <c:pt idx="130">
                  <c:v>53</c:v>
                </c:pt>
                <c:pt idx="131">
                  <c:v>30</c:v>
                </c:pt>
                <c:pt idx="133">
                  <c:v>64</c:v>
                </c:pt>
                <c:pt idx="134">
                  <c:v>52</c:v>
                </c:pt>
                <c:pt idx="135">
                  <c:v>60</c:v>
                </c:pt>
                <c:pt idx="136">
                  <c:v>61</c:v>
                </c:pt>
                <c:pt idx="137">
                  <c:v>44</c:v>
                </c:pt>
                <c:pt idx="138">
                  <c:v>41</c:v>
                </c:pt>
                <c:pt idx="139">
                  <c:v>37</c:v>
                </c:pt>
                <c:pt idx="140">
                  <c:v>31</c:v>
                </c:pt>
                <c:pt idx="141">
                  <c:v>64</c:v>
                </c:pt>
                <c:pt idx="142">
                  <c:v>26</c:v>
                </c:pt>
                <c:pt idx="143">
                  <c:v>40</c:v>
                </c:pt>
                <c:pt idx="144">
                  <c:v>49</c:v>
                </c:pt>
                <c:pt idx="145">
                  <c:v>17</c:v>
                </c:pt>
                <c:pt idx="146">
                  <c:v>59</c:v>
                </c:pt>
                <c:pt idx="147">
                  <c:v>40</c:v>
                </c:pt>
                <c:pt idx="148">
                  <c:v>47</c:v>
                </c:pt>
                <c:pt idx="149">
                  <c:v>38</c:v>
                </c:pt>
                <c:pt idx="150">
                  <c:v>60</c:v>
                </c:pt>
                <c:pt idx="151">
                  <c:v>61</c:v>
                </c:pt>
                <c:pt idx="152">
                  <c:v>26</c:v>
                </c:pt>
                <c:pt idx="153">
                  <c:v>48</c:v>
                </c:pt>
                <c:pt idx="154">
                  <c:v>20</c:v>
                </c:pt>
                <c:pt idx="155">
                  <c:v>46</c:v>
                </c:pt>
                <c:pt idx="156">
                  <c:v>63</c:v>
                </c:pt>
                <c:pt idx="157">
                  <c:v>63</c:v>
                </c:pt>
                <c:pt idx="158">
                  <c:v>44</c:v>
                </c:pt>
                <c:pt idx="159">
                  <c:v>13</c:v>
                </c:pt>
                <c:pt idx="160">
                  <c:v>20</c:v>
                </c:pt>
                <c:pt idx="162">
                  <c:v>28</c:v>
                </c:pt>
                <c:pt idx="163">
                  <c:v>61</c:v>
                </c:pt>
                <c:pt idx="164">
                  <c:v>31</c:v>
                </c:pt>
                <c:pt idx="165">
                  <c:v>39</c:v>
                </c:pt>
                <c:pt idx="166">
                  <c:v>64</c:v>
                </c:pt>
                <c:pt idx="167">
                  <c:v>43</c:v>
                </c:pt>
                <c:pt idx="168">
                  <c:v>60</c:v>
                </c:pt>
                <c:pt idx="169">
                  <c:v>60</c:v>
                </c:pt>
                <c:pt idx="170">
                  <c:v>29</c:v>
                </c:pt>
                <c:pt idx="171">
                  <c:v>25</c:v>
                </c:pt>
                <c:pt idx="172">
                  <c:v>55</c:v>
                </c:pt>
                <c:pt idx="174">
                  <c:v>38</c:v>
                </c:pt>
                <c:pt idx="176">
                  <c:v>48</c:v>
                </c:pt>
              </c:numCache>
            </c:numRef>
          </c:xVal>
          <c:yVal>
            <c:numRef>
              <c:f>Sheet1!$G$46:$G$223</c:f>
              <c:numCache>
                <c:formatCode>General</c:formatCode>
                <c:ptCount val="178"/>
                <c:pt idx="3">
                  <c:v>143</c:v>
                </c:pt>
                <c:pt idx="6">
                  <c:v>230</c:v>
                </c:pt>
                <c:pt idx="7">
                  <c:v>235</c:v>
                </c:pt>
                <c:pt idx="8">
                  <c:v>291</c:v>
                </c:pt>
                <c:pt idx="9">
                  <c:v>251</c:v>
                </c:pt>
                <c:pt idx="10">
                  <c:v>289.5</c:v>
                </c:pt>
                <c:pt idx="12">
                  <c:v>250</c:v>
                </c:pt>
                <c:pt idx="14">
                  <c:v>300</c:v>
                </c:pt>
                <c:pt idx="16">
                  <c:v>280</c:v>
                </c:pt>
                <c:pt idx="19">
                  <c:v>390</c:v>
                </c:pt>
                <c:pt idx="23">
                  <c:v>211</c:v>
                </c:pt>
                <c:pt idx="26">
                  <c:v>229.5</c:v>
                </c:pt>
                <c:pt idx="28">
                  <c:v>236.5</c:v>
                </c:pt>
                <c:pt idx="30">
                  <c:v>254.5</c:v>
                </c:pt>
                <c:pt idx="32">
                  <c:v>272</c:v>
                </c:pt>
                <c:pt idx="33">
                  <c:v>282</c:v>
                </c:pt>
                <c:pt idx="39">
                  <c:v>278</c:v>
                </c:pt>
                <c:pt idx="40">
                  <c:v>248</c:v>
                </c:pt>
                <c:pt idx="41">
                  <c:v>256</c:v>
                </c:pt>
                <c:pt idx="42">
                  <c:v>293</c:v>
                </c:pt>
                <c:pt idx="43">
                  <c:v>282</c:v>
                </c:pt>
                <c:pt idx="44">
                  <c:v>296</c:v>
                </c:pt>
                <c:pt idx="45">
                  <c:v>247</c:v>
                </c:pt>
                <c:pt idx="46">
                  <c:v>287.5</c:v>
                </c:pt>
                <c:pt idx="47">
                  <c:v>308</c:v>
                </c:pt>
                <c:pt idx="50">
                  <c:v>272.5</c:v>
                </c:pt>
                <c:pt idx="51">
                  <c:v>263</c:v>
                </c:pt>
                <c:pt idx="52">
                  <c:v>263.5</c:v>
                </c:pt>
                <c:pt idx="53">
                  <c:v>283.5</c:v>
                </c:pt>
                <c:pt idx="56">
                  <c:v>287</c:v>
                </c:pt>
                <c:pt idx="57">
                  <c:v>280.5</c:v>
                </c:pt>
                <c:pt idx="61">
                  <c:v>301.5</c:v>
                </c:pt>
                <c:pt idx="62">
                  <c:v>267</c:v>
                </c:pt>
                <c:pt idx="65">
                  <c:v>276.5</c:v>
                </c:pt>
                <c:pt idx="66">
                  <c:v>308.5</c:v>
                </c:pt>
                <c:pt idx="68">
                  <c:v>299</c:v>
                </c:pt>
                <c:pt idx="71">
                  <c:v>272.5</c:v>
                </c:pt>
                <c:pt idx="72">
                  <c:v>298.5</c:v>
                </c:pt>
                <c:pt idx="73">
                  <c:v>307</c:v>
                </c:pt>
                <c:pt idx="75">
                  <c:v>250</c:v>
                </c:pt>
                <c:pt idx="77">
                  <c:v>294.5</c:v>
                </c:pt>
                <c:pt idx="78">
                  <c:v>272.5</c:v>
                </c:pt>
                <c:pt idx="79">
                  <c:v>274</c:v>
                </c:pt>
                <c:pt idx="80">
                  <c:v>276</c:v>
                </c:pt>
                <c:pt idx="81">
                  <c:v>282</c:v>
                </c:pt>
                <c:pt idx="82">
                  <c:v>289.5</c:v>
                </c:pt>
                <c:pt idx="83">
                  <c:v>285.5</c:v>
                </c:pt>
                <c:pt idx="88">
                  <c:v>114</c:v>
                </c:pt>
                <c:pt idx="89">
                  <c:v>285.5</c:v>
                </c:pt>
                <c:pt idx="90">
                  <c:v>264</c:v>
                </c:pt>
                <c:pt idx="91">
                  <c:v>215</c:v>
                </c:pt>
                <c:pt idx="94">
                  <c:v>296.5</c:v>
                </c:pt>
                <c:pt idx="95">
                  <c:v>230.5</c:v>
                </c:pt>
                <c:pt idx="96">
                  <c:v>254</c:v>
                </c:pt>
                <c:pt idx="97">
                  <c:v>276</c:v>
                </c:pt>
                <c:pt idx="98">
                  <c:v>274</c:v>
                </c:pt>
                <c:pt idx="99">
                  <c:v>297</c:v>
                </c:pt>
                <c:pt idx="100">
                  <c:v>167.5</c:v>
                </c:pt>
                <c:pt idx="101">
                  <c:v>266.5</c:v>
                </c:pt>
                <c:pt idx="102">
                  <c:v>257.5</c:v>
                </c:pt>
                <c:pt idx="104">
                  <c:v>242</c:v>
                </c:pt>
                <c:pt idx="105">
                  <c:v>217.5</c:v>
                </c:pt>
                <c:pt idx="106">
                  <c:v>252.5</c:v>
                </c:pt>
                <c:pt idx="107">
                  <c:v>169.5</c:v>
                </c:pt>
                <c:pt idx="109">
                  <c:v>296.5</c:v>
                </c:pt>
                <c:pt idx="110">
                  <c:v>267</c:v>
                </c:pt>
                <c:pt idx="111">
                  <c:v>256</c:v>
                </c:pt>
                <c:pt idx="112">
                  <c:v>275</c:v>
                </c:pt>
                <c:pt idx="114">
                  <c:v>253</c:v>
                </c:pt>
                <c:pt idx="117">
                  <c:v>255</c:v>
                </c:pt>
                <c:pt idx="118">
                  <c:v>282.5</c:v>
                </c:pt>
                <c:pt idx="127">
                  <c:v>254</c:v>
                </c:pt>
                <c:pt idx="128">
                  <c:v>292</c:v>
                </c:pt>
                <c:pt idx="129">
                  <c:v>289</c:v>
                </c:pt>
                <c:pt idx="135">
                  <c:v>252</c:v>
                </c:pt>
                <c:pt idx="136">
                  <c:v>275</c:v>
                </c:pt>
                <c:pt idx="141">
                  <c:v>303.5</c:v>
                </c:pt>
                <c:pt idx="150">
                  <c:v>272.5</c:v>
                </c:pt>
                <c:pt idx="151">
                  <c:v>280</c:v>
                </c:pt>
                <c:pt idx="156">
                  <c:v>288</c:v>
                </c:pt>
                <c:pt idx="157">
                  <c:v>296</c:v>
                </c:pt>
                <c:pt idx="159">
                  <c:v>129</c:v>
                </c:pt>
                <c:pt idx="160">
                  <c:v>149</c:v>
                </c:pt>
                <c:pt idx="161">
                  <c:v>307</c:v>
                </c:pt>
                <c:pt idx="162">
                  <c:v>164.5</c:v>
                </c:pt>
                <c:pt idx="163">
                  <c:v>299.5</c:v>
                </c:pt>
                <c:pt idx="164">
                  <c:v>167</c:v>
                </c:pt>
                <c:pt idx="165">
                  <c:v>200</c:v>
                </c:pt>
                <c:pt idx="166">
                  <c:v>273.5</c:v>
                </c:pt>
                <c:pt idx="167">
                  <c:v>192</c:v>
                </c:pt>
                <c:pt idx="168">
                  <c:v>276</c:v>
                </c:pt>
                <c:pt idx="170">
                  <c:v>189</c:v>
                </c:pt>
                <c:pt idx="172">
                  <c:v>251.5</c:v>
                </c:pt>
                <c:pt idx="175">
                  <c:v>272.5</c:v>
                </c:pt>
                <c:pt idx="176">
                  <c:v>211.5</c:v>
                </c:pt>
              </c:numCache>
            </c:numRef>
          </c:yVal>
          <c:smooth val="0"/>
        </c:ser>
        <c:ser>
          <c:idx val="3"/>
          <c:order val="3"/>
          <c:tx>
            <c:strRef>
              <c:f>Sheet1!$H$45</c:f>
              <c:strCache>
                <c:ptCount val="1"/>
                <c:pt idx="0">
                  <c:v>femur</c:v>
                </c:pt>
              </c:strCache>
            </c:strRef>
          </c:tx>
          <c:spPr>
            <a:ln w="28575">
              <a:noFill/>
            </a:ln>
          </c:spPr>
          <c:marker>
            <c:symbol val="none"/>
          </c:marker>
          <c:trendline>
            <c:spPr>
              <a:ln>
                <a:solidFill>
                  <a:srgbClr val="FF0000"/>
                </a:solidFill>
                <a:prstDash val="sysDash"/>
              </a:ln>
            </c:spPr>
            <c:trendlineType val="linear"/>
            <c:dispRSqr val="0"/>
            <c:dispEq val="0"/>
          </c:trendline>
          <c:xVal>
            <c:numRef>
              <c:f>Sheet1!$D$46:$D$223</c:f>
              <c:numCache>
                <c:formatCode>General</c:formatCode>
                <c:ptCount val="178"/>
                <c:pt idx="22">
                  <c:v>27</c:v>
                </c:pt>
                <c:pt idx="23">
                  <c:v>45</c:v>
                </c:pt>
                <c:pt idx="24">
                  <c:v>35</c:v>
                </c:pt>
                <c:pt idx="25">
                  <c:v>46</c:v>
                </c:pt>
                <c:pt idx="27">
                  <c:v>53</c:v>
                </c:pt>
                <c:pt idx="28">
                  <c:v>47</c:v>
                </c:pt>
                <c:pt idx="29">
                  <c:v>55</c:v>
                </c:pt>
                <c:pt idx="30">
                  <c:v>62</c:v>
                </c:pt>
                <c:pt idx="31">
                  <c:v>16</c:v>
                </c:pt>
                <c:pt idx="32">
                  <c:v>62</c:v>
                </c:pt>
                <c:pt idx="34">
                  <c:v>55</c:v>
                </c:pt>
                <c:pt idx="35">
                  <c:v>47</c:v>
                </c:pt>
                <c:pt idx="36">
                  <c:v>48</c:v>
                </c:pt>
                <c:pt idx="37">
                  <c:v>53</c:v>
                </c:pt>
                <c:pt idx="38">
                  <c:v>19</c:v>
                </c:pt>
                <c:pt idx="39">
                  <c:v>64</c:v>
                </c:pt>
                <c:pt idx="40">
                  <c:v>60</c:v>
                </c:pt>
                <c:pt idx="41">
                  <c:v>64</c:v>
                </c:pt>
                <c:pt idx="42">
                  <c:v>62</c:v>
                </c:pt>
                <c:pt idx="43">
                  <c:v>64</c:v>
                </c:pt>
                <c:pt idx="44">
                  <c:v>64</c:v>
                </c:pt>
                <c:pt idx="45">
                  <c:v>58</c:v>
                </c:pt>
                <c:pt idx="46">
                  <c:v>64</c:v>
                </c:pt>
                <c:pt idx="47">
                  <c:v>64</c:v>
                </c:pt>
                <c:pt idx="48">
                  <c:v>64</c:v>
                </c:pt>
                <c:pt idx="49">
                  <c:v>62</c:v>
                </c:pt>
                <c:pt idx="50">
                  <c:v>64</c:v>
                </c:pt>
                <c:pt idx="51">
                  <c:v>43</c:v>
                </c:pt>
                <c:pt idx="52">
                  <c:v>62</c:v>
                </c:pt>
                <c:pt idx="53">
                  <c:v>64</c:v>
                </c:pt>
                <c:pt idx="54">
                  <c:v>56</c:v>
                </c:pt>
                <c:pt idx="55">
                  <c:v>52</c:v>
                </c:pt>
                <c:pt idx="56">
                  <c:v>64</c:v>
                </c:pt>
                <c:pt idx="57">
                  <c:v>64</c:v>
                </c:pt>
                <c:pt idx="58">
                  <c:v>31</c:v>
                </c:pt>
                <c:pt idx="59">
                  <c:v>49</c:v>
                </c:pt>
                <c:pt idx="60">
                  <c:v>10</c:v>
                </c:pt>
                <c:pt idx="61">
                  <c:v>64</c:v>
                </c:pt>
                <c:pt idx="62">
                  <c:v>64</c:v>
                </c:pt>
                <c:pt idx="63">
                  <c:v>38</c:v>
                </c:pt>
                <c:pt idx="64">
                  <c:v>16</c:v>
                </c:pt>
                <c:pt idx="65">
                  <c:v>64</c:v>
                </c:pt>
                <c:pt idx="66">
                  <c:v>64</c:v>
                </c:pt>
                <c:pt idx="67">
                  <c:v>33</c:v>
                </c:pt>
                <c:pt idx="68">
                  <c:v>64</c:v>
                </c:pt>
                <c:pt idx="69">
                  <c:v>30</c:v>
                </c:pt>
                <c:pt idx="70">
                  <c:v>29</c:v>
                </c:pt>
                <c:pt idx="71">
                  <c:v>64</c:v>
                </c:pt>
                <c:pt idx="72">
                  <c:v>62</c:v>
                </c:pt>
                <c:pt idx="73">
                  <c:v>64</c:v>
                </c:pt>
                <c:pt idx="74">
                  <c:v>25</c:v>
                </c:pt>
                <c:pt idx="75">
                  <c:v>64</c:v>
                </c:pt>
                <c:pt idx="76">
                  <c:v>46</c:v>
                </c:pt>
                <c:pt idx="77">
                  <c:v>64</c:v>
                </c:pt>
                <c:pt idx="78">
                  <c:v>64</c:v>
                </c:pt>
                <c:pt idx="79">
                  <c:v>64</c:v>
                </c:pt>
                <c:pt idx="80">
                  <c:v>63</c:v>
                </c:pt>
                <c:pt idx="81">
                  <c:v>63</c:v>
                </c:pt>
                <c:pt idx="82">
                  <c:v>63</c:v>
                </c:pt>
                <c:pt idx="83">
                  <c:v>63</c:v>
                </c:pt>
                <c:pt idx="84">
                  <c:v>22</c:v>
                </c:pt>
                <c:pt idx="85">
                  <c:v>35</c:v>
                </c:pt>
                <c:pt idx="86">
                  <c:v>25</c:v>
                </c:pt>
                <c:pt idx="87">
                  <c:v>29</c:v>
                </c:pt>
                <c:pt idx="88">
                  <c:v>10</c:v>
                </c:pt>
                <c:pt idx="89">
                  <c:v>60</c:v>
                </c:pt>
                <c:pt idx="90">
                  <c:v>62</c:v>
                </c:pt>
                <c:pt idx="91">
                  <c:v>45</c:v>
                </c:pt>
                <c:pt idx="92">
                  <c:v>15</c:v>
                </c:pt>
                <c:pt idx="93">
                  <c:v>28</c:v>
                </c:pt>
                <c:pt idx="94">
                  <c:v>60</c:v>
                </c:pt>
                <c:pt idx="95">
                  <c:v>43</c:v>
                </c:pt>
                <c:pt idx="96">
                  <c:v>52</c:v>
                </c:pt>
                <c:pt idx="97">
                  <c:v>62</c:v>
                </c:pt>
                <c:pt idx="98">
                  <c:v>64</c:v>
                </c:pt>
                <c:pt idx="99">
                  <c:v>57</c:v>
                </c:pt>
                <c:pt idx="100">
                  <c:v>25</c:v>
                </c:pt>
                <c:pt idx="102">
                  <c:v>56</c:v>
                </c:pt>
                <c:pt idx="103">
                  <c:v>48</c:v>
                </c:pt>
                <c:pt idx="104">
                  <c:v>55</c:v>
                </c:pt>
                <c:pt idx="105">
                  <c:v>41</c:v>
                </c:pt>
                <c:pt idx="106">
                  <c:v>48</c:v>
                </c:pt>
                <c:pt idx="107">
                  <c:v>32</c:v>
                </c:pt>
                <c:pt idx="109">
                  <c:v>62</c:v>
                </c:pt>
                <c:pt idx="110">
                  <c:v>61</c:v>
                </c:pt>
                <c:pt idx="111">
                  <c:v>60</c:v>
                </c:pt>
                <c:pt idx="114">
                  <c:v>62</c:v>
                </c:pt>
                <c:pt idx="115">
                  <c:v>36</c:v>
                </c:pt>
                <c:pt idx="116">
                  <c:v>30</c:v>
                </c:pt>
                <c:pt idx="117">
                  <c:v>58</c:v>
                </c:pt>
                <c:pt idx="118">
                  <c:v>64</c:v>
                </c:pt>
                <c:pt idx="119">
                  <c:v>55</c:v>
                </c:pt>
                <c:pt idx="120">
                  <c:v>50</c:v>
                </c:pt>
                <c:pt idx="121">
                  <c:v>51</c:v>
                </c:pt>
                <c:pt idx="122">
                  <c:v>27</c:v>
                </c:pt>
                <c:pt idx="123">
                  <c:v>43</c:v>
                </c:pt>
                <c:pt idx="124">
                  <c:v>58</c:v>
                </c:pt>
                <c:pt idx="125">
                  <c:v>25</c:v>
                </c:pt>
                <c:pt idx="126">
                  <c:v>60</c:v>
                </c:pt>
                <c:pt idx="127">
                  <c:v>64</c:v>
                </c:pt>
                <c:pt idx="128">
                  <c:v>63</c:v>
                </c:pt>
                <c:pt idx="129">
                  <c:v>59</c:v>
                </c:pt>
                <c:pt idx="130">
                  <c:v>53</c:v>
                </c:pt>
                <c:pt idx="131">
                  <c:v>30</c:v>
                </c:pt>
                <c:pt idx="133">
                  <c:v>64</c:v>
                </c:pt>
                <c:pt idx="134">
                  <c:v>52</c:v>
                </c:pt>
                <c:pt idx="135">
                  <c:v>60</c:v>
                </c:pt>
                <c:pt idx="136">
                  <c:v>61</c:v>
                </c:pt>
                <c:pt idx="137">
                  <c:v>44</c:v>
                </c:pt>
                <c:pt idx="138">
                  <c:v>41</c:v>
                </c:pt>
                <c:pt idx="139">
                  <c:v>37</c:v>
                </c:pt>
                <c:pt idx="140">
                  <c:v>31</c:v>
                </c:pt>
                <c:pt idx="141">
                  <c:v>64</c:v>
                </c:pt>
                <c:pt idx="142">
                  <c:v>26</c:v>
                </c:pt>
                <c:pt idx="143">
                  <c:v>40</c:v>
                </c:pt>
                <c:pt idx="144">
                  <c:v>49</c:v>
                </c:pt>
                <c:pt idx="145">
                  <c:v>17</c:v>
                </c:pt>
                <c:pt idx="146">
                  <c:v>59</c:v>
                </c:pt>
                <c:pt idx="147">
                  <c:v>40</c:v>
                </c:pt>
                <c:pt idx="148">
                  <c:v>47</c:v>
                </c:pt>
                <c:pt idx="149">
                  <c:v>38</c:v>
                </c:pt>
                <c:pt idx="150">
                  <c:v>60</c:v>
                </c:pt>
                <c:pt idx="151">
                  <c:v>61</c:v>
                </c:pt>
                <c:pt idx="152">
                  <c:v>26</c:v>
                </c:pt>
                <c:pt idx="153">
                  <c:v>48</c:v>
                </c:pt>
                <c:pt idx="154">
                  <c:v>20</c:v>
                </c:pt>
                <c:pt idx="155">
                  <c:v>46</c:v>
                </c:pt>
                <c:pt idx="156">
                  <c:v>63</c:v>
                </c:pt>
                <c:pt idx="157">
                  <c:v>63</c:v>
                </c:pt>
                <c:pt idx="158">
                  <c:v>44</c:v>
                </c:pt>
                <c:pt idx="159">
                  <c:v>13</c:v>
                </c:pt>
                <c:pt idx="160">
                  <c:v>20</c:v>
                </c:pt>
                <c:pt idx="162">
                  <c:v>28</c:v>
                </c:pt>
                <c:pt idx="163">
                  <c:v>61</c:v>
                </c:pt>
                <c:pt idx="164">
                  <c:v>31</c:v>
                </c:pt>
                <c:pt idx="165">
                  <c:v>39</c:v>
                </c:pt>
                <c:pt idx="166">
                  <c:v>64</c:v>
                </c:pt>
                <c:pt idx="167">
                  <c:v>43</c:v>
                </c:pt>
                <c:pt idx="168">
                  <c:v>60</c:v>
                </c:pt>
                <c:pt idx="169">
                  <c:v>60</c:v>
                </c:pt>
                <c:pt idx="170">
                  <c:v>29</c:v>
                </c:pt>
                <c:pt idx="171">
                  <c:v>25</c:v>
                </c:pt>
                <c:pt idx="172">
                  <c:v>55</c:v>
                </c:pt>
                <c:pt idx="174">
                  <c:v>38</c:v>
                </c:pt>
                <c:pt idx="176">
                  <c:v>48</c:v>
                </c:pt>
              </c:numCache>
            </c:numRef>
          </c:xVal>
          <c:yVal>
            <c:numRef>
              <c:f>Sheet1!$H$46:$H$223</c:f>
              <c:numCache>
                <c:formatCode>General</c:formatCode>
                <c:ptCount val="178"/>
                <c:pt idx="0">
                  <c:v>171.5</c:v>
                </c:pt>
                <c:pt idx="2">
                  <c:v>176</c:v>
                </c:pt>
                <c:pt idx="3">
                  <c:v>149</c:v>
                </c:pt>
                <c:pt idx="4">
                  <c:v>134.5</c:v>
                </c:pt>
                <c:pt idx="5">
                  <c:v>162</c:v>
                </c:pt>
                <c:pt idx="6">
                  <c:v>231</c:v>
                </c:pt>
                <c:pt idx="7">
                  <c:v>237.5</c:v>
                </c:pt>
                <c:pt idx="9">
                  <c:v>262</c:v>
                </c:pt>
                <c:pt idx="10">
                  <c:v>280</c:v>
                </c:pt>
                <c:pt idx="12">
                  <c:v>257.5</c:v>
                </c:pt>
                <c:pt idx="14">
                  <c:v>317</c:v>
                </c:pt>
                <c:pt idx="15">
                  <c:v>229.5</c:v>
                </c:pt>
                <c:pt idx="16">
                  <c:v>313.5</c:v>
                </c:pt>
                <c:pt idx="19">
                  <c:v>287.5</c:v>
                </c:pt>
                <c:pt idx="20">
                  <c:v>144</c:v>
                </c:pt>
                <c:pt idx="22">
                  <c:v>144.5</c:v>
                </c:pt>
                <c:pt idx="23">
                  <c:v>226</c:v>
                </c:pt>
                <c:pt idx="24">
                  <c:v>211</c:v>
                </c:pt>
                <c:pt idx="25">
                  <c:v>220</c:v>
                </c:pt>
                <c:pt idx="26">
                  <c:v>245</c:v>
                </c:pt>
                <c:pt idx="27">
                  <c:v>270</c:v>
                </c:pt>
                <c:pt idx="28">
                  <c:v>237</c:v>
                </c:pt>
                <c:pt idx="30">
                  <c:v>273.5</c:v>
                </c:pt>
                <c:pt idx="32">
                  <c:v>305.5</c:v>
                </c:pt>
                <c:pt idx="33">
                  <c:v>307</c:v>
                </c:pt>
                <c:pt idx="34">
                  <c:v>288</c:v>
                </c:pt>
                <c:pt idx="35">
                  <c:v>221.5</c:v>
                </c:pt>
                <c:pt idx="36">
                  <c:v>261.5</c:v>
                </c:pt>
                <c:pt idx="37">
                  <c:v>283</c:v>
                </c:pt>
                <c:pt idx="39">
                  <c:v>275</c:v>
                </c:pt>
                <c:pt idx="40">
                  <c:v>261</c:v>
                </c:pt>
                <c:pt idx="41">
                  <c:v>260.5</c:v>
                </c:pt>
                <c:pt idx="42">
                  <c:v>289</c:v>
                </c:pt>
                <c:pt idx="43">
                  <c:v>293</c:v>
                </c:pt>
                <c:pt idx="44">
                  <c:v>297.5</c:v>
                </c:pt>
                <c:pt idx="45">
                  <c:v>272</c:v>
                </c:pt>
                <c:pt idx="46">
                  <c:v>295.5</c:v>
                </c:pt>
                <c:pt idx="47">
                  <c:v>315</c:v>
                </c:pt>
                <c:pt idx="48">
                  <c:v>299</c:v>
                </c:pt>
                <c:pt idx="49">
                  <c:v>244.5</c:v>
                </c:pt>
                <c:pt idx="50">
                  <c:v>270</c:v>
                </c:pt>
                <c:pt idx="51">
                  <c:v>305</c:v>
                </c:pt>
                <c:pt idx="52">
                  <c:v>306.5</c:v>
                </c:pt>
                <c:pt idx="53">
                  <c:v>295</c:v>
                </c:pt>
                <c:pt idx="54">
                  <c:v>212</c:v>
                </c:pt>
                <c:pt idx="55">
                  <c:v>227.5</c:v>
                </c:pt>
                <c:pt idx="56">
                  <c:v>288</c:v>
                </c:pt>
                <c:pt idx="57">
                  <c:v>285</c:v>
                </c:pt>
                <c:pt idx="58">
                  <c:v>165.5</c:v>
                </c:pt>
                <c:pt idx="59">
                  <c:v>216</c:v>
                </c:pt>
                <c:pt idx="61">
                  <c:v>295</c:v>
                </c:pt>
                <c:pt idx="62">
                  <c:v>275</c:v>
                </c:pt>
                <c:pt idx="63">
                  <c:v>196</c:v>
                </c:pt>
                <c:pt idx="64">
                  <c:v>138.5</c:v>
                </c:pt>
                <c:pt idx="65">
                  <c:v>278</c:v>
                </c:pt>
                <c:pt idx="66">
                  <c:v>309.5</c:v>
                </c:pt>
                <c:pt idx="67">
                  <c:v>203.5</c:v>
                </c:pt>
                <c:pt idx="68">
                  <c:v>300.5</c:v>
                </c:pt>
                <c:pt idx="69">
                  <c:v>162.5</c:v>
                </c:pt>
                <c:pt idx="70">
                  <c:v>170</c:v>
                </c:pt>
                <c:pt idx="71">
                  <c:v>277</c:v>
                </c:pt>
                <c:pt idx="72">
                  <c:v>305.5</c:v>
                </c:pt>
                <c:pt idx="73">
                  <c:v>305.5</c:v>
                </c:pt>
                <c:pt idx="74">
                  <c:v>152.5</c:v>
                </c:pt>
                <c:pt idx="75">
                  <c:v>261.5</c:v>
                </c:pt>
                <c:pt idx="76">
                  <c:v>225</c:v>
                </c:pt>
                <c:pt idx="77">
                  <c:v>286</c:v>
                </c:pt>
                <c:pt idx="78">
                  <c:v>274</c:v>
                </c:pt>
                <c:pt idx="79">
                  <c:v>296.5</c:v>
                </c:pt>
                <c:pt idx="80">
                  <c:v>284.5</c:v>
                </c:pt>
                <c:pt idx="81">
                  <c:v>292.5</c:v>
                </c:pt>
                <c:pt idx="82">
                  <c:v>280.5</c:v>
                </c:pt>
                <c:pt idx="83">
                  <c:v>292.5</c:v>
                </c:pt>
                <c:pt idx="84">
                  <c:v>142</c:v>
                </c:pt>
                <c:pt idx="85">
                  <c:v>191</c:v>
                </c:pt>
                <c:pt idx="86">
                  <c:v>183.5</c:v>
                </c:pt>
                <c:pt idx="87">
                  <c:v>178.5</c:v>
                </c:pt>
                <c:pt idx="88">
                  <c:v>124</c:v>
                </c:pt>
                <c:pt idx="89">
                  <c:v>281.5</c:v>
                </c:pt>
                <c:pt idx="90">
                  <c:v>274</c:v>
                </c:pt>
                <c:pt idx="91">
                  <c:v>217</c:v>
                </c:pt>
                <c:pt idx="92">
                  <c:v>131.5</c:v>
                </c:pt>
                <c:pt idx="93">
                  <c:v>215.5</c:v>
                </c:pt>
                <c:pt idx="94">
                  <c:v>302</c:v>
                </c:pt>
                <c:pt idx="95">
                  <c:v>230.5</c:v>
                </c:pt>
                <c:pt idx="96">
                  <c:v>259</c:v>
                </c:pt>
                <c:pt idx="97">
                  <c:v>279</c:v>
                </c:pt>
                <c:pt idx="98">
                  <c:v>270.5</c:v>
                </c:pt>
                <c:pt idx="99">
                  <c:v>295</c:v>
                </c:pt>
                <c:pt idx="100">
                  <c:v>172</c:v>
                </c:pt>
                <c:pt idx="101">
                  <c:v>281</c:v>
                </c:pt>
                <c:pt idx="102">
                  <c:v>278.5</c:v>
                </c:pt>
                <c:pt idx="103">
                  <c:v>238</c:v>
                </c:pt>
                <c:pt idx="104">
                  <c:v>257</c:v>
                </c:pt>
                <c:pt idx="105">
                  <c:v>221.5</c:v>
                </c:pt>
                <c:pt idx="106">
                  <c:v>266.5</c:v>
                </c:pt>
                <c:pt idx="107">
                  <c:v>184</c:v>
                </c:pt>
                <c:pt idx="108">
                  <c:v>202.5</c:v>
                </c:pt>
                <c:pt idx="109">
                  <c:v>270.5</c:v>
                </c:pt>
                <c:pt idx="110">
                  <c:v>282</c:v>
                </c:pt>
                <c:pt idx="111">
                  <c:v>266.5</c:v>
                </c:pt>
                <c:pt idx="112">
                  <c:v>281.5</c:v>
                </c:pt>
                <c:pt idx="114">
                  <c:v>278</c:v>
                </c:pt>
                <c:pt idx="115">
                  <c:v>192</c:v>
                </c:pt>
                <c:pt idx="116">
                  <c:v>204.5</c:v>
                </c:pt>
                <c:pt idx="117">
                  <c:v>281.5</c:v>
                </c:pt>
                <c:pt idx="118">
                  <c:v>293</c:v>
                </c:pt>
                <c:pt idx="120">
                  <c:v>254.5</c:v>
                </c:pt>
                <c:pt idx="121">
                  <c:v>227.5</c:v>
                </c:pt>
                <c:pt idx="122">
                  <c:v>162</c:v>
                </c:pt>
                <c:pt idx="123">
                  <c:v>208</c:v>
                </c:pt>
                <c:pt idx="124">
                  <c:v>274</c:v>
                </c:pt>
                <c:pt idx="126">
                  <c:v>267</c:v>
                </c:pt>
                <c:pt idx="127">
                  <c:v>282</c:v>
                </c:pt>
                <c:pt idx="128">
                  <c:v>300</c:v>
                </c:pt>
                <c:pt idx="129">
                  <c:v>305</c:v>
                </c:pt>
                <c:pt idx="130">
                  <c:v>218</c:v>
                </c:pt>
                <c:pt idx="131">
                  <c:v>165.5</c:v>
                </c:pt>
                <c:pt idx="133">
                  <c:v>314</c:v>
                </c:pt>
                <c:pt idx="134">
                  <c:v>225.5</c:v>
                </c:pt>
                <c:pt idx="135">
                  <c:v>265</c:v>
                </c:pt>
                <c:pt idx="136">
                  <c:v>286.5</c:v>
                </c:pt>
                <c:pt idx="137">
                  <c:v>209</c:v>
                </c:pt>
                <c:pt idx="138">
                  <c:v>191.5</c:v>
                </c:pt>
                <c:pt idx="139">
                  <c:v>195.5</c:v>
                </c:pt>
                <c:pt idx="140">
                  <c:v>196</c:v>
                </c:pt>
                <c:pt idx="141">
                  <c:v>307.5</c:v>
                </c:pt>
                <c:pt idx="142">
                  <c:v>176</c:v>
                </c:pt>
                <c:pt idx="143">
                  <c:v>197.5</c:v>
                </c:pt>
                <c:pt idx="144">
                  <c:v>242</c:v>
                </c:pt>
                <c:pt idx="145">
                  <c:v>122</c:v>
                </c:pt>
                <c:pt idx="146">
                  <c:v>252</c:v>
                </c:pt>
                <c:pt idx="147">
                  <c:v>203</c:v>
                </c:pt>
                <c:pt idx="148">
                  <c:v>226.5</c:v>
                </c:pt>
                <c:pt idx="149">
                  <c:v>200.5</c:v>
                </c:pt>
                <c:pt idx="150">
                  <c:v>270</c:v>
                </c:pt>
                <c:pt idx="151">
                  <c:v>277.5</c:v>
                </c:pt>
                <c:pt idx="152">
                  <c:v>190.5</c:v>
                </c:pt>
                <c:pt idx="153">
                  <c:v>228.5</c:v>
                </c:pt>
                <c:pt idx="155">
                  <c:v>206</c:v>
                </c:pt>
                <c:pt idx="156">
                  <c:v>291.5</c:v>
                </c:pt>
                <c:pt idx="157">
                  <c:v>285</c:v>
                </c:pt>
                <c:pt idx="158">
                  <c:v>232</c:v>
                </c:pt>
                <c:pt idx="159">
                  <c:v>133</c:v>
                </c:pt>
                <c:pt idx="160">
                  <c:v>149</c:v>
                </c:pt>
                <c:pt idx="161">
                  <c:v>304</c:v>
                </c:pt>
                <c:pt idx="162">
                  <c:v>158</c:v>
                </c:pt>
                <c:pt idx="163">
                  <c:v>294.5</c:v>
                </c:pt>
                <c:pt idx="164">
                  <c:v>166.5</c:v>
                </c:pt>
                <c:pt idx="165">
                  <c:v>214.5</c:v>
                </c:pt>
                <c:pt idx="166">
                  <c:v>286.5</c:v>
                </c:pt>
                <c:pt idx="167">
                  <c:v>203</c:v>
                </c:pt>
                <c:pt idx="168">
                  <c:v>292.5</c:v>
                </c:pt>
                <c:pt idx="170">
                  <c:v>200</c:v>
                </c:pt>
                <c:pt idx="171">
                  <c:v>181</c:v>
                </c:pt>
                <c:pt idx="172">
                  <c:v>261.5</c:v>
                </c:pt>
                <c:pt idx="173">
                  <c:v>266</c:v>
                </c:pt>
                <c:pt idx="174">
                  <c:v>217</c:v>
                </c:pt>
                <c:pt idx="175">
                  <c:v>283</c:v>
                </c:pt>
                <c:pt idx="176">
                  <c:v>214</c:v>
                </c:pt>
                <c:pt idx="177">
                  <c:v>128</c:v>
                </c:pt>
              </c:numCache>
            </c:numRef>
          </c:yVal>
          <c:smooth val="0"/>
        </c:ser>
        <c:ser>
          <c:idx val="4"/>
          <c:order val="4"/>
          <c:tx>
            <c:strRef>
              <c:f>Sheet1!$I$45</c:f>
              <c:strCache>
                <c:ptCount val="1"/>
                <c:pt idx="0">
                  <c:v>tibia</c:v>
                </c:pt>
              </c:strCache>
            </c:strRef>
          </c:tx>
          <c:spPr>
            <a:ln w="28575">
              <a:noFill/>
            </a:ln>
          </c:spPr>
          <c:marker>
            <c:symbol val="none"/>
          </c:marker>
          <c:trendline>
            <c:spPr>
              <a:ln>
                <a:solidFill>
                  <a:srgbClr val="7030A0"/>
                </a:solidFill>
                <a:prstDash val="lgDashDotDot"/>
              </a:ln>
            </c:spPr>
            <c:trendlineType val="linear"/>
            <c:dispRSqr val="0"/>
            <c:dispEq val="0"/>
          </c:trendline>
          <c:xVal>
            <c:numRef>
              <c:f>Sheet1!$D$46:$D$223</c:f>
              <c:numCache>
                <c:formatCode>General</c:formatCode>
                <c:ptCount val="178"/>
                <c:pt idx="22">
                  <c:v>27</c:v>
                </c:pt>
                <c:pt idx="23">
                  <c:v>45</c:v>
                </c:pt>
                <c:pt idx="24">
                  <c:v>35</c:v>
                </c:pt>
                <c:pt idx="25">
                  <c:v>46</c:v>
                </c:pt>
                <c:pt idx="27">
                  <c:v>53</c:v>
                </c:pt>
                <c:pt idx="28">
                  <c:v>47</c:v>
                </c:pt>
                <c:pt idx="29">
                  <c:v>55</c:v>
                </c:pt>
                <c:pt idx="30">
                  <c:v>62</c:v>
                </c:pt>
                <c:pt idx="31">
                  <c:v>16</c:v>
                </c:pt>
                <c:pt idx="32">
                  <c:v>62</c:v>
                </c:pt>
                <c:pt idx="34">
                  <c:v>55</c:v>
                </c:pt>
                <c:pt idx="35">
                  <c:v>47</c:v>
                </c:pt>
                <c:pt idx="36">
                  <c:v>48</c:v>
                </c:pt>
                <c:pt idx="37">
                  <c:v>53</c:v>
                </c:pt>
                <c:pt idx="38">
                  <c:v>19</c:v>
                </c:pt>
                <c:pt idx="39">
                  <c:v>64</c:v>
                </c:pt>
                <c:pt idx="40">
                  <c:v>60</c:v>
                </c:pt>
                <c:pt idx="41">
                  <c:v>64</c:v>
                </c:pt>
                <c:pt idx="42">
                  <c:v>62</c:v>
                </c:pt>
                <c:pt idx="43">
                  <c:v>64</c:v>
                </c:pt>
                <c:pt idx="44">
                  <c:v>64</c:v>
                </c:pt>
                <c:pt idx="45">
                  <c:v>58</c:v>
                </c:pt>
                <c:pt idx="46">
                  <c:v>64</c:v>
                </c:pt>
                <c:pt idx="47">
                  <c:v>64</c:v>
                </c:pt>
                <c:pt idx="48">
                  <c:v>64</c:v>
                </c:pt>
                <c:pt idx="49">
                  <c:v>62</c:v>
                </c:pt>
                <c:pt idx="50">
                  <c:v>64</c:v>
                </c:pt>
                <c:pt idx="51">
                  <c:v>43</c:v>
                </c:pt>
                <c:pt idx="52">
                  <c:v>62</c:v>
                </c:pt>
                <c:pt idx="53">
                  <c:v>64</c:v>
                </c:pt>
                <c:pt idx="54">
                  <c:v>56</c:v>
                </c:pt>
                <c:pt idx="55">
                  <c:v>52</c:v>
                </c:pt>
                <c:pt idx="56">
                  <c:v>64</c:v>
                </c:pt>
                <c:pt idx="57">
                  <c:v>64</c:v>
                </c:pt>
                <c:pt idx="58">
                  <c:v>31</c:v>
                </c:pt>
                <c:pt idx="59">
                  <c:v>49</c:v>
                </c:pt>
                <c:pt idx="60">
                  <c:v>10</c:v>
                </c:pt>
                <c:pt idx="61">
                  <c:v>64</c:v>
                </c:pt>
                <c:pt idx="62">
                  <c:v>64</c:v>
                </c:pt>
                <c:pt idx="63">
                  <c:v>38</c:v>
                </c:pt>
                <c:pt idx="64">
                  <c:v>16</c:v>
                </c:pt>
                <c:pt idx="65">
                  <c:v>64</c:v>
                </c:pt>
                <c:pt idx="66">
                  <c:v>64</c:v>
                </c:pt>
                <c:pt idx="67">
                  <c:v>33</c:v>
                </c:pt>
                <c:pt idx="68">
                  <c:v>64</c:v>
                </c:pt>
                <c:pt idx="69">
                  <c:v>30</c:v>
                </c:pt>
                <c:pt idx="70">
                  <c:v>29</c:v>
                </c:pt>
                <c:pt idx="71">
                  <c:v>64</c:v>
                </c:pt>
                <c:pt idx="72">
                  <c:v>62</c:v>
                </c:pt>
                <c:pt idx="73">
                  <c:v>64</c:v>
                </c:pt>
                <c:pt idx="74">
                  <c:v>25</c:v>
                </c:pt>
                <c:pt idx="75">
                  <c:v>64</c:v>
                </c:pt>
                <c:pt idx="76">
                  <c:v>46</c:v>
                </c:pt>
                <c:pt idx="77">
                  <c:v>64</c:v>
                </c:pt>
                <c:pt idx="78">
                  <c:v>64</c:v>
                </c:pt>
                <c:pt idx="79">
                  <c:v>64</c:v>
                </c:pt>
                <c:pt idx="80">
                  <c:v>63</c:v>
                </c:pt>
                <c:pt idx="81">
                  <c:v>63</c:v>
                </c:pt>
                <c:pt idx="82">
                  <c:v>63</c:v>
                </c:pt>
                <c:pt idx="83">
                  <c:v>63</c:v>
                </c:pt>
                <c:pt idx="84">
                  <c:v>22</c:v>
                </c:pt>
                <c:pt idx="85">
                  <c:v>35</c:v>
                </c:pt>
                <c:pt idx="86">
                  <c:v>25</c:v>
                </c:pt>
                <c:pt idx="87">
                  <c:v>29</c:v>
                </c:pt>
                <c:pt idx="88">
                  <c:v>10</c:v>
                </c:pt>
                <c:pt idx="89">
                  <c:v>60</c:v>
                </c:pt>
                <c:pt idx="90">
                  <c:v>62</c:v>
                </c:pt>
                <c:pt idx="91">
                  <c:v>45</c:v>
                </c:pt>
                <c:pt idx="92">
                  <c:v>15</c:v>
                </c:pt>
                <c:pt idx="93">
                  <c:v>28</c:v>
                </c:pt>
                <c:pt idx="94">
                  <c:v>60</c:v>
                </c:pt>
                <c:pt idx="95">
                  <c:v>43</c:v>
                </c:pt>
                <c:pt idx="96">
                  <c:v>52</c:v>
                </c:pt>
                <c:pt idx="97">
                  <c:v>62</c:v>
                </c:pt>
                <c:pt idx="98">
                  <c:v>64</c:v>
                </c:pt>
                <c:pt idx="99">
                  <c:v>57</c:v>
                </c:pt>
                <c:pt idx="100">
                  <c:v>25</c:v>
                </c:pt>
                <c:pt idx="102">
                  <c:v>56</c:v>
                </c:pt>
                <c:pt idx="103">
                  <c:v>48</c:v>
                </c:pt>
                <c:pt idx="104">
                  <c:v>55</c:v>
                </c:pt>
                <c:pt idx="105">
                  <c:v>41</c:v>
                </c:pt>
                <c:pt idx="106">
                  <c:v>48</c:v>
                </c:pt>
                <c:pt idx="107">
                  <c:v>32</c:v>
                </c:pt>
                <c:pt idx="109">
                  <c:v>62</c:v>
                </c:pt>
                <c:pt idx="110">
                  <c:v>61</c:v>
                </c:pt>
                <c:pt idx="111">
                  <c:v>60</c:v>
                </c:pt>
                <c:pt idx="114">
                  <c:v>62</c:v>
                </c:pt>
                <c:pt idx="115">
                  <c:v>36</c:v>
                </c:pt>
                <c:pt idx="116">
                  <c:v>30</c:v>
                </c:pt>
                <c:pt idx="117">
                  <c:v>58</c:v>
                </c:pt>
                <c:pt idx="118">
                  <c:v>64</c:v>
                </c:pt>
                <c:pt idx="119">
                  <c:v>55</c:v>
                </c:pt>
                <c:pt idx="120">
                  <c:v>50</c:v>
                </c:pt>
                <c:pt idx="121">
                  <c:v>51</c:v>
                </c:pt>
                <c:pt idx="122">
                  <c:v>27</c:v>
                </c:pt>
                <c:pt idx="123">
                  <c:v>43</c:v>
                </c:pt>
                <c:pt idx="124">
                  <c:v>58</c:v>
                </c:pt>
                <c:pt idx="125">
                  <c:v>25</c:v>
                </c:pt>
                <c:pt idx="126">
                  <c:v>60</c:v>
                </c:pt>
                <c:pt idx="127">
                  <c:v>64</c:v>
                </c:pt>
                <c:pt idx="128">
                  <c:v>63</c:v>
                </c:pt>
                <c:pt idx="129">
                  <c:v>59</c:v>
                </c:pt>
                <c:pt idx="130">
                  <c:v>53</c:v>
                </c:pt>
                <c:pt idx="131">
                  <c:v>30</c:v>
                </c:pt>
                <c:pt idx="133">
                  <c:v>64</c:v>
                </c:pt>
                <c:pt idx="134">
                  <c:v>52</c:v>
                </c:pt>
                <c:pt idx="135">
                  <c:v>60</c:v>
                </c:pt>
                <c:pt idx="136">
                  <c:v>61</c:v>
                </c:pt>
                <c:pt idx="137">
                  <c:v>44</c:v>
                </c:pt>
                <c:pt idx="138">
                  <c:v>41</c:v>
                </c:pt>
                <c:pt idx="139">
                  <c:v>37</c:v>
                </c:pt>
                <c:pt idx="140">
                  <c:v>31</c:v>
                </c:pt>
                <c:pt idx="141">
                  <c:v>64</c:v>
                </c:pt>
                <c:pt idx="142">
                  <c:v>26</c:v>
                </c:pt>
                <c:pt idx="143">
                  <c:v>40</c:v>
                </c:pt>
                <c:pt idx="144">
                  <c:v>49</c:v>
                </c:pt>
                <c:pt idx="145">
                  <c:v>17</c:v>
                </c:pt>
                <c:pt idx="146">
                  <c:v>59</c:v>
                </c:pt>
                <c:pt idx="147">
                  <c:v>40</c:v>
                </c:pt>
                <c:pt idx="148">
                  <c:v>47</c:v>
                </c:pt>
                <c:pt idx="149">
                  <c:v>38</c:v>
                </c:pt>
                <c:pt idx="150">
                  <c:v>60</c:v>
                </c:pt>
                <c:pt idx="151">
                  <c:v>61</c:v>
                </c:pt>
                <c:pt idx="152">
                  <c:v>26</c:v>
                </c:pt>
                <c:pt idx="153">
                  <c:v>48</c:v>
                </c:pt>
                <c:pt idx="154">
                  <c:v>20</c:v>
                </c:pt>
                <c:pt idx="155">
                  <c:v>46</c:v>
                </c:pt>
                <c:pt idx="156">
                  <c:v>63</c:v>
                </c:pt>
                <c:pt idx="157">
                  <c:v>63</c:v>
                </c:pt>
                <c:pt idx="158">
                  <c:v>44</c:v>
                </c:pt>
                <c:pt idx="159">
                  <c:v>13</c:v>
                </c:pt>
                <c:pt idx="160">
                  <c:v>20</c:v>
                </c:pt>
                <c:pt idx="162">
                  <c:v>28</c:v>
                </c:pt>
                <c:pt idx="163">
                  <c:v>61</c:v>
                </c:pt>
                <c:pt idx="164">
                  <c:v>31</c:v>
                </c:pt>
                <c:pt idx="165">
                  <c:v>39</c:v>
                </c:pt>
                <c:pt idx="166">
                  <c:v>64</c:v>
                </c:pt>
                <c:pt idx="167">
                  <c:v>43</c:v>
                </c:pt>
                <c:pt idx="168">
                  <c:v>60</c:v>
                </c:pt>
                <c:pt idx="169">
                  <c:v>60</c:v>
                </c:pt>
                <c:pt idx="170">
                  <c:v>29</c:v>
                </c:pt>
                <c:pt idx="171">
                  <c:v>25</c:v>
                </c:pt>
                <c:pt idx="172">
                  <c:v>55</c:v>
                </c:pt>
                <c:pt idx="174">
                  <c:v>38</c:v>
                </c:pt>
                <c:pt idx="176">
                  <c:v>48</c:v>
                </c:pt>
              </c:numCache>
            </c:numRef>
          </c:xVal>
          <c:yVal>
            <c:numRef>
              <c:f>Sheet1!$I$46:$I$223</c:f>
              <c:numCache>
                <c:formatCode>General</c:formatCode>
                <c:ptCount val="178"/>
                <c:pt idx="0">
                  <c:v>139.5</c:v>
                </c:pt>
                <c:pt idx="2">
                  <c:v>141.5</c:v>
                </c:pt>
                <c:pt idx="3">
                  <c:v>126</c:v>
                </c:pt>
                <c:pt idx="4">
                  <c:v>111</c:v>
                </c:pt>
                <c:pt idx="6">
                  <c:v>195</c:v>
                </c:pt>
                <c:pt idx="7">
                  <c:v>199.5</c:v>
                </c:pt>
                <c:pt idx="10">
                  <c:v>244.5</c:v>
                </c:pt>
                <c:pt idx="12">
                  <c:v>225</c:v>
                </c:pt>
                <c:pt idx="13">
                  <c:v>95.5</c:v>
                </c:pt>
                <c:pt idx="14">
                  <c:v>265</c:v>
                </c:pt>
                <c:pt idx="15">
                  <c:v>192</c:v>
                </c:pt>
                <c:pt idx="16">
                  <c:v>260</c:v>
                </c:pt>
                <c:pt idx="19">
                  <c:v>250</c:v>
                </c:pt>
                <c:pt idx="20">
                  <c:v>115</c:v>
                </c:pt>
                <c:pt idx="22">
                  <c:v>122</c:v>
                </c:pt>
                <c:pt idx="23">
                  <c:v>187.5</c:v>
                </c:pt>
                <c:pt idx="24">
                  <c:v>178</c:v>
                </c:pt>
                <c:pt idx="25">
                  <c:v>183.5</c:v>
                </c:pt>
                <c:pt idx="26">
                  <c:v>206.5</c:v>
                </c:pt>
                <c:pt idx="28">
                  <c:v>202</c:v>
                </c:pt>
                <c:pt idx="30">
                  <c:v>226.5</c:v>
                </c:pt>
                <c:pt idx="32">
                  <c:v>244</c:v>
                </c:pt>
                <c:pt idx="33">
                  <c:v>251</c:v>
                </c:pt>
                <c:pt idx="34">
                  <c:v>225</c:v>
                </c:pt>
                <c:pt idx="35">
                  <c:v>185</c:v>
                </c:pt>
                <c:pt idx="36">
                  <c:v>214</c:v>
                </c:pt>
                <c:pt idx="37">
                  <c:v>242</c:v>
                </c:pt>
                <c:pt idx="39">
                  <c:v>241</c:v>
                </c:pt>
                <c:pt idx="40">
                  <c:v>216.5</c:v>
                </c:pt>
                <c:pt idx="41">
                  <c:v>222.5</c:v>
                </c:pt>
                <c:pt idx="42">
                  <c:v>248</c:v>
                </c:pt>
                <c:pt idx="43">
                  <c:v>245.5</c:v>
                </c:pt>
                <c:pt idx="44">
                  <c:v>261.5</c:v>
                </c:pt>
                <c:pt idx="45">
                  <c:v>228.5</c:v>
                </c:pt>
                <c:pt idx="46">
                  <c:v>244</c:v>
                </c:pt>
                <c:pt idx="47">
                  <c:v>268</c:v>
                </c:pt>
                <c:pt idx="48">
                  <c:v>241</c:v>
                </c:pt>
                <c:pt idx="49">
                  <c:v>201.5</c:v>
                </c:pt>
                <c:pt idx="50">
                  <c:v>225</c:v>
                </c:pt>
                <c:pt idx="51">
                  <c:v>243.5</c:v>
                </c:pt>
                <c:pt idx="52">
                  <c:v>243.5</c:v>
                </c:pt>
                <c:pt idx="53">
                  <c:v>241</c:v>
                </c:pt>
                <c:pt idx="54">
                  <c:v>179</c:v>
                </c:pt>
                <c:pt idx="55">
                  <c:v>200</c:v>
                </c:pt>
                <c:pt idx="56">
                  <c:v>244</c:v>
                </c:pt>
                <c:pt idx="57">
                  <c:v>246</c:v>
                </c:pt>
                <c:pt idx="58">
                  <c:v>132</c:v>
                </c:pt>
                <c:pt idx="59">
                  <c:v>189.5</c:v>
                </c:pt>
                <c:pt idx="61">
                  <c:v>249.5</c:v>
                </c:pt>
                <c:pt idx="62">
                  <c:v>238.5</c:v>
                </c:pt>
                <c:pt idx="63">
                  <c:v>156</c:v>
                </c:pt>
                <c:pt idx="64">
                  <c:v>113.5</c:v>
                </c:pt>
                <c:pt idx="65">
                  <c:v>234.5</c:v>
                </c:pt>
                <c:pt idx="66">
                  <c:v>264.5</c:v>
                </c:pt>
                <c:pt idx="67">
                  <c:v>166.5</c:v>
                </c:pt>
                <c:pt idx="68">
                  <c:v>249</c:v>
                </c:pt>
                <c:pt idx="69">
                  <c:v>139</c:v>
                </c:pt>
                <c:pt idx="70">
                  <c:v>136.5</c:v>
                </c:pt>
                <c:pt idx="71">
                  <c:v>226</c:v>
                </c:pt>
                <c:pt idx="72">
                  <c:v>270.5</c:v>
                </c:pt>
                <c:pt idx="73">
                  <c:v>267</c:v>
                </c:pt>
                <c:pt idx="74">
                  <c:v>123.5</c:v>
                </c:pt>
                <c:pt idx="75">
                  <c:v>212</c:v>
                </c:pt>
                <c:pt idx="76">
                  <c:v>188.5</c:v>
                </c:pt>
                <c:pt idx="77">
                  <c:v>245</c:v>
                </c:pt>
                <c:pt idx="78">
                  <c:v>226</c:v>
                </c:pt>
                <c:pt idx="79">
                  <c:v>233.5</c:v>
                </c:pt>
                <c:pt idx="80">
                  <c:v>240.5</c:v>
                </c:pt>
                <c:pt idx="81">
                  <c:v>246.5</c:v>
                </c:pt>
                <c:pt idx="82">
                  <c:v>242</c:v>
                </c:pt>
                <c:pt idx="83">
                  <c:v>254</c:v>
                </c:pt>
                <c:pt idx="84">
                  <c:v>115.5</c:v>
                </c:pt>
                <c:pt idx="85">
                  <c:v>159.5</c:v>
                </c:pt>
                <c:pt idx="86">
                  <c:v>156</c:v>
                </c:pt>
                <c:pt idx="87">
                  <c:v>151</c:v>
                </c:pt>
                <c:pt idx="88">
                  <c:v>104</c:v>
                </c:pt>
                <c:pt idx="89">
                  <c:v>241</c:v>
                </c:pt>
                <c:pt idx="90">
                  <c:v>222.5</c:v>
                </c:pt>
                <c:pt idx="91">
                  <c:v>184</c:v>
                </c:pt>
                <c:pt idx="92">
                  <c:v>108</c:v>
                </c:pt>
                <c:pt idx="93">
                  <c:v>180</c:v>
                </c:pt>
                <c:pt idx="94">
                  <c:v>254</c:v>
                </c:pt>
                <c:pt idx="95">
                  <c:v>197.5</c:v>
                </c:pt>
                <c:pt idx="96">
                  <c:v>222</c:v>
                </c:pt>
                <c:pt idx="97">
                  <c:v>229</c:v>
                </c:pt>
                <c:pt idx="98">
                  <c:v>233.5</c:v>
                </c:pt>
                <c:pt idx="99">
                  <c:v>257.5</c:v>
                </c:pt>
                <c:pt idx="100">
                  <c:v>149</c:v>
                </c:pt>
                <c:pt idx="101">
                  <c:v>233</c:v>
                </c:pt>
                <c:pt idx="102">
                  <c:v>235.5</c:v>
                </c:pt>
                <c:pt idx="103">
                  <c:v>204</c:v>
                </c:pt>
                <c:pt idx="104">
                  <c:v>225</c:v>
                </c:pt>
                <c:pt idx="105">
                  <c:v>186</c:v>
                </c:pt>
                <c:pt idx="106">
                  <c:v>223.5</c:v>
                </c:pt>
                <c:pt idx="107">
                  <c:v>146.5</c:v>
                </c:pt>
                <c:pt idx="108">
                  <c:v>167</c:v>
                </c:pt>
                <c:pt idx="109">
                  <c:v>263</c:v>
                </c:pt>
                <c:pt idx="110">
                  <c:v>238</c:v>
                </c:pt>
                <c:pt idx="111">
                  <c:v>238.5</c:v>
                </c:pt>
                <c:pt idx="112">
                  <c:v>246.5</c:v>
                </c:pt>
                <c:pt idx="114">
                  <c:v>224.5</c:v>
                </c:pt>
                <c:pt idx="115">
                  <c:v>156.5</c:v>
                </c:pt>
                <c:pt idx="116">
                  <c:v>173.5</c:v>
                </c:pt>
                <c:pt idx="117">
                  <c:v>234</c:v>
                </c:pt>
                <c:pt idx="118">
                  <c:v>239.5</c:v>
                </c:pt>
                <c:pt idx="120">
                  <c:v>211</c:v>
                </c:pt>
                <c:pt idx="121">
                  <c:v>185</c:v>
                </c:pt>
                <c:pt idx="122">
                  <c:v>127.5</c:v>
                </c:pt>
                <c:pt idx="123">
                  <c:v>164.5</c:v>
                </c:pt>
                <c:pt idx="124">
                  <c:v>236.5</c:v>
                </c:pt>
                <c:pt idx="126">
                  <c:v>228</c:v>
                </c:pt>
                <c:pt idx="127">
                  <c:v>231</c:v>
                </c:pt>
                <c:pt idx="128">
                  <c:v>253.5</c:v>
                </c:pt>
                <c:pt idx="129">
                  <c:v>260</c:v>
                </c:pt>
                <c:pt idx="130">
                  <c:v>177.5</c:v>
                </c:pt>
                <c:pt idx="131">
                  <c:v>138</c:v>
                </c:pt>
                <c:pt idx="133">
                  <c:v>256</c:v>
                </c:pt>
                <c:pt idx="134">
                  <c:v>189</c:v>
                </c:pt>
                <c:pt idx="135">
                  <c:v>230.5</c:v>
                </c:pt>
                <c:pt idx="136">
                  <c:v>234.5</c:v>
                </c:pt>
                <c:pt idx="137">
                  <c:v>172</c:v>
                </c:pt>
                <c:pt idx="138">
                  <c:v>156.5</c:v>
                </c:pt>
                <c:pt idx="139">
                  <c:v>168.5</c:v>
                </c:pt>
                <c:pt idx="140">
                  <c:v>167</c:v>
                </c:pt>
                <c:pt idx="141">
                  <c:v>259</c:v>
                </c:pt>
                <c:pt idx="142">
                  <c:v>143</c:v>
                </c:pt>
                <c:pt idx="143">
                  <c:v>160.5</c:v>
                </c:pt>
                <c:pt idx="144">
                  <c:v>205.5</c:v>
                </c:pt>
                <c:pt idx="146">
                  <c:v>214</c:v>
                </c:pt>
                <c:pt idx="147">
                  <c:v>170.5</c:v>
                </c:pt>
                <c:pt idx="148">
                  <c:v>192</c:v>
                </c:pt>
                <c:pt idx="149">
                  <c:v>163</c:v>
                </c:pt>
                <c:pt idx="150">
                  <c:v>234</c:v>
                </c:pt>
                <c:pt idx="151">
                  <c:v>242.5</c:v>
                </c:pt>
                <c:pt idx="152">
                  <c:v>157</c:v>
                </c:pt>
                <c:pt idx="153">
                  <c:v>196.5</c:v>
                </c:pt>
                <c:pt idx="155">
                  <c:v>169.5</c:v>
                </c:pt>
                <c:pt idx="156">
                  <c:v>248.5</c:v>
                </c:pt>
                <c:pt idx="157">
                  <c:v>250.5</c:v>
                </c:pt>
                <c:pt idx="158">
                  <c:v>195.5</c:v>
                </c:pt>
                <c:pt idx="159">
                  <c:v>107.5</c:v>
                </c:pt>
                <c:pt idx="160">
                  <c:v>125.5</c:v>
                </c:pt>
                <c:pt idx="161">
                  <c:v>265.5</c:v>
                </c:pt>
                <c:pt idx="162">
                  <c:v>126</c:v>
                </c:pt>
                <c:pt idx="163">
                  <c:v>254</c:v>
                </c:pt>
                <c:pt idx="164">
                  <c:v>135</c:v>
                </c:pt>
                <c:pt idx="165">
                  <c:v>169.5</c:v>
                </c:pt>
                <c:pt idx="166">
                  <c:v>235.5</c:v>
                </c:pt>
                <c:pt idx="167">
                  <c:v>166.5</c:v>
                </c:pt>
                <c:pt idx="168">
                  <c:v>249</c:v>
                </c:pt>
                <c:pt idx="170">
                  <c:v>161</c:v>
                </c:pt>
                <c:pt idx="171">
                  <c:v>145</c:v>
                </c:pt>
                <c:pt idx="172">
                  <c:v>215.5</c:v>
                </c:pt>
                <c:pt idx="173">
                  <c:v>221</c:v>
                </c:pt>
                <c:pt idx="174">
                  <c:v>178</c:v>
                </c:pt>
                <c:pt idx="175">
                  <c:v>234</c:v>
                </c:pt>
                <c:pt idx="176">
                  <c:v>181.5</c:v>
                </c:pt>
                <c:pt idx="177">
                  <c:v>96.5</c:v>
                </c:pt>
              </c:numCache>
            </c:numRef>
          </c:yVal>
          <c:smooth val="0"/>
        </c:ser>
        <c:ser>
          <c:idx val="5"/>
          <c:order val="5"/>
          <c:tx>
            <c:strRef>
              <c:f>Sheet1!$J$45</c:f>
              <c:strCache>
                <c:ptCount val="1"/>
                <c:pt idx="0">
                  <c:v>fibula</c:v>
                </c:pt>
              </c:strCache>
            </c:strRef>
          </c:tx>
          <c:spPr>
            <a:ln w="28575">
              <a:noFill/>
            </a:ln>
          </c:spPr>
          <c:marker>
            <c:symbol val="none"/>
          </c:marker>
          <c:trendline>
            <c:spPr>
              <a:ln>
                <a:solidFill>
                  <a:schemeClr val="bg2">
                    <a:lumMod val="50000"/>
                  </a:schemeClr>
                </a:solidFill>
              </a:ln>
            </c:spPr>
            <c:trendlineType val="linear"/>
            <c:dispRSqr val="0"/>
            <c:dispEq val="0"/>
          </c:trendline>
          <c:xVal>
            <c:numRef>
              <c:f>Sheet1!$D$46:$D$223</c:f>
              <c:numCache>
                <c:formatCode>General</c:formatCode>
                <c:ptCount val="178"/>
                <c:pt idx="22">
                  <c:v>27</c:v>
                </c:pt>
                <c:pt idx="23">
                  <c:v>45</c:v>
                </c:pt>
                <c:pt idx="24">
                  <c:v>35</c:v>
                </c:pt>
                <c:pt idx="25">
                  <c:v>46</c:v>
                </c:pt>
                <c:pt idx="27">
                  <c:v>53</c:v>
                </c:pt>
                <c:pt idx="28">
                  <c:v>47</c:v>
                </c:pt>
                <c:pt idx="29">
                  <c:v>55</c:v>
                </c:pt>
                <c:pt idx="30">
                  <c:v>62</c:v>
                </c:pt>
                <c:pt idx="31">
                  <c:v>16</c:v>
                </c:pt>
                <c:pt idx="32">
                  <c:v>62</c:v>
                </c:pt>
                <c:pt idx="34">
                  <c:v>55</c:v>
                </c:pt>
                <c:pt idx="35">
                  <c:v>47</c:v>
                </c:pt>
                <c:pt idx="36">
                  <c:v>48</c:v>
                </c:pt>
                <c:pt idx="37">
                  <c:v>53</c:v>
                </c:pt>
                <c:pt idx="38">
                  <c:v>19</c:v>
                </c:pt>
                <c:pt idx="39">
                  <c:v>64</c:v>
                </c:pt>
                <c:pt idx="40">
                  <c:v>60</c:v>
                </c:pt>
                <c:pt idx="41">
                  <c:v>64</c:v>
                </c:pt>
                <c:pt idx="42">
                  <c:v>62</c:v>
                </c:pt>
                <c:pt idx="43">
                  <c:v>64</c:v>
                </c:pt>
                <c:pt idx="44">
                  <c:v>64</c:v>
                </c:pt>
                <c:pt idx="45">
                  <c:v>58</c:v>
                </c:pt>
                <c:pt idx="46">
                  <c:v>64</c:v>
                </c:pt>
                <c:pt idx="47">
                  <c:v>64</c:v>
                </c:pt>
                <c:pt idx="48">
                  <c:v>64</c:v>
                </c:pt>
                <c:pt idx="49">
                  <c:v>62</c:v>
                </c:pt>
                <c:pt idx="50">
                  <c:v>64</c:v>
                </c:pt>
                <c:pt idx="51">
                  <c:v>43</c:v>
                </c:pt>
                <c:pt idx="52">
                  <c:v>62</c:v>
                </c:pt>
                <c:pt idx="53">
                  <c:v>64</c:v>
                </c:pt>
                <c:pt idx="54">
                  <c:v>56</c:v>
                </c:pt>
                <c:pt idx="55">
                  <c:v>52</c:v>
                </c:pt>
                <c:pt idx="56">
                  <c:v>64</c:v>
                </c:pt>
                <c:pt idx="57">
                  <c:v>64</c:v>
                </c:pt>
                <c:pt idx="58">
                  <c:v>31</c:v>
                </c:pt>
                <c:pt idx="59">
                  <c:v>49</c:v>
                </c:pt>
                <c:pt idx="60">
                  <c:v>10</c:v>
                </c:pt>
                <c:pt idx="61">
                  <c:v>64</c:v>
                </c:pt>
                <c:pt idx="62">
                  <c:v>64</c:v>
                </c:pt>
                <c:pt idx="63">
                  <c:v>38</c:v>
                </c:pt>
                <c:pt idx="64">
                  <c:v>16</c:v>
                </c:pt>
                <c:pt idx="65">
                  <c:v>64</c:v>
                </c:pt>
                <c:pt idx="66">
                  <c:v>64</c:v>
                </c:pt>
                <c:pt idx="67">
                  <c:v>33</c:v>
                </c:pt>
                <c:pt idx="68">
                  <c:v>64</c:v>
                </c:pt>
                <c:pt idx="69">
                  <c:v>30</c:v>
                </c:pt>
                <c:pt idx="70">
                  <c:v>29</c:v>
                </c:pt>
                <c:pt idx="71">
                  <c:v>64</c:v>
                </c:pt>
                <c:pt idx="72">
                  <c:v>62</c:v>
                </c:pt>
                <c:pt idx="73">
                  <c:v>64</c:v>
                </c:pt>
                <c:pt idx="74">
                  <c:v>25</c:v>
                </c:pt>
                <c:pt idx="75">
                  <c:v>64</c:v>
                </c:pt>
                <c:pt idx="76">
                  <c:v>46</c:v>
                </c:pt>
                <c:pt idx="77">
                  <c:v>64</c:v>
                </c:pt>
                <c:pt idx="78">
                  <c:v>64</c:v>
                </c:pt>
                <c:pt idx="79">
                  <c:v>64</c:v>
                </c:pt>
                <c:pt idx="80">
                  <c:v>63</c:v>
                </c:pt>
                <c:pt idx="81">
                  <c:v>63</c:v>
                </c:pt>
                <c:pt idx="82">
                  <c:v>63</c:v>
                </c:pt>
                <c:pt idx="83">
                  <c:v>63</c:v>
                </c:pt>
                <c:pt idx="84">
                  <c:v>22</c:v>
                </c:pt>
                <c:pt idx="85">
                  <c:v>35</c:v>
                </c:pt>
                <c:pt idx="86">
                  <c:v>25</c:v>
                </c:pt>
                <c:pt idx="87">
                  <c:v>29</c:v>
                </c:pt>
                <c:pt idx="88">
                  <c:v>10</c:v>
                </c:pt>
                <c:pt idx="89">
                  <c:v>60</c:v>
                </c:pt>
                <c:pt idx="90">
                  <c:v>62</c:v>
                </c:pt>
                <c:pt idx="91">
                  <c:v>45</c:v>
                </c:pt>
                <c:pt idx="92">
                  <c:v>15</c:v>
                </c:pt>
                <c:pt idx="93">
                  <c:v>28</c:v>
                </c:pt>
                <c:pt idx="94">
                  <c:v>60</c:v>
                </c:pt>
                <c:pt idx="95">
                  <c:v>43</c:v>
                </c:pt>
                <c:pt idx="96">
                  <c:v>52</c:v>
                </c:pt>
                <c:pt idx="97">
                  <c:v>62</c:v>
                </c:pt>
                <c:pt idx="98">
                  <c:v>64</c:v>
                </c:pt>
                <c:pt idx="99">
                  <c:v>57</c:v>
                </c:pt>
                <c:pt idx="100">
                  <c:v>25</c:v>
                </c:pt>
                <c:pt idx="102">
                  <c:v>56</c:v>
                </c:pt>
                <c:pt idx="103">
                  <c:v>48</c:v>
                </c:pt>
                <c:pt idx="104">
                  <c:v>55</c:v>
                </c:pt>
                <c:pt idx="105">
                  <c:v>41</c:v>
                </c:pt>
                <c:pt idx="106">
                  <c:v>48</c:v>
                </c:pt>
                <c:pt idx="107">
                  <c:v>32</c:v>
                </c:pt>
                <c:pt idx="109">
                  <c:v>62</c:v>
                </c:pt>
                <c:pt idx="110">
                  <c:v>61</c:v>
                </c:pt>
                <c:pt idx="111">
                  <c:v>60</c:v>
                </c:pt>
                <c:pt idx="114">
                  <c:v>62</c:v>
                </c:pt>
                <c:pt idx="115">
                  <c:v>36</c:v>
                </c:pt>
                <c:pt idx="116">
                  <c:v>30</c:v>
                </c:pt>
                <c:pt idx="117">
                  <c:v>58</c:v>
                </c:pt>
                <c:pt idx="118">
                  <c:v>64</c:v>
                </c:pt>
                <c:pt idx="119">
                  <c:v>55</c:v>
                </c:pt>
                <c:pt idx="120">
                  <c:v>50</c:v>
                </c:pt>
                <c:pt idx="121">
                  <c:v>51</c:v>
                </c:pt>
                <c:pt idx="122">
                  <c:v>27</c:v>
                </c:pt>
                <c:pt idx="123">
                  <c:v>43</c:v>
                </c:pt>
                <c:pt idx="124">
                  <c:v>58</c:v>
                </c:pt>
                <c:pt idx="125">
                  <c:v>25</c:v>
                </c:pt>
                <c:pt idx="126">
                  <c:v>60</c:v>
                </c:pt>
                <c:pt idx="127">
                  <c:v>64</c:v>
                </c:pt>
                <c:pt idx="128">
                  <c:v>63</c:v>
                </c:pt>
                <c:pt idx="129">
                  <c:v>59</c:v>
                </c:pt>
                <c:pt idx="130">
                  <c:v>53</c:v>
                </c:pt>
                <c:pt idx="131">
                  <c:v>30</c:v>
                </c:pt>
                <c:pt idx="133">
                  <c:v>64</c:v>
                </c:pt>
                <c:pt idx="134">
                  <c:v>52</c:v>
                </c:pt>
                <c:pt idx="135">
                  <c:v>60</c:v>
                </c:pt>
                <c:pt idx="136">
                  <c:v>61</c:v>
                </c:pt>
                <c:pt idx="137">
                  <c:v>44</c:v>
                </c:pt>
                <c:pt idx="138">
                  <c:v>41</c:v>
                </c:pt>
                <c:pt idx="139">
                  <c:v>37</c:v>
                </c:pt>
                <c:pt idx="140">
                  <c:v>31</c:v>
                </c:pt>
                <c:pt idx="141">
                  <c:v>64</c:v>
                </c:pt>
                <c:pt idx="142">
                  <c:v>26</c:v>
                </c:pt>
                <c:pt idx="143">
                  <c:v>40</c:v>
                </c:pt>
                <c:pt idx="144">
                  <c:v>49</c:v>
                </c:pt>
                <c:pt idx="145">
                  <c:v>17</c:v>
                </c:pt>
                <c:pt idx="146">
                  <c:v>59</c:v>
                </c:pt>
                <c:pt idx="147">
                  <c:v>40</c:v>
                </c:pt>
                <c:pt idx="148">
                  <c:v>47</c:v>
                </c:pt>
                <c:pt idx="149">
                  <c:v>38</c:v>
                </c:pt>
                <c:pt idx="150">
                  <c:v>60</c:v>
                </c:pt>
                <c:pt idx="151">
                  <c:v>61</c:v>
                </c:pt>
                <c:pt idx="152">
                  <c:v>26</c:v>
                </c:pt>
                <c:pt idx="153">
                  <c:v>48</c:v>
                </c:pt>
                <c:pt idx="154">
                  <c:v>20</c:v>
                </c:pt>
                <c:pt idx="155">
                  <c:v>46</c:v>
                </c:pt>
                <c:pt idx="156">
                  <c:v>63</c:v>
                </c:pt>
                <c:pt idx="157">
                  <c:v>63</c:v>
                </c:pt>
                <c:pt idx="158">
                  <c:v>44</c:v>
                </c:pt>
                <c:pt idx="159">
                  <c:v>13</c:v>
                </c:pt>
                <c:pt idx="160">
                  <c:v>20</c:v>
                </c:pt>
                <c:pt idx="162">
                  <c:v>28</c:v>
                </c:pt>
                <c:pt idx="163">
                  <c:v>61</c:v>
                </c:pt>
                <c:pt idx="164">
                  <c:v>31</c:v>
                </c:pt>
                <c:pt idx="165">
                  <c:v>39</c:v>
                </c:pt>
                <c:pt idx="166">
                  <c:v>64</c:v>
                </c:pt>
                <c:pt idx="167">
                  <c:v>43</c:v>
                </c:pt>
                <c:pt idx="168">
                  <c:v>60</c:v>
                </c:pt>
                <c:pt idx="169">
                  <c:v>60</c:v>
                </c:pt>
                <c:pt idx="170">
                  <c:v>29</c:v>
                </c:pt>
                <c:pt idx="171">
                  <c:v>25</c:v>
                </c:pt>
                <c:pt idx="172">
                  <c:v>55</c:v>
                </c:pt>
                <c:pt idx="174">
                  <c:v>38</c:v>
                </c:pt>
                <c:pt idx="176">
                  <c:v>48</c:v>
                </c:pt>
              </c:numCache>
            </c:numRef>
          </c:xVal>
          <c:yVal>
            <c:numRef>
              <c:f>Sheet1!$J$46:$J$223</c:f>
              <c:numCache>
                <c:formatCode>General</c:formatCode>
                <c:ptCount val="178"/>
                <c:pt idx="2">
                  <c:v>132</c:v>
                </c:pt>
                <c:pt idx="3">
                  <c:v>114</c:v>
                </c:pt>
                <c:pt idx="4">
                  <c:v>109</c:v>
                </c:pt>
                <c:pt idx="6">
                  <c:v>176.5</c:v>
                </c:pt>
                <c:pt idx="7">
                  <c:v>182</c:v>
                </c:pt>
                <c:pt idx="10">
                  <c:v>232.5</c:v>
                </c:pt>
                <c:pt idx="12">
                  <c:v>202</c:v>
                </c:pt>
                <c:pt idx="13">
                  <c:v>74</c:v>
                </c:pt>
                <c:pt idx="14">
                  <c:v>244.5</c:v>
                </c:pt>
                <c:pt idx="16">
                  <c:v>240</c:v>
                </c:pt>
                <c:pt idx="19">
                  <c:v>230</c:v>
                </c:pt>
                <c:pt idx="20">
                  <c:v>10.6</c:v>
                </c:pt>
                <c:pt idx="23">
                  <c:v>173</c:v>
                </c:pt>
                <c:pt idx="26">
                  <c:v>173</c:v>
                </c:pt>
                <c:pt idx="28">
                  <c:v>183</c:v>
                </c:pt>
                <c:pt idx="30">
                  <c:v>205</c:v>
                </c:pt>
                <c:pt idx="32">
                  <c:v>223</c:v>
                </c:pt>
                <c:pt idx="33">
                  <c:v>229</c:v>
                </c:pt>
                <c:pt idx="34">
                  <c:v>212</c:v>
                </c:pt>
                <c:pt idx="37">
                  <c:v>214</c:v>
                </c:pt>
                <c:pt idx="40">
                  <c:v>195</c:v>
                </c:pt>
                <c:pt idx="41">
                  <c:v>202</c:v>
                </c:pt>
                <c:pt idx="42">
                  <c:v>232.5</c:v>
                </c:pt>
                <c:pt idx="43">
                  <c:v>226</c:v>
                </c:pt>
                <c:pt idx="44">
                  <c:v>235</c:v>
                </c:pt>
                <c:pt idx="45">
                  <c:v>205</c:v>
                </c:pt>
                <c:pt idx="46">
                  <c:v>219.5</c:v>
                </c:pt>
                <c:pt idx="47">
                  <c:v>245.5</c:v>
                </c:pt>
                <c:pt idx="48">
                  <c:v>222</c:v>
                </c:pt>
                <c:pt idx="49">
                  <c:v>183</c:v>
                </c:pt>
                <c:pt idx="50">
                  <c:v>203</c:v>
                </c:pt>
                <c:pt idx="51">
                  <c:v>218</c:v>
                </c:pt>
                <c:pt idx="52">
                  <c:v>218</c:v>
                </c:pt>
                <c:pt idx="53">
                  <c:v>215.5</c:v>
                </c:pt>
                <c:pt idx="54">
                  <c:v>162</c:v>
                </c:pt>
                <c:pt idx="55">
                  <c:v>182</c:v>
                </c:pt>
                <c:pt idx="56">
                  <c:v>221</c:v>
                </c:pt>
                <c:pt idx="57">
                  <c:v>224</c:v>
                </c:pt>
                <c:pt idx="59">
                  <c:v>170</c:v>
                </c:pt>
                <c:pt idx="61">
                  <c:v>225.5</c:v>
                </c:pt>
                <c:pt idx="62">
                  <c:v>215.5</c:v>
                </c:pt>
                <c:pt idx="63">
                  <c:v>142.5</c:v>
                </c:pt>
                <c:pt idx="65">
                  <c:v>214.5</c:v>
                </c:pt>
                <c:pt idx="66">
                  <c:v>234.5</c:v>
                </c:pt>
                <c:pt idx="67">
                  <c:v>152</c:v>
                </c:pt>
                <c:pt idx="68">
                  <c:v>225.5</c:v>
                </c:pt>
                <c:pt idx="71">
                  <c:v>203.5</c:v>
                </c:pt>
                <c:pt idx="72">
                  <c:v>246</c:v>
                </c:pt>
                <c:pt idx="73">
                  <c:v>246</c:v>
                </c:pt>
                <c:pt idx="75">
                  <c:v>199.5</c:v>
                </c:pt>
                <c:pt idx="76">
                  <c:v>172</c:v>
                </c:pt>
                <c:pt idx="77">
                  <c:v>219</c:v>
                </c:pt>
                <c:pt idx="78">
                  <c:v>209.5</c:v>
                </c:pt>
                <c:pt idx="79">
                  <c:v>213</c:v>
                </c:pt>
                <c:pt idx="80">
                  <c:v>221.5</c:v>
                </c:pt>
                <c:pt idx="81">
                  <c:v>228</c:v>
                </c:pt>
                <c:pt idx="82">
                  <c:v>219.5</c:v>
                </c:pt>
                <c:pt idx="83">
                  <c:v>228</c:v>
                </c:pt>
                <c:pt idx="87">
                  <c:v>132.5</c:v>
                </c:pt>
                <c:pt idx="88">
                  <c:v>94</c:v>
                </c:pt>
                <c:pt idx="89">
                  <c:v>220</c:v>
                </c:pt>
                <c:pt idx="90">
                  <c:v>202.5</c:v>
                </c:pt>
                <c:pt idx="91">
                  <c:v>166</c:v>
                </c:pt>
                <c:pt idx="93">
                  <c:v>165</c:v>
                </c:pt>
                <c:pt idx="94">
                  <c:v>225.5</c:v>
                </c:pt>
                <c:pt idx="95">
                  <c:v>180</c:v>
                </c:pt>
                <c:pt idx="96">
                  <c:v>195</c:v>
                </c:pt>
                <c:pt idx="97">
                  <c:v>209</c:v>
                </c:pt>
                <c:pt idx="98">
                  <c:v>214.5</c:v>
                </c:pt>
                <c:pt idx="99">
                  <c:v>231.5</c:v>
                </c:pt>
                <c:pt idx="100">
                  <c:v>130</c:v>
                </c:pt>
                <c:pt idx="101">
                  <c:v>211</c:v>
                </c:pt>
                <c:pt idx="102">
                  <c:v>211</c:v>
                </c:pt>
                <c:pt idx="103">
                  <c:v>184.5</c:v>
                </c:pt>
                <c:pt idx="104">
                  <c:v>198</c:v>
                </c:pt>
                <c:pt idx="105">
                  <c:v>164</c:v>
                </c:pt>
                <c:pt idx="106">
                  <c:v>201.5</c:v>
                </c:pt>
                <c:pt idx="108">
                  <c:v>153</c:v>
                </c:pt>
                <c:pt idx="109">
                  <c:v>236</c:v>
                </c:pt>
                <c:pt idx="110">
                  <c:v>211</c:v>
                </c:pt>
                <c:pt idx="111">
                  <c:v>218</c:v>
                </c:pt>
                <c:pt idx="112">
                  <c:v>222</c:v>
                </c:pt>
                <c:pt idx="114">
                  <c:v>202</c:v>
                </c:pt>
                <c:pt idx="115">
                  <c:v>147</c:v>
                </c:pt>
                <c:pt idx="117">
                  <c:v>204</c:v>
                </c:pt>
                <c:pt idx="118">
                  <c:v>220.5</c:v>
                </c:pt>
                <c:pt idx="120">
                  <c:v>188.5</c:v>
                </c:pt>
                <c:pt idx="121">
                  <c:v>169</c:v>
                </c:pt>
                <c:pt idx="124">
                  <c:v>208</c:v>
                </c:pt>
                <c:pt idx="126">
                  <c:v>210</c:v>
                </c:pt>
                <c:pt idx="127">
                  <c:v>202</c:v>
                </c:pt>
                <c:pt idx="128">
                  <c:v>227</c:v>
                </c:pt>
                <c:pt idx="129">
                  <c:v>226</c:v>
                </c:pt>
                <c:pt idx="131">
                  <c:v>126</c:v>
                </c:pt>
                <c:pt idx="133">
                  <c:v>230</c:v>
                </c:pt>
                <c:pt idx="135">
                  <c:v>205.5</c:v>
                </c:pt>
                <c:pt idx="136">
                  <c:v>201</c:v>
                </c:pt>
                <c:pt idx="137">
                  <c:v>160.5</c:v>
                </c:pt>
                <c:pt idx="138">
                  <c:v>147</c:v>
                </c:pt>
                <c:pt idx="139">
                  <c:v>150</c:v>
                </c:pt>
                <c:pt idx="141">
                  <c:v>238.5</c:v>
                </c:pt>
                <c:pt idx="144">
                  <c:v>182</c:v>
                </c:pt>
                <c:pt idx="146">
                  <c:v>192</c:v>
                </c:pt>
                <c:pt idx="147">
                  <c:v>155</c:v>
                </c:pt>
                <c:pt idx="148">
                  <c:v>175</c:v>
                </c:pt>
                <c:pt idx="150">
                  <c:v>210.5</c:v>
                </c:pt>
                <c:pt idx="151">
                  <c:v>220</c:v>
                </c:pt>
                <c:pt idx="152">
                  <c:v>143</c:v>
                </c:pt>
                <c:pt idx="153">
                  <c:v>175</c:v>
                </c:pt>
                <c:pt idx="155">
                  <c:v>154</c:v>
                </c:pt>
                <c:pt idx="156">
                  <c:v>225</c:v>
                </c:pt>
                <c:pt idx="157">
                  <c:v>225.5</c:v>
                </c:pt>
                <c:pt idx="158">
                  <c:v>155</c:v>
                </c:pt>
                <c:pt idx="159">
                  <c:v>98</c:v>
                </c:pt>
                <c:pt idx="161">
                  <c:v>238.5</c:v>
                </c:pt>
                <c:pt idx="162">
                  <c:v>122</c:v>
                </c:pt>
                <c:pt idx="163">
                  <c:v>230</c:v>
                </c:pt>
                <c:pt idx="165">
                  <c:v>152</c:v>
                </c:pt>
                <c:pt idx="166">
                  <c:v>210.5</c:v>
                </c:pt>
                <c:pt idx="167">
                  <c:v>150</c:v>
                </c:pt>
                <c:pt idx="168">
                  <c:v>223</c:v>
                </c:pt>
                <c:pt idx="170">
                  <c:v>143.5</c:v>
                </c:pt>
                <c:pt idx="172">
                  <c:v>194.5</c:v>
                </c:pt>
                <c:pt idx="173">
                  <c:v>199</c:v>
                </c:pt>
                <c:pt idx="175">
                  <c:v>212</c:v>
                </c:pt>
                <c:pt idx="177">
                  <c:v>89</c:v>
                </c:pt>
              </c:numCache>
            </c:numRef>
          </c:yVal>
          <c:smooth val="0"/>
        </c:ser>
        <c:dLbls>
          <c:showLegendKey val="0"/>
          <c:showVal val="0"/>
          <c:showCatName val="0"/>
          <c:showSerName val="0"/>
          <c:showPercent val="0"/>
          <c:showBubbleSize val="0"/>
        </c:dLbls>
        <c:axId val="286826496"/>
        <c:axId val="286828416"/>
      </c:scatterChart>
      <c:valAx>
        <c:axId val="286826496"/>
        <c:scaling>
          <c:orientation val="minMax"/>
          <c:max val="65"/>
          <c:min val="8"/>
        </c:scaling>
        <c:delete val="0"/>
        <c:axPos val="b"/>
        <c:title>
          <c:tx>
            <c:rich>
              <a:bodyPr/>
              <a:lstStyle/>
              <a:p>
                <a:pPr>
                  <a:defRPr b="0" i="0" baseline="0">
                    <a:latin typeface="Times New Roman" pitchFamily="18" charset="0"/>
                  </a:defRPr>
                </a:pPr>
                <a:r>
                  <a:rPr lang="en-GB" b="0" i="0" baseline="0">
                    <a:latin typeface="Times New Roman" pitchFamily="18" charset="0"/>
                  </a:rPr>
                  <a:t>dental score</a:t>
                </a:r>
              </a:p>
            </c:rich>
          </c:tx>
          <c:overlay val="0"/>
        </c:title>
        <c:numFmt formatCode="General" sourceLinked="1"/>
        <c:majorTickMark val="none"/>
        <c:minorTickMark val="none"/>
        <c:tickLblPos val="nextTo"/>
        <c:txPr>
          <a:bodyPr/>
          <a:lstStyle/>
          <a:p>
            <a:pPr>
              <a:defRPr baseline="0">
                <a:latin typeface="Times New Roman" pitchFamily="18" charset="0"/>
              </a:defRPr>
            </a:pPr>
            <a:endParaRPr lang="en-US"/>
          </a:p>
        </c:txPr>
        <c:crossAx val="286828416"/>
        <c:crosses val="autoZero"/>
        <c:crossBetween val="midCat"/>
      </c:valAx>
      <c:valAx>
        <c:axId val="286828416"/>
        <c:scaling>
          <c:orientation val="minMax"/>
          <c:max val="300"/>
          <c:min val="75"/>
        </c:scaling>
        <c:delete val="0"/>
        <c:axPos val="l"/>
        <c:majorGridlines/>
        <c:title>
          <c:tx>
            <c:rich>
              <a:bodyPr/>
              <a:lstStyle/>
              <a:p>
                <a:pPr>
                  <a:defRPr/>
                </a:pPr>
                <a:r>
                  <a:rPr lang="en-GB" b="0" i="0" baseline="0">
                    <a:latin typeface="Times New Roman" pitchFamily="18" charset="0"/>
                  </a:rPr>
                  <a:t>diaplhyseal length (mm)</a:t>
                </a:r>
              </a:p>
            </c:rich>
          </c:tx>
          <c:overlay val="0"/>
        </c:title>
        <c:numFmt formatCode="General" sourceLinked="1"/>
        <c:majorTickMark val="none"/>
        <c:minorTickMark val="none"/>
        <c:tickLblPos val="nextTo"/>
        <c:txPr>
          <a:bodyPr/>
          <a:lstStyle/>
          <a:p>
            <a:pPr>
              <a:defRPr baseline="0">
                <a:latin typeface="Times New Roman" pitchFamily="18" charset="0"/>
              </a:defRPr>
            </a:pPr>
            <a:endParaRPr lang="en-US"/>
          </a:p>
        </c:txPr>
        <c:crossAx val="286826496"/>
        <c:crosses val="autoZero"/>
        <c:crossBetween val="midCat"/>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ayout>
        <c:manualLayout>
          <c:xMode val="edge"/>
          <c:yMode val="edge"/>
          <c:x val="0.78598108122390742"/>
          <c:y val="0.40064763049524693"/>
          <c:w val="0.21023965506157161"/>
          <c:h val="0.46494027672128452"/>
        </c:manualLayout>
      </c:layout>
      <c:overlay val="0"/>
      <c:txPr>
        <a:bodyPr/>
        <a:lstStyle/>
        <a:p>
          <a:pPr>
            <a:defRPr baseline="0">
              <a:latin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0" baseline="0"/>
              <a:t>Multiple linear regressions for bone length in </a:t>
            </a:r>
            <a:r>
              <a:rPr lang="en-GB" sz="1100" b="0" i="1" baseline="0"/>
              <a:t>Pan troglodytes </a:t>
            </a:r>
            <a:r>
              <a:rPr lang="en-GB" sz="1100" b="0" baseline="0"/>
              <a:t>males</a:t>
            </a:r>
          </a:p>
        </c:rich>
      </c:tx>
      <c:overlay val="0"/>
    </c:title>
    <c:autoTitleDeleted val="0"/>
    <c:plotArea>
      <c:layout>
        <c:manualLayout>
          <c:layoutTarget val="inner"/>
          <c:xMode val="edge"/>
          <c:yMode val="edge"/>
          <c:x val="9.4120072530365875E-2"/>
          <c:y val="0.10599233963563159"/>
          <c:w val="0.70181896670810895"/>
          <c:h val="0.72045632993494191"/>
        </c:manualLayout>
      </c:layout>
      <c:scatterChart>
        <c:scatterStyle val="lineMarker"/>
        <c:varyColors val="0"/>
        <c:ser>
          <c:idx val="0"/>
          <c:order val="0"/>
          <c:tx>
            <c:v>Humerus</c:v>
          </c:tx>
          <c:spPr>
            <a:ln w="28575">
              <a:noFill/>
            </a:ln>
          </c:spPr>
          <c:marker>
            <c:symbol val="none"/>
          </c:marker>
          <c:xVal>
            <c:numRef>
              <c:f>Sheet1!$D$228:$D$286</c:f>
              <c:numCache>
                <c:formatCode>General</c:formatCode>
                <c:ptCount val="59"/>
                <c:pt idx="0">
                  <c:v>13</c:v>
                </c:pt>
                <c:pt idx="1">
                  <c:v>17</c:v>
                </c:pt>
                <c:pt idx="2">
                  <c:v>20</c:v>
                </c:pt>
                <c:pt idx="3">
                  <c:v>20</c:v>
                </c:pt>
                <c:pt idx="4">
                  <c:v>25</c:v>
                </c:pt>
                <c:pt idx="5">
                  <c:v>25</c:v>
                </c:pt>
                <c:pt idx="6">
                  <c:v>26</c:v>
                </c:pt>
                <c:pt idx="7">
                  <c:v>26</c:v>
                </c:pt>
                <c:pt idx="8">
                  <c:v>27</c:v>
                </c:pt>
                <c:pt idx="9">
                  <c:v>28</c:v>
                </c:pt>
                <c:pt idx="10">
                  <c:v>29</c:v>
                </c:pt>
                <c:pt idx="11">
                  <c:v>30</c:v>
                </c:pt>
                <c:pt idx="12">
                  <c:v>30</c:v>
                </c:pt>
                <c:pt idx="13">
                  <c:v>31</c:v>
                </c:pt>
                <c:pt idx="14">
                  <c:v>31</c:v>
                </c:pt>
                <c:pt idx="15">
                  <c:v>36</c:v>
                </c:pt>
                <c:pt idx="16">
                  <c:v>37</c:v>
                </c:pt>
                <c:pt idx="17">
                  <c:v>38</c:v>
                </c:pt>
                <c:pt idx="18">
                  <c:v>38</c:v>
                </c:pt>
                <c:pt idx="19">
                  <c:v>39</c:v>
                </c:pt>
                <c:pt idx="20">
                  <c:v>40</c:v>
                </c:pt>
                <c:pt idx="21">
                  <c:v>40</c:v>
                </c:pt>
                <c:pt idx="22">
                  <c:v>41</c:v>
                </c:pt>
                <c:pt idx="23">
                  <c:v>43</c:v>
                </c:pt>
                <c:pt idx="24">
                  <c:v>43</c:v>
                </c:pt>
                <c:pt idx="25">
                  <c:v>44</c:v>
                </c:pt>
                <c:pt idx="26">
                  <c:v>44</c:v>
                </c:pt>
                <c:pt idx="27">
                  <c:v>46</c:v>
                </c:pt>
                <c:pt idx="28">
                  <c:v>47</c:v>
                </c:pt>
                <c:pt idx="29">
                  <c:v>48</c:v>
                </c:pt>
                <c:pt idx="30">
                  <c:v>48</c:v>
                </c:pt>
                <c:pt idx="31">
                  <c:v>49</c:v>
                </c:pt>
                <c:pt idx="32">
                  <c:v>50</c:v>
                </c:pt>
                <c:pt idx="33">
                  <c:v>51</c:v>
                </c:pt>
                <c:pt idx="34">
                  <c:v>52</c:v>
                </c:pt>
                <c:pt idx="35">
                  <c:v>53</c:v>
                </c:pt>
                <c:pt idx="36">
                  <c:v>55</c:v>
                </c:pt>
                <c:pt idx="37">
                  <c:v>55</c:v>
                </c:pt>
                <c:pt idx="38">
                  <c:v>58</c:v>
                </c:pt>
                <c:pt idx="39">
                  <c:v>58</c:v>
                </c:pt>
                <c:pt idx="40">
                  <c:v>59</c:v>
                </c:pt>
                <c:pt idx="41">
                  <c:v>59</c:v>
                </c:pt>
                <c:pt idx="42">
                  <c:v>60</c:v>
                </c:pt>
                <c:pt idx="43">
                  <c:v>60</c:v>
                </c:pt>
                <c:pt idx="44">
                  <c:v>60</c:v>
                </c:pt>
                <c:pt idx="45">
                  <c:v>60</c:v>
                </c:pt>
                <c:pt idx="46">
                  <c:v>60</c:v>
                </c:pt>
                <c:pt idx="47">
                  <c:v>61</c:v>
                </c:pt>
                <c:pt idx="48">
                  <c:v>61</c:v>
                </c:pt>
                <c:pt idx="49">
                  <c:v>61</c:v>
                </c:pt>
                <c:pt idx="50">
                  <c:v>62</c:v>
                </c:pt>
                <c:pt idx="51">
                  <c:v>63</c:v>
                </c:pt>
                <c:pt idx="52">
                  <c:v>63</c:v>
                </c:pt>
                <c:pt idx="53">
                  <c:v>63</c:v>
                </c:pt>
                <c:pt idx="54">
                  <c:v>64</c:v>
                </c:pt>
                <c:pt idx="55">
                  <c:v>64</c:v>
                </c:pt>
                <c:pt idx="56">
                  <c:v>64</c:v>
                </c:pt>
                <c:pt idx="57">
                  <c:v>64</c:v>
                </c:pt>
                <c:pt idx="58">
                  <c:v>64</c:v>
                </c:pt>
              </c:numCache>
            </c:numRef>
          </c:xVal>
          <c:yVal>
            <c:numRef>
              <c:f>Sheet1!$E$228:$E$286</c:f>
              <c:numCache>
                <c:formatCode>General</c:formatCode>
                <c:ptCount val="59"/>
                <c:pt idx="0">
                  <c:v>137</c:v>
                </c:pt>
                <c:pt idx="3">
                  <c:v>157</c:v>
                </c:pt>
                <c:pt idx="5">
                  <c:v>217</c:v>
                </c:pt>
                <c:pt idx="7">
                  <c:v>198</c:v>
                </c:pt>
                <c:pt idx="8">
                  <c:v>163</c:v>
                </c:pt>
                <c:pt idx="9">
                  <c:v>167</c:v>
                </c:pt>
                <c:pt idx="10">
                  <c:v>204</c:v>
                </c:pt>
                <c:pt idx="11">
                  <c:v>205</c:v>
                </c:pt>
                <c:pt idx="12">
                  <c:v>174</c:v>
                </c:pt>
                <c:pt idx="13">
                  <c:v>195.5</c:v>
                </c:pt>
                <c:pt idx="14">
                  <c:v>172</c:v>
                </c:pt>
                <c:pt idx="15">
                  <c:v>192</c:v>
                </c:pt>
                <c:pt idx="16">
                  <c:v>206</c:v>
                </c:pt>
                <c:pt idx="18">
                  <c:v>218.5</c:v>
                </c:pt>
                <c:pt idx="19">
                  <c:v>177</c:v>
                </c:pt>
                <c:pt idx="20">
                  <c:v>202</c:v>
                </c:pt>
                <c:pt idx="21">
                  <c:v>203</c:v>
                </c:pt>
                <c:pt idx="22">
                  <c:v>192</c:v>
                </c:pt>
                <c:pt idx="23">
                  <c:v>201.5</c:v>
                </c:pt>
                <c:pt idx="24">
                  <c:v>207.5</c:v>
                </c:pt>
                <c:pt idx="25">
                  <c:v>214</c:v>
                </c:pt>
                <c:pt idx="26">
                  <c:v>236</c:v>
                </c:pt>
                <c:pt idx="27">
                  <c:v>199.5</c:v>
                </c:pt>
                <c:pt idx="28">
                  <c:v>221.5</c:v>
                </c:pt>
                <c:pt idx="30">
                  <c:v>220.5</c:v>
                </c:pt>
                <c:pt idx="31">
                  <c:v>240.5</c:v>
                </c:pt>
                <c:pt idx="32">
                  <c:v>252</c:v>
                </c:pt>
                <c:pt idx="33">
                  <c:v>228.5</c:v>
                </c:pt>
                <c:pt idx="34">
                  <c:v>218</c:v>
                </c:pt>
                <c:pt idx="35">
                  <c:v>207</c:v>
                </c:pt>
                <c:pt idx="37">
                  <c:v>237</c:v>
                </c:pt>
                <c:pt idx="38">
                  <c:v>279.5</c:v>
                </c:pt>
                <c:pt idx="39">
                  <c:v>260.5</c:v>
                </c:pt>
                <c:pt idx="40">
                  <c:v>303.5</c:v>
                </c:pt>
                <c:pt idx="41">
                  <c:v>261</c:v>
                </c:pt>
                <c:pt idx="42">
                  <c:v>272</c:v>
                </c:pt>
                <c:pt idx="43">
                  <c:v>262.5</c:v>
                </c:pt>
                <c:pt idx="44">
                  <c:v>282</c:v>
                </c:pt>
                <c:pt idx="45">
                  <c:v>299.5</c:v>
                </c:pt>
                <c:pt idx="47">
                  <c:v>278.5</c:v>
                </c:pt>
                <c:pt idx="48">
                  <c:v>285.5</c:v>
                </c:pt>
                <c:pt idx="49">
                  <c:v>287</c:v>
                </c:pt>
                <c:pt idx="50">
                  <c:v>279</c:v>
                </c:pt>
                <c:pt idx="51">
                  <c:v>291.5</c:v>
                </c:pt>
                <c:pt idx="52">
                  <c:v>294</c:v>
                </c:pt>
                <c:pt idx="53">
                  <c:v>303</c:v>
                </c:pt>
                <c:pt idx="54">
                  <c:v>270.5</c:v>
                </c:pt>
                <c:pt idx="55">
                  <c:v>197</c:v>
                </c:pt>
                <c:pt idx="56">
                  <c:v>319</c:v>
                </c:pt>
                <c:pt idx="57">
                  <c:v>300.5</c:v>
                </c:pt>
                <c:pt idx="58">
                  <c:v>300</c:v>
                </c:pt>
              </c:numCache>
            </c:numRef>
          </c:yVal>
          <c:smooth val="0"/>
        </c:ser>
        <c:ser>
          <c:idx val="1"/>
          <c:order val="1"/>
          <c:tx>
            <c:v>radius</c:v>
          </c:tx>
          <c:spPr>
            <a:ln w="28575">
              <a:noFill/>
            </a:ln>
          </c:spPr>
          <c:marker>
            <c:symbol val="none"/>
          </c:marker>
          <c:trendline>
            <c:spPr>
              <a:ln>
                <a:solidFill>
                  <a:srgbClr val="0070C0"/>
                </a:solidFill>
                <a:prstDash val="lgDashDot"/>
              </a:ln>
            </c:spPr>
            <c:trendlineType val="linear"/>
            <c:dispRSqr val="0"/>
            <c:dispEq val="0"/>
          </c:trendline>
          <c:xVal>
            <c:numRef>
              <c:f>Sheet1!$D$228:$D$286</c:f>
              <c:numCache>
                <c:formatCode>General</c:formatCode>
                <c:ptCount val="59"/>
                <c:pt idx="0">
                  <c:v>13</c:v>
                </c:pt>
                <c:pt idx="1">
                  <c:v>17</c:v>
                </c:pt>
                <c:pt idx="2">
                  <c:v>20</c:v>
                </c:pt>
                <c:pt idx="3">
                  <c:v>20</c:v>
                </c:pt>
                <c:pt idx="4">
                  <c:v>25</c:v>
                </c:pt>
                <c:pt idx="5">
                  <c:v>25</c:v>
                </c:pt>
                <c:pt idx="6">
                  <c:v>26</c:v>
                </c:pt>
                <c:pt idx="7">
                  <c:v>26</c:v>
                </c:pt>
                <c:pt idx="8">
                  <c:v>27</c:v>
                </c:pt>
                <c:pt idx="9">
                  <c:v>28</c:v>
                </c:pt>
                <c:pt idx="10">
                  <c:v>29</c:v>
                </c:pt>
                <c:pt idx="11">
                  <c:v>30</c:v>
                </c:pt>
                <c:pt idx="12">
                  <c:v>30</c:v>
                </c:pt>
                <c:pt idx="13">
                  <c:v>31</c:v>
                </c:pt>
                <c:pt idx="14">
                  <c:v>31</c:v>
                </c:pt>
                <c:pt idx="15">
                  <c:v>36</c:v>
                </c:pt>
                <c:pt idx="16">
                  <c:v>37</c:v>
                </c:pt>
                <c:pt idx="17">
                  <c:v>38</c:v>
                </c:pt>
                <c:pt idx="18">
                  <c:v>38</c:v>
                </c:pt>
                <c:pt idx="19">
                  <c:v>39</c:v>
                </c:pt>
                <c:pt idx="20">
                  <c:v>40</c:v>
                </c:pt>
                <c:pt idx="21">
                  <c:v>40</c:v>
                </c:pt>
                <c:pt idx="22">
                  <c:v>41</c:v>
                </c:pt>
                <c:pt idx="23">
                  <c:v>43</c:v>
                </c:pt>
                <c:pt idx="24">
                  <c:v>43</c:v>
                </c:pt>
                <c:pt idx="25">
                  <c:v>44</c:v>
                </c:pt>
                <c:pt idx="26">
                  <c:v>44</c:v>
                </c:pt>
                <c:pt idx="27">
                  <c:v>46</c:v>
                </c:pt>
                <c:pt idx="28">
                  <c:v>47</c:v>
                </c:pt>
                <c:pt idx="29">
                  <c:v>48</c:v>
                </c:pt>
                <c:pt idx="30">
                  <c:v>48</c:v>
                </c:pt>
                <c:pt idx="31">
                  <c:v>49</c:v>
                </c:pt>
                <c:pt idx="32">
                  <c:v>50</c:v>
                </c:pt>
                <c:pt idx="33">
                  <c:v>51</c:v>
                </c:pt>
                <c:pt idx="34">
                  <c:v>52</c:v>
                </c:pt>
                <c:pt idx="35">
                  <c:v>53</c:v>
                </c:pt>
                <c:pt idx="36">
                  <c:v>55</c:v>
                </c:pt>
                <c:pt idx="37">
                  <c:v>55</c:v>
                </c:pt>
                <c:pt idx="38">
                  <c:v>58</c:v>
                </c:pt>
                <c:pt idx="39">
                  <c:v>58</c:v>
                </c:pt>
                <c:pt idx="40">
                  <c:v>59</c:v>
                </c:pt>
                <c:pt idx="41">
                  <c:v>59</c:v>
                </c:pt>
                <c:pt idx="42">
                  <c:v>60</c:v>
                </c:pt>
                <c:pt idx="43">
                  <c:v>60</c:v>
                </c:pt>
                <c:pt idx="44">
                  <c:v>60</c:v>
                </c:pt>
                <c:pt idx="45">
                  <c:v>60</c:v>
                </c:pt>
                <c:pt idx="46">
                  <c:v>60</c:v>
                </c:pt>
                <c:pt idx="47">
                  <c:v>61</c:v>
                </c:pt>
                <c:pt idx="48">
                  <c:v>61</c:v>
                </c:pt>
                <c:pt idx="49">
                  <c:v>61</c:v>
                </c:pt>
                <c:pt idx="50">
                  <c:v>62</c:v>
                </c:pt>
                <c:pt idx="51">
                  <c:v>63</c:v>
                </c:pt>
                <c:pt idx="52">
                  <c:v>63</c:v>
                </c:pt>
                <c:pt idx="53">
                  <c:v>63</c:v>
                </c:pt>
                <c:pt idx="54">
                  <c:v>64</c:v>
                </c:pt>
                <c:pt idx="55">
                  <c:v>64</c:v>
                </c:pt>
                <c:pt idx="56">
                  <c:v>64</c:v>
                </c:pt>
                <c:pt idx="57">
                  <c:v>64</c:v>
                </c:pt>
                <c:pt idx="58">
                  <c:v>64</c:v>
                </c:pt>
              </c:numCache>
            </c:numRef>
          </c:xVal>
          <c:yVal>
            <c:numRef>
              <c:f>Sheet1!$F$228:$F$286</c:f>
              <c:numCache>
                <c:formatCode>General</c:formatCode>
                <c:ptCount val="59"/>
                <c:pt idx="0">
                  <c:v>124.5</c:v>
                </c:pt>
                <c:pt idx="3">
                  <c:v>141</c:v>
                </c:pt>
                <c:pt idx="6">
                  <c:v>167</c:v>
                </c:pt>
                <c:pt idx="7">
                  <c:v>179.5</c:v>
                </c:pt>
                <c:pt idx="9">
                  <c:v>152</c:v>
                </c:pt>
                <c:pt idx="10">
                  <c:v>179</c:v>
                </c:pt>
                <c:pt idx="11">
                  <c:v>193</c:v>
                </c:pt>
                <c:pt idx="12">
                  <c:v>152</c:v>
                </c:pt>
                <c:pt idx="13">
                  <c:v>184</c:v>
                </c:pt>
                <c:pt idx="14">
                  <c:v>158</c:v>
                </c:pt>
                <c:pt idx="15">
                  <c:v>179</c:v>
                </c:pt>
                <c:pt idx="16">
                  <c:v>189</c:v>
                </c:pt>
                <c:pt idx="18">
                  <c:v>193.5</c:v>
                </c:pt>
                <c:pt idx="19">
                  <c:v>194</c:v>
                </c:pt>
                <c:pt idx="20">
                  <c:v>187</c:v>
                </c:pt>
                <c:pt idx="21">
                  <c:v>193</c:v>
                </c:pt>
                <c:pt idx="22">
                  <c:v>181.5</c:v>
                </c:pt>
                <c:pt idx="23">
                  <c:v>176.5</c:v>
                </c:pt>
                <c:pt idx="24">
                  <c:v>180</c:v>
                </c:pt>
                <c:pt idx="25">
                  <c:v>199</c:v>
                </c:pt>
                <c:pt idx="26">
                  <c:v>214.5</c:v>
                </c:pt>
                <c:pt idx="27">
                  <c:v>182.5</c:v>
                </c:pt>
                <c:pt idx="28">
                  <c:v>215.5</c:v>
                </c:pt>
                <c:pt idx="29">
                  <c:v>212.5</c:v>
                </c:pt>
                <c:pt idx="30">
                  <c:v>199</c:v>
                </c:pt>
                <c:pt idx="31">
                  <c:v>226</c:v>
                </c:pt>
                <c:pt idx="32">
                  <c:v>229</c:v>
                </c:pt>
                <c:pt idx="33">
                  <c:v>199</c:v>
                </c:pt>
                <c:pt idx="34">
                  <c:v>206.5</c:v>
                </c:pt>
                <c:pt idx="37">
                  <c:v>238.5</c:v>
                </c:pt>
                <c:pt idx="39">
                  <c:v>246.5</c:v>
                </c:pt>
                <c:pt idx="40">
                  <c:v>279</c:v>
                </c:pt>
                <c:pt idx="41">
                  <c:v>239</c:v>
                </c:pt>
                <c:pt idx="42">
                  <c:v>252</c:v>
                </c:pt>
                <c:pt idx="43">
                  <c:v>237.5</c:v>
                </c:pt>
                <c:pt idx="44">
                  <c:v>256</c:v>
                </c:pt>
                <c:pt idx="45">
                  <c:v>267</c:v>
                </c:pt>
                <c:pt idx="47">
                  <c:v>262</c:v>
                </c:pt>
                <c:pt idx="48">
                  <c:v>267.5</c:v>
                </c:pt>
                <c:pt idx="49">
                  <c:v>281</c:v>
                </c:pt>
                <c:pt idx="50">
                  <c:v>241</c:v>
                </c:pt>
                <c:pt idx="51">
                  <c:v>284</c:v>
                </c:pt>
                <c:pt idx="52">
                  <c:v>271.5</c:v>
                </c:pt>
                <c:pt idx="53">
                  <c:v>279</c:v>
                </c:pt>
                <c:pt idx="54">
                  <c:v>244</c:v>
                </c:pt>
                <c:pt idx="55">
                  <c:v>262</c:v>
                </c:pt>
                <c:pt idx="56">
                  <c:v>290.5</c:v>
                </c:pt>
                <c:pt idx="57">
                  <c:v>270</c:v>
                </c:pt>
                <c:pt idx="58">
                  <c:v>290</c:v>
                </c:pt>
              </c:numCache>
            </c:numRef>
          </c:yVal>
          <c:smooth val="0"/>
        </c:ser>
        <c:ser>
          <c:idx val="2"/>
          <c:order val="2"/>
          <c:tx>
            <c:v>ulna</c:v>
          </c:tx>
          <c:spPr>
            <a:ln w="28575">
              <a:noFill/>
            </a:ln>
          </c:spPr>
          <c:marker>
            <c:symbol val="none"/>
          </c:marker>
          <c:trendline>
            <c:spPr>
              <a:ln>
                <a:solidFill>
                  <a:srgbClr val="FF0000"/>
                </a:solidFill>
              </a:ln>
            </c:spPr>
            <c:trendlineType val="linear"/>
            <c:dispRSqr val="0"/>
            <c:dispEq val="0"/>
          </c:trendline>
          <c:xVal>
            <c:numRef>
              <c:f>Sheet1!$D$228:$D$286</c:f>
              <c:numCache>
                <c:formatCode>General</c:formatCode>
                <c:ptCount val="59"/>
                <c:pt idx="0">
                  <c:v>13</c:v>
                </c:pt>
                <c:pt idx="1">
                  <c:v>17</c:v>
                </c:pt>
                <c:pt idx="2">
                  <c:v>20</c:v>
                </c:pt>
                <c:pt idx="3">
                  <c:v>20</c:v>
                </c:pt>
                <c:pt idx="4">
                  <c:v>25</c:v>
                </c:pt>
                <c:pt idx="5">
                  <c:v>25</c:v>
                </c:pt>
                <c:pt idx="6">
                  <c:v>26</c:v>
                </c:pt>
                <c:pt idx="7">
                  <c:v>26</c:v>
                </c:pt>
                <c:pt idx="8">
                  <c:v>27</c:v>
                </c:pt>
                <c:pt idx="9">
                  <c:v>28</c:v>
                </c:pt>
                <c:pt idx="10">
                  <c:v>29</c:v>
                </c:pt>
                <c:pt idx="11">
                  <c:v>30</c:v>
                </c:pt>
                <c:pt idx="12">
                  <c:v>30</c:v>
                </c:pt>
                <c:pt idx="13">
                  <c:v>31</c:v>
                </c:pt>
                <c:pt idx="14">
                  <c:v>31</c:v>
                </c:pt>
                <c:pt idx="15">
                  <c:v>36</c:v>
                </c:pt>
                <c:pt idx="16">
                  <c:v>37</c:v>
                </c:pt>
                <c:pt idx="17">
                  <c:v>38</c:v>
                </c:pt>
                <c:pt idx="18">
                  <c:v>38</c:v>
                </c:pt>
                <c:pt idx="19">
                  <c:v>39</c:v>
                </c:pt>
                <c:pt idx="20">
                  <c:v>40</c:v>
                </c:pt>
                <c:pt idx="21">
                  <c:v>40</c:v>
                </c:pt>
                <c:pt idx="22">
                  <c:v>41</c:v>
                </c:pt>
                <c:pt idx="23">
                  <c:v>43</c:v>
                </c:pt>
                <c:pt idx="24">
                  <c:v>43</c:v>
                </c:pt>
                <c:pt idx="25">
                  <c:v>44</c:v>
                </c:pt>
                <c:pt idx="26">
                  <c:v>44</c:v>
                </c:pt>
                <c:pt idx="27">
                  <c:v>46</c:v>
                </c:pt>
                <c:pt idx="28">
                  <c:v>47</c:v>
                </c:pt>
                <c:pt idx="29">
                  <c:v>48</c:v>
                </c:pt>
                <c:pt idx="30">
                  <c:v>48</c:v>
                </c:pt>
                <c:pt idx="31">
                  <c:v>49</c:v>
                </c:pt>
                <c:pt idx="32">
                  <c:v>50</c:v>
                </c:pt>
                <c:pt idx="33">
                  <c:v>51</c:v>
                </c:pt>
                <c:pt idx="34">
                  <c:v>52</c:v>
                </c:pt>
                <c:pt idx="35">
                  <c:v>53</c:v>
                </c:pt>
                <c:pt idx="36">
                  <c:v>55</c:v>
                </c:pt>
                <c:pt idx="37">
                  <c:v>55</c:v>
                </c:pt>
                <c:pt idx="38">
                  <c:v>58</c:v>
                </c:pt>
                <c:pt idx="39">
                  <c:v>58</c:v>
                </c:pt>
                <c:pt idx="40">
                  <c:v>59</c:v>
                </c:pt>
                <c:pt idx="41">
                  <c:v>59</c:v>
                </c:pt>
                <c:pt idx="42">
                  <c:v>60</c:v>
                </c:pt>
                <c:pt idx="43">
                  <c:v>60</c:v>
                </c:pt>
                <c:pt idx="44">
                  <c:v>60</c:v>
                </c:pt>
                <c:pt idx="45">
                  <c:v>60</c:v>
                </c:pt>
                <c:pt idx="46">
                  <c:v>60</c:v>
                </c:pt>
                <c:pt idx="47">
                  <c:v>61</c:v>
                </c:pt>
                <c:pt idx="48">
                  <c:v>61</c:v>
                </c:pt>
                <c:pt idx="49">
                  <c:v>61</c:v>
                </c:pt>
                <c:pt idx="50">
                  <c:v>62</c:v>
                </c:pt>
                <c:pt idx="51">
                  <c:v>63</c:v>
                </c:pt>
                <c:pt idx="52">
                  <c:v>63</c:v>
                </c:pt>
                <c:pt idx="53">
                  <c:v>63</c:v>
                </c:pt>
                <c:pt idx="54">
                  <c:v>64</c:v>
                </c:pt>
                <c:pt idx="55">
                  <c:v>64</c:v>
                </c:pt>
                <c:pt idx="56">
                  <c:v>64</c:v>
                </c:pt>
                <c:pt idx="57">
                  <c:v>64</c:v>
                </c:pt>
                <c:pt idx="58">
                  <c:v>64</c:v>
                </c:pt>
              </c:numCache>
            </c:numRef>
          </c:xVal>
          <c:yVal>
            <c:numRef>
              <c:f>Sheet1!$G$228:$G$286</c:f>
              <c:numCache>
                <c:formatCode>General</c:formatCode>
                <c:ptCount val="59"/>
                <c:pt idx="0">
                  <c:v>129</c:v>
                </c:pt>
                <c:pt idx="3">
                  <c:v>149</c:v>
                </c:pt>
                <c:pt idx="9">
                  <c:v>164.5</c:v>
                </c:pt>
                <c:pt idx="10">
                  <c:v>189</c:v>
                </c:pt>
                <c:pt idx="14">
                  <c:v>167</c:v>
                </c:pt>
                <c:pt idx="19">
                  <c:v>200</c:v>
                </c:pt>
                <c:pt idx="24">
                  <c:v>192</c:v>
                </c:pt>
                <c:pt idx="30">
                  <c:v>211.5</c:v>
                </c:pt>
                <c:pt idx="37">
                  <c:v>251.5</c:v>
                </c:pt>
                <c:pt idx="38">
                  <c:v>255</c:v>
                </c:pt>
                <c:pt idx="40">
                  <c:v>289</c:v>
                </c:pt>
                <c:pt idx="43">
                  <c:v>252</c:v>
                </c:pt>
                <c:pt idx="44">
                  <c:v>272.5</c:v>
                </c:pt>
                <c:pt idx="45">
                  <c:v>276</c:v>
                </c:pt>
                <c:pt idx="47">
                  <c:v>275</c:v>
                </c:pt>
                <c:pt idx="48">
                  <c:v>280</c:v>
                </c:pt>
                <c:pt idx="49">
                  <c:v>299.5</c:v>
                </c:pt>
                <c:pt idx="50">
                  <c:v>253</c:v>
                </c:pt>
                <c:pt idx="51">
                  <c:v>292</c:v>
                </c:pt>
                <c:pt idx="52">
                  <c:v>288</c:v>
                </c:pt>
                <c:pt idx="53">
                  <c:v>296</c:v>
                </c:pt>
                <c:pt idx="54">
                  <c:v>254</c:v>
                </c:pt>
                <c:pt idx="55">
                  <c:v>273.5</c:v>
                </c:pt>
                <c:pt idx="56">
                  <c:v>303.5</c:v>
                </c:pt>
                <c:pt idx="57">
                  <c:v>282.5</c:v>
                </c:pt>
              </c:numCache>
            </c:numRef>
          </c:yVal>
          <c:smooth val="0"/>
        </c:ser>
        <c:ser>
          <c:idx val="3"/>
          <c:order val="3"/>
          <c:tx>
            <c:v>femur</c:v>
          </c:tx>
          <c:spPr>
            <a:ln w="28575">
              <a:noFill/>
            </a:ln>
          </c:spPr>
          <c:marker>
            <c:symbol val="none"/>
          </c:marker>
          <c:trendline>
            <c:spPr>
              <a:ln>
                <a:solidFill>
                  <a:srgbClr val="FF0000"/>
                </a:solidFill>
                <a:prstDash val="sysDash"/>
              </a:ln>
            </c:spPr>
            <c:trendlineType val="linear"/>
            <c:dispRSqr val="0"/>
            <c:dispEq val="0"/>
          </c:trendline>
          <c:xVal>
            <c:numRef>
              <c:f>Sheet1!$D$228:$D$286</c:f>
              <c:numCache>
                <c:formatCode>General</c:formatCode>
                <c:ptCount val="59"/>
                <c:pt idx="0">
                  <c:v>13</c:v>
                </c:pt>
                <c:pt idx="1">
                  <c:v>17</c:v>
                </c:pt>
                <c:pt idx="2">
                  <c:v>20</c:v>
                </c:pt>
                <c:pt idx="3">
                  <c:v>20</c:v>
                </c:pt>
                <c:pt idx="4">
                  <c:v>25</c:v>
                </c:pt>
                <c:pt idx="5">
                  <c:v>25</c:v>
                </c:pt>
                <c:pt idx="6">
                  <c:v>26</c:v>
                </c:pt>
                <c:pt idx="7">
                  <c:v>26</c:v>
                </c:pt>
                <c:pt idx="8">
                  <c:v>27</c:v>
                </c:pt>
                <c:pt idx="9">
                  <c:v>28</c:v>
                </c:pt>
                <c:pt idx="10">
                  <c:v>29</c:v>
                </c:pt>
                <c:pt idx="11">
                  <c:v>30</c:v>
                </c:pt>
                <c:pt idx="12">
                  <c:v>30</c:v>
                </c:pt>
                <c:pt idx="13">
                  <c:v>31</c:v>
                </c:pt>
                <c:pt idx="14">
                  <c:v>31</c:v>
                </c:pt>
                <c:pt idx="15">
                  <c:v>36</c:v>
                </c:pt>
                <c:pt idx="16">
                  <c:v>37</c:v>
                </c:pt>
                <c:pt idx="17">
                  <c:v>38</c:v>
                </c:pt>
                <c:pt idx="18">
                  <c:v>38</c:v>
                </c:pt>
                <c:pt idx="19">
                  <c:v>39</c:v>
                </c:pt>
                <c:pt idx="20">
                  <c:v>40</c:v>
                </c:pt>
                <c:pt idx="21">
                  <c:v>40</c:v>
                </c:pt>
                <c:pt idx="22">
                  <c:v>41</c:v>
                </c:pt>
                <c:pt idx="23">
                  <c:v>43</c:v>
                </c:pt>
                <c:pt idx="24">
                  <c:v>43</c:v>
                </c:pt>
                <c:pt idx="25">
                  <c:v>44</c:v>
                </c:pt>
                <c:pt idx="26">
                  <c:v>44</c:v>
                </c:pt>
                <c:pt idx="27">
                  <c:v>46</c:v>
                </c:pt>
                <c:pt idx="28">
                  <c:v>47</c:v>
                </c:pt>
                <c:pt idx="29">
                  <c:v>48</c:v>
                </c:pt>
                <c:pt idx="30">
                  <c:v>48</c:v>
                </c:pt>
                <c:pt idx="31">
                  <c:v>49</c:v>
                </c:pt>
                <c:pt idx="32">
                  <c:v>50</c:v>
                </c:pt>
                <c:pt idx="33">
                  <c:v>51</c:v>
                </c:pt>
                <c:pt idx="34">
                  <c:v>52</c:v>
                </c:pt>
                <c:pt idx="35">
                  <c:v>53</c:v>
                </c:pt>
                <c:pt idx="36">
                  <c:v>55</c:v>
                </c:pt>
                <c:pt idx="37">
                  <c:v>55</c:v>
                </c:pt>
                <c:pt idx="38">
                  <c:v>58</c:v>
                </c:pt>
                <c:pt idx="39">
                  <c:v>58</c:v>
                </c:pt>
                <c:pt idx="40">
                  <c:v>59</c:v>
                </c:pt>
                <c:pt idx="41">
                  <c:v>59</c:v>
                </c:pt>
                <c:pt idx="42">
                  <c:v>60</c:v>
                </c:pt>
                <c:pt idx="43">
                  <c:v>60</c:v>
                </c:pt>
                <c:pt idx="44">
                  <c:v>60</c:v>
                </c:pt>
                <c:pt idx="45">
                  <c:v>60</c:v>
                </c:pt>
                <c:pt idx="46">
                  <c:v>60</c:v>
                </c:pt>
                <c:pt idx="47">
                  <c:v>61</c:v>
                </c:pt>
                <c:pt idx="48">
                  <c:v>61</c:v>
                </c:pt>
                <c:pt idx="49">
                  <c:v>61</c:v>
                </c:pt>
                <c:pt idx="50">
                  <c:v>62</c:v>
                </c:pt>
                <c:pt idx="51">
                  <c:v>63</c:v>
                </c:pt>
                <c:pt idx="52">
                  <c:v>63</c:v>
                </c:pt>
                <c:pt idx="53">
                  <c:v>63</c:v>
                </c:pt>
                <c:pt idx="54">
                  <c:v>64</c:v>
                </c:pt>
                <c:pt idx="55">
                  <c:v>64</c:v>
                </c:pt>
                <c:pt idx="56">
                  <c:v>64</c:v>
                </c:pt>
                <c:pt idx="57">
                  <c:v>64</c:v>
                </c:pt>
                <c:pt idx="58">
                  <c:v>64</c:v>
                </c:pt>
              </c:numCache>
            </c:numRef>
          </c:xVal>
          <c:yVal>
            <c:numRef>
              <c:f>Sheet1!$H$228:$H$286</c:f>
              <c:numCache>
                <c:formatCode>General</c:formatCode>
                <c:ptCount val="59"/>
                <c:pt idx="0">
                  <c:v>133</c:v>
                </c:pt>
                <c:pt idx="1">
                  <c:v>122</c:v>
                </c:pt>
                <c:pt idx="3">
                  <c:v>149</c:v>
                </c:pt>
                <c:pt idx="5">
                  <c:v>181</c:v>
                </c:pt>
                <c:pt idx="6">
                  <c:v>176</c:v>
                </c:pt>
                <c:pt idx="7">
                  <c:v>190.5</c:v>
                </c:pt>
                <c:pt idx="8">
                  <c:v>162</c:v>
                </c:pt>
                <c:pt idx="9">
                  <c:v>158</c:v>
                </c:pt>
                <c:pt idx="10">
                  <c:v>200</c:v>
                </c:pt>
                <c:pt idx="11">
                  <c:v>204.5</c:v>
                </c:pt>
                <c:pt idx="12">
                  <c:v>165.5</c:v>
                </c:pt>
                <c:pt idx="13">
                  <c:v>196</c:v>
                </c:pt>
                <c:pt idx="14">
                  <c:v>166.5</c:v>
                </c:pt>
                <c:pt idx="15">
                  <c:v>192</c:v>
                </c:pt>
                <c:pt idx="16">
                  <c:v>195.5</c:v>
                </c:pt>
                <c:pt idx="17">
                  <c:v>200.5</c:v>
                </c:pt>
                <c:pt idx="18">
                  <c:v>217</c:v>
                </c:pt>
                <c:pt idx="19">
                  <c:v>214.5</c:v>
                </c:pt>
                <c:pt idx="20">
                  <c:v>197.5</c:v>
                </c:pt>
                <c:pt idx="21">
                  <c:v>203</c:v>
                </c:pt>
                <c:pt idx="22">
                  <c:v>191.5</c:v>
                </c:pt>
                <c:pt idx="23">
                  <c:v>208</c:v>
                </c:pt>
                <c:pt idx="24">
                  <c:v>203</c:v>
                </c:pt>
                <c:pt idx="25">
                  <c:v>209</c:v>
                </c:pt>
                <c:pt idx="26">
                  <c:v>232</c:v>
                </c:pt>
                <c:pt idx="27">
                  <c:v>206</c:v>
                </c:pt>
                <c:pt idx="28">
                  <c:v>226.5</c:v>
                </c:pt>
                <c:pt idx="29">
                  <c:v>228.5</c:v>
                </c:pt>
                <c:pt idx="30">
                  <c:v>214</c:v>
                </c:pt>
                <c:pt idx="31">
                  <c:v>242</c:v>
                </c:pt>
                <c:pt idx="32">
                  <c:v>254.5</c:v>
                </c:pt>
                <c:pt idx="33">
                  <c:v>227.5</c:v>
                </c:pt>
                <c:pt idx="34">
                  <c:v>225.5</c:v>
                </c:pt>
                <c:pt idx="35">
                  <c:v>218</c:v>
                </c:pt>
                <c:pt idx="37">
                  <c:v>261.5</c:v>
                </c:pt>
                <c:pt idx="38">
                  <c:v>281.5</c:v>
                </c:pt>
                <c:pt idx="39">
                  <c:v>274</c:v>
                </c:pt>
                <c:pt idx="40">
                  <c:v>305</c:v>
                </c:pt>
                <c:pt idx="41">
                  <c:v>252</c:v>
                </c:pt>
                <c:pt idx="42">
                  <c:v>267</c:v>
                </c:pt>
                <c:pt idx="43">
                  <c:v>265</c:v>
                </c:pt>
                <c:pt idx="44">
                  <c:v>270</c:v>
                </c:pt>
                <c:pt idx="45">
                  <c:v>292.5</c:v>
                </c:pt>
                <c:pt idx="47">
                  <c:v>286.5</c:v>
                </c:pt>
                <c:pt idx="48">
                  <c:v>277.5</c:v>
                </c:pt>
                <c:pt idx="49">
                  <c:v>294.5</c:v>
                </c:pt>
                <c:pt idx="50">
                  <c:v>278</c:v>
                </c:pt>
                <c:pt idx="51">
                  <c:v>300</c:v>
                </c:pt>
                <c:pt idx="52">
                  <c:v>291.5</c:v>
                </c:pt>
                <c:pt idx="53">
                  <c:v>285</c:v>
                </c:pt>
                <c:pt idx="54">
                  <c:v>282</c:v>
                </c:pt>
                <c:pt idx="55">
                  <c:v>286.5</c:v>
                </c:pt>
                <c:pt idx="56">
                  <c:v>307.5</c:v>
                </c:pt>
                <c:pt idx="57">
                  <c:v>293</c:v>
                </c:pt>
                <c:pt idx="58">
                  <c:v>314</c:v>
                </c:pt>
              </c:numCache>
            </c:numRef>
          </c:yVal>
          <c:smooth val="0"/>
        </c:ser>
        <c:ser>
          <c:idx val="4"/>
          <c:order val="4"/>
          <c:tx>
            <c:v>tibia</c:v>
          </c:tx>
          <c:spPr>
            <a:ln w="28575">
              <a:noFill/>
            </a:ln>
          </c:spPr>
          <c:marker>
            <c:symbol val="none"/>
          </c:marker>
          <c:trendline>
            <c:spPr>
              <a:ln>
                <a:solidFill>
                  <a:srgbClr val="002060"/>
                </a:solidFill>
                <a:prstDash val="lgDashDotDot"/>
              </a:ln>
            </c:spPr>
            <c:trendlineType val="linear"/>
            <c:dispRSqr val="0"/>
            <c:dispEq val="0"/>
          </c:trendline>
          <c:xVal>
            <c:numRef>
              <c:f>Sheet1!$D$228:$D$286</c:f>
              <c:numCache>
                <c:formatCode>General</c:formatCode>
                <c:ptCount val="59"/>
                <c:pt idx="0">
                  <c:v>13</c:v>
                </c:pt>
                <c:pt idx="1">
                  <c:v>17</c:v>
                </c:pt>
                <c:pt idx="2">
                  <c:v>20</c:v>
                </c:pt>
                <c:pt idx="3">
                  <c:v>20</c:v>
                </c:pt>
                <c:pt idx="4">
                  <c:v>25</c:v>
                </c:pt>
                <c:pt idx="5">
                  <c:v>25</c:v>
                </c:pt>
                <c:pt idx="6">
                  <c:v>26</c:v>
                </c:pt>
                <c:pt idx="7">
                  <c:v>26</c:v>
                </c:pt>
                <c:pt idx="8">
                  <c:v>27</c:v>
                </c:pt>
                <c:pt idx="9">
                  <c:v>28</c:v>
                </c:pt>
                <c:pt idx="10">
                  <c:v>29</c:v>
                </c:pt>
                <c:pt idx="11">
                  <c:v>30</c:v>
                </c:pt>
                <c:pt idx="12">
                  <c:v>30</c:v>
                </c:pt>
                <c:pt idx="13">
                  <c:v>31</c:v>
                </c:pt>
                <c:pt idx="14">
                  <c:v>31</c:v>
                </c:pt>
                <c:pt idx="15">
                  <c:v>36</c:v>
                </c:pt>
                <c:pt idx="16">
                  <c:v>37</c:v>
                </c:pt>
                <c:pt idx="17">
                  <c:v>38</c:v>
                </c:pt>
                <c:pt idx="18">
                  <c:v>38</c:v>
                </c:pt>
                <c:pt idx="19">
                  <c:v>39</c:v>
                </c:pt>
                <c:pt idx="20">
                  <c:v>40</c:v>
                </c:pt>
                <c:pt idx="21">
                  <c:v>40</c:v>
                </c:pt>
                <c:pt idx="22">
                  <c:v>41</c:v>
                </c:pt>
                <c:pt idx="23">
                  <c:v>43</c:v>
                </c:pt>
                <c:pt idx="24">
                  <c:v>43</c:v>
                </c:pt>
                <c:pt idx="25">
                  <c:v>44</c:v>
                </c:pt>
                <c:pt idx="26">
                  <c:v>44</c:v>
                </c:pt>
                <c:pt idx="27">
                  <c:v>46</c:v>
                </c:pt>
                <c:pt idx="28">
                  <c:v>47</c:v>
                </c:pt>
                <c:pt idx="29">
                  <c:v>48</c:v>
                </c:pt>
                <c:pt idx="30">
                  <c:v>48</c:v>
                </c:pt>
                <c:pt idx="31">
                  <c:v>49</c:v>
                </c:pt>
                <c:pt idx="32">
                  <c:v>50</c:v>
                </c:pt>
                <c:pt idx="33">
                  <c:v>51</c:v>
                </c:pt>
                <c:pt idx="34">
                  <c:v>52</c:v>
                </c:pt>
                <c:pt idx="35">
                  <c:v>53</c:v>
                </c:pt>
                <c:pt idx="36">
                  <c:v>55</c:v>
                </c:pt>
                <c:pt idx="37">
                  <c:v>55</c:v>
                </c:pt>
                <c:pt idx="38">
                  <c:v>58</c:v>
                </c:pt>
                <c:pt idx="39">
                  <c:v>58</c:v>
                </c:pt>
                <c:pt idx="40">
                  <c:v>59</c:v>
                </c:pt>
                <c:pt idx="41">
                  <c:v>59</c:v>
                </c:pt>
                <c:pt idx="42">
                  <c:v>60</c:v>
                </c:pt>
                <c:pt idx="43">
                  <c:v>60</c:v>
                </c:pt>
                <c:pt idx="44">
                  <c:v>60</c:v>
                </c:pt>
                <c:pt idx="45">
                  <c:v>60</c:v>
                </c:pt>
                <c:pt idx="46">
                  <c:v>60</c:v>
                </c:pt>
                <c:pt idx="47">
                  <c:v>61</c:v>
                </c:pt>
                <c:pt idx="48">
                  <c:v>61</c:v>
                </c:pt>
                <c:pt idx="49">
                  <c:v>61</c:v>
                </c:pt>
                <c:pt idx="50">
                  <c:v>62</c:v>
                </c:pt>
                <c:pt idx="51">
                  <c:v>63</c:v>
                </c:pt>
                <c:pt idx="52">
                  <c:v>63</c:v>
                </c:pt>
                <c:pt idx="53">
                  <c:v>63</c:v>
                </c:pt>
                <c:pt idx="54">
                  <c:v>64</c:v>
                </c:pt>
                <c:pt idx="55">
                  <c:v>64</c:v>
                </c:pt>
                <c:pt idx="56">
                  <c:v>64</c:v>
                </c:pt>
                <c:pt idx="57">
                  <c:v>64</c:v>
                </c:pt>
                <c:pt idx="58">
                  <c:v>64</c:v>
                </c:pt>
              </c:numCache>
            </c:numRef>
          </c:xVal>
          <c:yVal>
            <c:numRef>
              <c:f>Sheet1!$I$228:$I$286</c:f>
              <c:numCache>
                <c:formatCode>General</c:formatCode>
                <c:ptCount val="59"/>
                <c:pt idx="0">
                  <c:v>107.5</c:v>
                </c:pt>
                <c:pt idx="3">
                  <c:v>125.5</c:v>
                </c:pt>
                <c:pt idx="5">
                  <c:v>145</c:v>
                </c:pt>
                <c:pt idx="6">
                  <c:v>143</c:v>
                </c:pt>
                <c:pt idx="7">
                  <c:v>157</c:v>
                </c:pt>
                <c:pt idx="8">
                  <c:v>127.5</c:v>
                </c:pt>
                <c:pt idx="9">
                  <c:v>126</c:v>
                </c:pt>
                <c:pt idx="10">
                  <c:v>161</c:v>
                </c:pt>
                <c:pt idx="11">
                  <c:v>173.5</c:v>
                </c:pt>
                <c:pt idx="12">
                  <c:v>138</c:v>
                </c:pt>
                <c:pt idx="13">
                  <c:v>167</c:v>
                </c:pt>
                <c:pt idx="14">
                  <c:v>135</c:v>
                </c:pt>
                <c:pt idx="15">
                  <c:v>156.5</c:v>
                </c:pt>
                <c:pt idx="16">
                  <c:v>168.5</c:v>
                </c:pt>
                <c:pt idx="17">
                  <c:v>163</c:v>
                </c:pt>
                <c:pt idx="18">
                  <c:v>178</c:v>
                </c:pt>
                <c:pt idx="19">
                  <c:v>169.5</c:v>
                </c:pt>
                <c:pt idx="20">
                  <c:v>160.5</c:v>
                </c:pt>
                <c:pt idx="21">
                  <c:v>170.5</c:v>
                </c:pt>
                <c:pt idx="22">
                  <c:v>156.5</c:v>
                </c:pt>
                <c:pt idx="23">
                  <c:v>164.5</c:v>
                </c:pt>
                <c:pt idx="24">
                  <c:v>166.5</c:v>
                </c:pt>
                <c:pt idx="25">
                  <c:v>172</c:v>
                </c:pt>
                <c:pt idx="26">
                  <c:v>195.5</c:v>
                </c:pt>
                <c:pt idx="27">
                  <c:v>169.5</c:v>
                </c:pt>
                <c:pt idx="28">
                  <c:v>192</c:v>
                </c:pt>
                <c:pt idx="29">
                  <c:v>196.5</c:v>
                </c:pt>
                <c:pt idx="30">
                  <c:v>181.5</c:v>
                </c:pt>
                <c:pt idx="31">
                  <c:v>205.5</c:v>
                </c:pt>
                <c:pt idx="32">
                  <c:v>211</c:v>
                </c:pt>
                <c:pt idx="33">
                  <c:v>185</c:v>
                </c:pt>
                <c:pt idx="34">
                  <c:v>189</c:v>
                </c:pt>
                <c:pt idx="35">
                  <c:v>177.5</c:v>
                </c:pt>
                <c:pt idx="37">
                  <c:v>215.5</c:v>
                </c:pt>
                <c:pt idx="38">
                  <c:v>234</c:v>
                </c:pt>
                <c:pt idx="39">
                  <c:v>236.5</c:v>
                </c:pt>
                <c:pt idx="40">
                  <c:v>260</c:v>
                </c:pt>
                <c:pt idx="41">
                  <c:v>214</c:v>
                </c:pt>
                <c:pt idx="42">
                  <c:v>228</c:v>
                </c:pt>
                <c:pt idx="43">
                  <c:v>230.5</c:v>
                </c:pt>
                <c:pt idx="44">
                  <c:v>234</c:v>
                </c:pt>
                <c:pt idx="45">
                  <c:v>249</c:v>
                </c:pt>
                <c:pt idx="47">
                  <c:v>234.5</c:v>
                </c:pt>
                <c:pt idx="48">
                  <c:v>242.5</c:v>
                </c:pt>
                <c:pt idx="49">
                  <c:v>254</c:v>
                </c:pt>
                <c:pt idx="50">
                  <c:v>224.5</c:v>
                </c:pt>
                <c:pt idx="51">
                  <c:v>253.5</c:v>
                </c:pt>
                <c:pt idx="52">
                  <c:v>248.5</c:v>
                </c:pt>
                <c:pt idx="53">
                  <c:v>250.5</c:v>
                </c:pt>
                <c:pt idx="54">
                  <c:v>231</c:v>
                </c:pt>
                <c:pt idx="55">
                  <c:v>235.5</c:v>
                </c:pt>
                <c:pt idx="56">
                  <c:v>259</c:v>
                </c:pt>
                <c:pt idx="57">
                  <c:v>239.5</c:v>
                </c:pt>
                <c:pt idx="58">
                  <c:v>256</c:v>
                </c:pt>
              </c:numCache>
            </c:numRef>
          </c:yVal>
          <c:smooth val="0"/>
        </c:ser>
        <c:ser>
          <c:idx val="5"/>
          <c:order val="5"/>
          <c:tx>
            <c:v>fibula</c:v>
          </c:tx>
          <c:spPr>
            <a:ln w="28575">
              <a:noFill/>
            </a:ln>
          </c:spPr>
          <c:marker>
            <c:symbol val="none"/>
          </c:marker>
          <c:trendline>
            <c:spPr>
              <a:ln>
                <a:solidFill>
                  <a:srgbClr val="00B050"/>
                </a:solidFill>
              </a:ln>
            </c:spPr>
            <c:trendlineType val="linear"/>
            <c:dispRSqr val="0"/>
            <c:dispEq val="0"/>
          </c:trendline>
          <c:xVal>
            <c:numRef>
              <c:f>Sheet1!$D$228:$D$286</c:f>
              <c:numCache>
                <c:formatCode>General</c:formatCode>
                <c:ptCount val="59"/>
                <c:pt idx="0">
                  <c:v>13</c:v>
                </c:pt>
                <c:pt idx="1">
                  <c:v>17</c:v>
                </c:pt>
                <c:pt idx="2">
                  <c:v>20</c:v>
                </c:pt>
                <c:pt idx="3">
                  <c:v>20</c:v>
                </c:pt>
                <c:pt idx="4">
                  <c:v>25</c:v>
                </c:pt>
                <c:pt idx="5">
                  <c:v>25</c:v>
                </c:pt>
                <c:pt idx="6">
                  <c:v>26</c:v>
                </c:pt>
                <c:pt idx="7">
                  <c:v>26</c:v>
                </c:pt>
                <c:pt idx="8">
                  <c:v>27</c:v>
                </c:pt>
                <c:pt idx="9">
                  <c:v>28</c:v>
                </c:pt>
                <c:pt idx="10">
                  <c:v>29</c:v>
                </c:pt>
                <c:pt idx="11">
                  <c:v>30</c:v>
                </c:pt>
                <c:pt idx="12">
                  <c:v>30</c:v>
                </c:pt>
                <c:pt idx="13">
                  <c:v>31</c:v>
                </c:pt>
                <c:pt idx="14">
                  <c:v>31</c:v>
                </c:pt>
                <c:pt idx="15">
                  <c:v>36</c:v>
                </c:pt>
                <c:pt idx="16">
                  <c:v>37</c:v>
                </c:pt>
                <c:pt idx="17">
                  <c:v>38</c:v>
                </c:pt>
                <c:pt idx="18">
                  <c:v>38</c:v>
                </c:pt>
                <c:pt idx="19">
                  <c:v>39</c:v>
                </c:pt>
                <c:pt idx="20">
                  <c:v>40</c:v>
                </c:pt>
                <c:pt idx="21">
                  <c:v>40</c:v>
                </c:pt>
                <c:pt idx="22">
                  <c:v>41</c:v>
                </c:pt>
                <c:pt idx="23">
                  <c:v>43</c:v>
                </c:pt>
                <c:pt idx="24">
                  <c:v>43</c:v>
                </c:pt>
                <c:pt idx="25">
                  <c:v>44</c:v>
                </c:pt>
                <c:pt idx="26">
                  <c:v>44</c:v>
                </c:pt>
                <c:pt idx="27">
                  <c:v>46</c:v>
                </c:pt>
                <c:pt idx="28">
                  <c:v>47</c:v>
                </c:pt>
                <c:pt idx="29">
                  <c:v>48</c:v>
                </c:pt>
                <c:pt idx="30">
                  <c:v>48</c:v>
                </c:pt>
                <c:pt idx="31">
                  <c:v>49</c:v>
                </c:pt>
                <c:pt idx="32">
                  <c:v>50</c:v>
                </c:pt>
                <c:pt idx="33">
                  <c:v>51</c:v>
                </c:pt>
                <c:pt idx="34">
                  <c:v>52</c:v>
                </c:pt>
                <c:pt idx="35">
                  <c:v>53</c:v>
                </c:pt>
                <c:pt idx="36">
                  <c:v>55</c:v>
                </c:pt>
                <c:pt idx="37">
                  <c:v>55</c:v>
                </c:pt>
                <c:pt idx="38">
                  <c:v>58</c:v>
                </c:pt>
                <c:pt idx="39">
                  <c:v>58</c:v>
                </c:pt>
                <c:pt idx="40">
                  <c:v>59</c:v>
                </c:pt>
                <c:pt idx="41">
                  <c:v>59</c:v>
                </c:pt>
                <c:pt idx="42">
                  <c:v>60</c:v>
                </c:pt>
                <c:pt idx="43">
                  <c:v>60</c:v>
                </c:pt>
                <c:pt idx="44">
                  <c:v>60</c:v>
                </c:pt>
                <c:pt idx="45">
                  <c:v>60</c:v>
                </c:pt>
                <c:pt idx="46">
                  <c:v>60</c:v>
                </c:pt>
                <c:pt idx="47">
                  <c:v>61</c:v>
                </c:pt>
                <c:pt idx="48">
                  <c:v>61</c:v>
                </c:pt>
                <c:pt idx="49">
                  <c:v>61</c:v>
                </c:pt>
                <c:pt idx="50">
                  <c:v>62</c:v>
                </c:pt>
                <c:pt idx="51">
                  <c:v>63</c:v>
                </c:pt>
                <c:pt idx="52">
                  <c:v>63</c:v>
                </c:pt>
                <c:pt idx="53">
                  <c:v>63</c:v>
                </c:pt>
                <c:pt idx="54">
                  <c:v>64</c:v>
                </c:pt>
                <c:pt idx="55">
                  <c:v>64</c:v>
                </c:pt>
                <c:pt idx="56">
                  <c:v>64</c:v>
                </c:pt>
                <c:pt idx="57">
                  <c:v>64</c:v>
                </c:pt>
                <c:pt idx="58">
                  <c:v>64</c:v>
                </c:pt>
              </c:numCache>
            </c:numRef>
          </c:xVal>
          <c:yVal>
            <c:numRef>
              <c:f>Sheet1!$J$228:$J$286</c:f>
              <c:numCache>
                <c:formatCode>General</c:formatCode>
                <c:ptCount val="59"/>
                <c:pt idx="0">
                  <c:v>98</c:v>
                </c:pt>
                <c:pt idx="7">
                  <c:v>143</c:v>
                </c:pt>
                <c:pt idx="9">
                  <c:v>122</c:v>
                </c:pt>
                <c:pt idx="10">
                  <c:v>143.5</c:v>
                </c:pt>
                <c:pt idx="12">
                  <c:v>126</c:v>
                </c:pt>
                <c:pt idx="15">
                  <c:v>147</c:v>
                </c:pt>
                <c:pt idx="16">
                  <c:v>150</c:v>
                </c:pt>
                <c:pt idx="19">
                  <c:v>152</c:v>
                </c:pt>
                <c:pt idx="21">
                  <c:v>155</c:v>
                </c:pt>
                <c:pt idx="22">
                  <c:v>147</c:v>
                </c:pt>
                <c:pt idx="24">
                  <c:v>150</c:v>
                </c:pt>
                <c:pt idx="25">
                  <c:v>160.5</c:v>
                </c:pt>
                <c:pt idx="26">
                  <c:v>155</c:v>
                </c:pt>
                <c:pt idx="27">
                  <c:v>154</c:v>
                </c:pt>
                <c:pt idx="28">
                  <c:v>175</c:v>
                </c:pt>
                <c:pt idx="29">
                  <c:v>175</c:v>
                </c:pt>
                <c:pt idx="31">
                  <c:v>182</c:v>
                </c:pt>
                <c:pt idx="32">
                  <c:v>188.5</c:v>
                </c:pt>
                <c:pt idx="33">
                  <c:v>169</c:v>
                </c:pt>
                <c:pt idx="37">
                  <c:v>194.5</c:v>
                </c:pt>
                <c:pt idx="38">
                  <c:v>204</c:v>
                </c:pt>
                <c:pt idx="39">
                  <c:v>208</c:v>
                </c:pt>
                <c:pt idx="40">
                  <c:v>226</c:v>
                </c:pt>
                <c:pt idx="41">
                  <c:v>192</c:v>
                </c:pt>
                <c:pt idx="42">
                  <c:v>210</c:v>
                </c:pt>
                <c:pt idx="43">
                  <c:v>205.5</c:v>
                </c:pt>
                <c:pt idx="44">
                  <c:v>210.5</c:v>
                </c:pt>
                <c:pt idx="45">
                  <c:v>223</c:v>
                </c:pt>
                <c:pt idx="47">
                  <c:v>201</c:v>
                </c:pt>
                <c:pt idx="48">
                  <c:v>220</c:v>
                </c:pt>
                <c:pt idx="49">
                  <c:v>230</c:v>
                </c:pt>
                <c:pt idx="50">
                  <c:v>202</c:v>
                </c:pt>
                <c:pt idx="51">
                  <c:v>227</c:v>
                </c:pt>
                <c:pt idx="52">
                  <c:v>225</c:v>
                </c:pt>
                <c:pt idx="53">
                  <c:v>225.5</c:v>
                </c:pt>
                <c:pt idx="54">
                  <c:v>202</c:v>
                </c:pt>
                <c:pt idx="55">
                  <c:v>210.5</c:v>
                </c:pt>
                <c:pt idx="56">
                  <c:v>238.5</c:v>
                </c:pt>
                <c:pt idx="57">
                  <c:v>220.5</c:v>
                </c:pt>
                <c:pt idx="58">
                  <c:v>230</c:v>
                </c:pt>
              </c:numCache>
            </c:numRef>
          </c:yVal>
          <c:smooth val="0"/>
        </c:ser>
        <c:ser>
          <c:idx val="6"/>
          <c:order val="6"/>
          <c:tx>
            <c:v>humerus</c:v>
          </c:tx>
          <c:spPr>
            <a:ln w="28575">
              <a:noFill/>
            </a:ln>
          </c:spPr>
          <c:marker>
            <c:symbol val="none"/>
          </c:marker>
          <c:trendline>
            <c:spPr>
              <a:ln>
                <a:solidFill>
                  <a:srgbClr val="92D050"/>
                </a:solidFill>
                <a:prstDash val="dash"/>
              </a:ln>
            </c:spPr>
            <c:trendlineType val="linear"/>
            <c:dispRSqr val="0"/>
            <c:dispEq val="0"/>
          </c:trendline>
          <c:xVal>
            <c:numRef>
              <c:f>Sheet1!$D$228:$D$286</c:f>
              <c:numCache>
                <c:formatCode>General</c:formatCode>
                <c:ptCount val="59"/>
                <c:pt idx="0">
                  <c:v>13</c:v>
                </c:pt>
                <c:pt idx="1">
                  <c:v>17</c:v>
                </c:pt>
                <c:pt idx="2">
                  <c:v>20</c:v>
                </c:pt>
                <c:pt idx="3">
                  <c:v>20</c:v>
                </c:pt>
                <c:pt idx="4">
                  <c:v>25</c:v>
                </c:pt>
                <c:pt idx="5">
                  <c:v>25</c:v>
                </c:pt>
                <c:pt idx="6">
                  <c:v>26</c:v>
                </c:pt>
                <c:pt idx="7">
                  <c:v>26</c:v>
                </c:pt>
                <c:pt idx="8">
                  <c:v>27</c:v>
                </c:pt>
                <c:pt idx="9">
                  <c:v>28</c:v>
                </c:pt>
                <c:pt idx="10">
                  <c:v>29</c:v>
                </c:pt>
                <c:pt idx="11">
                  <c:v>30</c:v>
                </c:pt>
                <c:pt idx="12">
                  <c:v>30</c:v>
                </c:pt>
                <c:pt idx="13">
                  <c:v>31</c:v>
                </c:pt>
                <c:pt idx="14">
                  <c:v>31</c:v>
                </c:pt>
                <c:pt idx="15">
                  <c:v>36</c:v>
                </c:pt>
                <c:pt idx="16">
                  <c:v>37</c:v>
                </c:pt>
                <c:pt idx="17">
                  <c:v>38</c:v>
                </c:pt>
                <c:pt idx="18">
                  <c:v>38</c:v>
                </c:pt>
                <c:pt idx="19">
                  <c:v>39</c:v>
                </c:pt>
                <c:pt idx="20">
                  <c:v>40</c:v>
                </c:pt>
                <c:pt idx="21">
                  <c:v>40</c:v>
                </c:pt>
                <c:pt idx="22">
                  <c:v>41</c:v>
                </c:pt>
                <c:pt idx="23">
                  <c:v>43</c:v>
                </c:pt>
                <c:pt idx="24">
                  <c:v>43</c:v>
                </c:pt>
                <c:pt idx="25">
                  <c:v>44</c:v>
                </c:pt>
                <c:pt idx="26">
                  <c:v>44</c:v>
                </c:pt>
                <c:pt idx="27">
                  <c:v>46</c:v>
                </c:pt>
                <c:pt idx="28">
                  <c:v>47</c:v>
                </c:pt>
                <c:pt idx="29">
                  <c:v>48</c:v>
                </c:pt>
                <c:pt idx="30">
                  <c:v>48</c:v>
                </c:pt>
                <c:pt idx="31">
                  <c:v>49</c:v>
                </c:pt>
                <c:pt idx="32">
                  <c:v>50</c:v>
                </c:pt>
                <c:pt idx="33">
                  <c:v>51</c:v>
                </c:pt>
                <c:pt idx="34">
                  <c:v>52</c:v>
                </c:pt>
                <c:pt idx="35">
                  <c:v>53</c:v>
                </c:pt>
                <c:pt idx="36">
                  <c:v>55</c:v>
                </c:pt>
                <c:pt idx="37">
                  <c:v>55</c:v>
                </c:pt>
                <c:pt idx="38">
                  <c:v>58</c:v>
                </c:pt>
                <c:pt idx="39">
                  <c:v>58</c:v>
                </c:pt>
                <c:pt idx="40">
                  <c:v>59</c:v>
                </c:pt>
                <c:pt idx="41">
                  <c:v>59</c:v>
                </c:pt>
                <c:pt idx="42">
                  <c:v>60</c:v>
                </c:pt>
                <c:pt idx="43">
                  <c:v>60</c:v>
                </c:pt>
                <c:pt idx="44">
                  <c:v>60</c:v>
                </c:pt>
                <c:pt idx="45">
                  <c:v>60</c:v>
                </c:pt>
                <c:pt idx="46">
                  <c:v>60</c:v>
                </c:pt>
                <c:pt idx="47">
                  <c:v>61</c:v>
                </c:pt>
                <c:pt idx="48">
                  <c:v>61</c:v>
                </c:pt>
                <c:pt idx="49">
                  <c:v>61</c:v>
                </c:pt>
                <c:pt idx="50">
                  <c:v>62</c:v>
                </c:pt>
                <c:pt idx="51">
                  <c:v>63</c:v>
                </c:pt>
                <c:pt idx="52">
                  <c:v>63</c:v>
                </c:pt>
                <c:pt idx="53">
                  <c:v>63</c:v>
                </c:pt>
                <c:pt idx="54">
                  <c:v>64</c:v>
                </c:pt>
                <c:pt idx="55">
                  <c:v>64</c:v>
                </c:pt>
                <c:pt idx="56">
                  <c:v>64</c:v>
                </c:pt>
                <c:pt idx="57">
                  <c:v>64</c:v>
                </c:pt>
                <c:pt idx="58">
                  <c:v>64</c:v>
                </c:pt>
              </c:numCache>
            </c:numRef>
          </c:xVal>
          <c:yVal>
            <c:numRef>
              <c:f>Sheet1!$E$228:$E$286</c:f>
              <c:numCache>
                <c:formatCode>General</c:formatCode>
                <c:ptCount val="59"/>
                <c:pt idx="0">
                  <c:v>137</c:v>
                </c:pt>
                <c:pt idx="3">
                  <c:v>157</c:v>
                </c:pt>
                <c:pt idx="5">
                  <c:v>217</c:v>
                </c:pt>
                <c:pt idx="7">
                  <c:v>198</c:v>
                </c:pt>
                <c:pt idx="8">
                  <c:v>163</c:v>
                </c:pt>
                <c:pt idx="9">
                  <c:v>167</c:v>
                </c:pt>
                <c:pt idx="10">
                  <c:v>204</c:v>
                </c:pt>
                <c:pt idx="11">
                  <c:v>205</c:v>
                </c:pt>
                <c:pt idx="12">
                  <c:v>174</c:v>
                </c:pt>
                <c:pt idx="13">
                  <c:v>195.5</c:v>
                </c:pt>
                <c:pt idx="14">
                  <c:v>172</c:v>
                </c:pt>
                <c:pt idx="15">
                  <c:v>192</c:v>
                </c:pt>
                <c:pt idx="16">
                  <c:v>206</c:v>
                </c:pt>
                <c:pt idx="18">
                  <c:v>218.5</c:v>
                </c:pt>
                <c:pt idx="19">
                  <c:v>177</c:v>
                </c:pt>
                <c:pt idx="20">
                  <c:v>202</c:v>
                </c:pt>
                <c:pt idx="21">
                  <c:v>203</c:v>
                </c:pt>
                <c:pt idx="22">
                  <c:v>192</c:v>
                </c:pt>
                <c:pt idx="23">
                  <c:v>201.5</c:v>
                </c:pt>
                <c:pt idx="24">
                  <c:v>207.5</c:v>
                </c:pt>
                <c:pt idx="25">
                  <c:v>214</c:v>
                </c:pt>
                <c:pt idx="26">
                  <c:v>236</c:v>
                </c:pt>
                <c:pt idx="27">
                  <c:v>199.5</c:v>
                </c:pt>
                <c:pt idx="28">
                  <c:v>221.5</c:v>
                </c:pt>
                <c:pt idx="30">
                  <c:v>220.5</c:v>
                </c:pt>
                <c:pt idx="31">
                  <c:v>240.5</c:v>
                </c:pt>
                <c:pt idx="32">
                  <c:v>252</c:v>
                </c:pt>
                <c:pt idx="33">
                  <c:v>228.5</c:v>
                </c:pt>
                <c:pt idx="34">
                  <c:v>218</c:v>
                </c:pt>
                <c:pt idx="35">
                  <c:v>207</c:v>
                </c:pt>
                <c:pt idx="37">
                  <c:v>237</c:v>
                </c:pt>
                <c:pt idx="38">
                  <c:v>279.5</c:v>
                </c:pt>
                <c:pt idx="39">
                  <c:v>260.5</c:v>
                </c:pt>
                <c:pt idx="40">
                  <c:v>303.5</c:v>
                </c:pt>
                <c:pt idx="41">
                  <c:v>261</c:v>
                </c:pt>
                <c:pt idx="42">
                  <c:v>272</c:v>
                </c:pt>
                <c:pt idx="43">
                  <c:v>262.5</c:v>
                </c:pt>
                <c:pt idx="44">
                  <c:v>282</c:v>
                </c:pt>
                <c:pt idx="45">
                  <c:v>299.5</c:v>
                </c:pt>
                <c:pt idx="47">
                  <c:v>278.5</c:v>
                </c:pt>
                <c:pt idx="48">
                  <c:v>285.5</c:v>
                </c:pt>
                <c:pt idx="49">
                  <c:v>287</c:v>
                </c:pt>
                <c:pt idx="50">
                  <c:v>279</c:v>
                </c:pt>
                <c:pt idx="51">
                  <c:v>291.5</c:v>
                </c:pt>
                <c:pt idx="52">
                  <c:v>294</c:v>
                </c:pt>
                <c:pt idx="53">
                  <c:v>303</c:v>
                </c:pt>
                <c:pt idx="54">
                  <c:v>270.5</c:v>
                </c:pt>
                <c:pt idx="55">
                  <c:v>197</c:v>
                </c:pt>
                <c:pt idx="56">
                  <c:v>319</c:v>
                </c:pt>
                <c:pt idx="57">
                  <c:v>300.5</c:v>
                </c:pt>
                <c:pt idx="58">
                  <c:v>300</c:v>
                </c:pt>
              </c:numCache>
            </c:numRef>
          </c:yVal>
          <c:smooth val="0"/>
        </c:ser>
        <c:dLbls>
          <c:showLegendKey val="0"/>
          <c:showVal val="0"/>
          <c:showCatName val="0"/>
          <c:showSerName val="0"/>
          <c:showPercent val="0"/>
          <c:showBubbleSize val="0"/>
        </c:dLbls>
        <c:axId val="287512832"/>
        <c:axId val="287539584"/>
      </c:scatterChart>
      <c:valAx>
        <c:axId val="287512832"/>
        <c:scaling>
          <c:orientation val="minMax"/>
          <c:max val="64"/>
          <c:min val="8"/>
        </c:scaling>
        <c:delete val="0"/>
        <c:axPos val="b"/>
        <c:title>
          <c:tx>
            <c:rich>
              <a:bodyPr/>
              <a:lstStyle/>
              <a:p>
                <a:pPr>
                  <a:defRPr/>
                </a:pPr>
                <a:r>
                  <a:rPr lang="en-GB" b="0"/>
                  <a:t>dental</a:t>
                </a:r>
                <a:r>
                  <a:rPr lang="en-GB" b="0" baseline="0"/>
                  <a:t> score</a:t>
                </a:r>
                <a:endParaRPr lang="en-GB" b="0"/>
              </a:p>
            </c:rich>
          </c:tx>
          <c:layout>
            <c:manualLayout>
              <c:xMode val="edge"/>
              <c:yMode val="edge"/>
              <c:x val="0.36188926699619961"/>
              <c:y val="0.89621394075753003"/>
            </c:manualLayout>
          </c:layout>
          <c:overlay val="0"/>
        </c:title>
        <c:numFmt formatCode="General" sourceLinked="1"/>
        <c:majorTickMark val="none"/>
        <c:minorTickMark val="none"/>
        <c:tickLblPos val="nextTo"/>
        <c:crossAx val="287539584"/>
        <c:crosses val="autoZero"/>
        <c:crossBetween val="midCat"/>
      </c:valAx>
      <c:valAx>
        <c:axId val="287539584"/>
        <c:scaling>
          <c:orientation val="minMax"/>
          <c:max val="300"/>
          <c:min val="75"/>
        </c:scaling>
        <c:delete val="0"/>
        <c:axPos val="l"/>
        <c:majorGridlines/>
        <c:title>
          <c:tx>
            <c:rich>
              <a:bodyPr/>
              <a:lstStyle/>
              <a:p>
                <a:pPr>
                  <a:defRPr/>
                </a:pPr>
                <a:r>
                  <a:rPr lang="en-GB" b="0"/>
                  <a:t>length (mm)</a:t>
                </a:r>
              </a:p>
            </c:rich>
          </c:tx>
          <c:overlay val="0"/>
        </c:title>
        <c:numFmt formatCode="General" sourceLinked="1"/>
        <c:majorTickMark val="none"/>
        <c:minorTickMark val="none"/>
        <c:tickLblPos val="nextTo"/>
        <c:crossAx val="287512832"/>
        <c:crosses val="autoZero"/>
        <c:crossBetween val="midCat"/>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0.78901729762674522"/>
          <c:y val="0.3614094438610328"/>
          <c:w val="0.20871960906202514"/>
          <c:h val="0.41776056350302626"/>
        </c:manualLayout>
      </c:layout>
      <c:overlay val="0"/>
    </c:legend>
    <c:plotVisOnly val="1"/>
    <c:dispBlanksAs val="gap"/>
    <c:showDLblsOverMax val="0"/>
  </c:chart>
  <c:txPr>
    <a:bodyPr/>
    <a:lstStyle/>
    <a:p>
      <a:pPr>
        <a:defRPr baseline="0">
          <a:latin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GB" sz="1200" b="0" i="1"/>
              <a:t>Pan paniscus </a:t>
            </a:r>
            <a:r>
              <a:rPr lang="en-GB" sz="1200" b="0"/>
              <a:t>male and female humeral lengths</a:t>
            </a:r>
          </a:p>
        </c:rich>
      </c:tx>
      <c:overlay val="0"/>
    </c:title>
    <c:autoTitleDeleted val="0"/>
    <c:plotArea>
      <c:layout>
        <c:manualLayout>
          <c:layoutTarget val="inner"/>
          <c:xMode val="edge"/>
          <c:yMode val="edge"/>
          <c:x val="0.15121842053894838"/>
          <c:y val="0.11878235524426849"/>
          <c:w val="0.68468067997524407"/>
          <c:h val="0.71114636222958372"/>
        </c:manualLayout>
      </c:layout>
      <c:scatterChart>
        <c:scatterStyle val="lineMarker"/>
        <c:varyColors val="0"/>
        <c:ser>
          <c:idx val="0"/>
          <c:order val="0"/>
          <c:tx>
            <c:strRef>
              <c:f>Sheet1!$I$1</c:f>
              <c:strCache>
                <c:ptCount val="1"/>
                <c:pt idx="0">
                  <c:v>male humeral length</c:v>
                </c:pt>
              </c:strCache>
            </c:strRef>
          </c:tx>
          <c:spPr>
            <a:ln w="28575">
              <a:noFill/>
            </a:ln>
          </c:spPr>
          <c:marker>
            <c:symbol val="circle"/>
            <c:size val="3"/>
          </c:marker>
          <c:xVal>
            <c:numRef>
              <c:f>Sheet1!$H$2:$H$18</c:f>
              <c:numCache>
                <c:formatCode>General</c:formatCode>
                <c:ptCount val="17"/>
                <c:pt idx="0">
                  <c:v>12</c:v>
                </c:pt>
                <c:pt idx="1">
                  <c:v>25</c:v>
                </c:pt>
                <c:pt idx="2">
                  <c:v>59</c:v>
                </c:pt>
                <c:pt idx="3">
                  <c:v>38</c:v>
                </c:pt>
                <c:pt idx="4">
                  <c:v>60</c:v>
                </c:pt>
                <c:pt idx="5">
                  <c:v>29</c:v>
                </c:pt>
                <c:pt idx="6">
                  <c:v>64</c:v>
                </c:pt>
                <c:pt idx="7">
                  <c:v>60</c:v>
                </c:pt>
                <c:pt idx="8">
                  <c:v>61</c:v>
                </c:pt>
                <c:pt idx="9">
                  <c:v>64</c:v>
                </c:pt>
                <c:pt idx="10">
                  <c:v>47</c:v>
                </c:pt>
                <c:pt idx="11">
                  <c:v>54</c:v>
                </c:pt>
                <c:pt idx="12">
                  <c:v>43</c:v>
                </c:pt>
                <c:pt idx="13">
                  <c:v>45</c:v>
                </c:pt>
                <c:pt idx="14">
                  <c:v>34</c:v>
                </c:pt>
                <c:pt idx="15">
                  <c:v>61</c:v>
                </c:pt>
                <c:pt idx="16">
                  <c:v>16</c:v>
                </c:pt>
              </c:numCache>
            </c:numRef>
          </c:xVal>
          <c:yVal>
            <c:numRef>
              <c:f>Sheet1!$I$2:$I$18</c:f>
              <c:numCache>
                <c:formatCode>General</c:formatCode>
                <c:ptCount val="17"/>
                <c:pt idx="0">
                  <c:v>104.5</c:v>
                </c:pt>
                <c:pt idx="1">
                  <c:v>151</c:v>
                </c:pt>
                <c:pt idx="2">
                  <c:v>246.5</c:v>
                </c:pt>
                <c:pt idx="3">
                  <c:v>189</c:v>
                </c:pt>
                <c:pt idx="4">
                  <c:v>279.5</c:v>
                </c:pt>
                <c:pt idx="6">
                  <c:v>271.5</c:v>
                </c:pt>
                <c:pt idx="7">
                  <c:v>345</c:v>
                </c:pt>
                <c:pt idx="8">
                  <c:v>255</c:v>
                </c:pt>
                <c:pt idx="9">
                  <c:v>272</c:v>
                </c:pt>
                <c:pt idx="10">
                  <c:v>258</c:v>
                </c:pt>
                <c:pt idx="11">
                  <c:v>275</c:v>
                </c:pt>
                <c:pt idx="12">
                  <c:v>225</c:v>
                </c:pt>
                <c:pt idx="14">
                  <c:v>186</c:v>
                </c:pt>
                <c:pt idx="16">
                  <c:v>155.5</c:v>
                </c:pt>
              </c:numCache>
            </c:numRef>
          </c:yVal>
          <c:smooth val="0"/>
        </c:ser>
        <c:ser>
          <c:idx val="1"/>
          <c:order val="1"/>
          <c:tx>
            <c:v>female humeral length</c:v>
          </c:tx>
          <c:spPr>
            <a:ln w="28575">
              <a:noFill/>
            </a:ln>
          </c:spPr>
          <c:marker>
            <c:symbol val="circle"/>
            <c:size val="3"/>
          </c:marker>
          <c:xVal>
            <c:numRef>
              <c:f>Sheet1!$A$2:$A$13</c:f>
              <c:numCache>
                <c:formatCode>General</c:formatCode>
                <c:ptCount val="12"/>
                <c:pt idx="0">
                  <c:v>63</c:v>
                </c:pt>
                <c:pt idx="1">
                  <c:v>39</c:v>
                </c:pt>
                <c:pt idx="2">
                  <c:v>62</c:v>
                </c:pt>
                <c:pt idx="4">
                  <c:v>64</c:v>
                </c:pt>
                <c:pt idx="5">
                  <c:v>53</c:v>
                </c:pt>
                <c:pt idx="6">
                  <c:v>64</c:v>
                </c:pt>
                <c:pt idx="8">
                  <c:v>32</c:v>
                </c:pt>
                <c:pt idx="9">
                  <c:v>51</c:v>
                </c:pt>
                <c:pt idx="10">
                  <c:v>53</c:v>
                </c:pt>
                <c:pt idx="11">
                  <c:v>64</c:v>
                </c:pt>
              </c:numCache>
            </c:numRef>
          </c:xVal>
          <c:yVal>
            <c:numRef>
              <c:f>Sheet1!$B$2:$B$13</c:f>
              <c:numCache>
                <c:formatCode>General</c:formatCode>
                <c:ptCount val="12"/>
                <c:pt idx="0">
                  <c:v>189</c:v>
                </c:pt>
                <c:pt idx="1">
                  <c:v>185.5</c:v>
                </c:pt>
                <c:pt idx="2">
                  <c:v>266</c:v>
                </c:pt>
                <c:pt idx="3">
                  <c:v>225</c:v>
                </c:pt>
                <c:pt idx="5">
                  <c:v>234</c:v>
                </c:pt>
                <c:pt idx="6">
                  <c:v>299</c:v>
                </c:pt>
                <c:pt idx="7">
                  <c:v>281</c:v>
                </c:pt>
                <c:pt idx="8">
                  <c:v>199.5</c:v>
                </c:pt>
                <c:pt idx="10">
                  <c:v>254</c:v>
                </c:pt>
                <c:pt idx="11">
                  <c:v>288</c:v>
                </c:pt>
              </c:numCache>
            </c:numRef>
          </c:yVal>
          <c:smooth val="0"/>
        </c:ser>
        <c:dLbls>
          <c:showLegendKey val="0"/>
          <c:showVal val="0"/>
          <c:showCatName val="0"/>
          <c:showSerName val="0"/>
          <c:showPercent val="0"/>
          <c:showBubbleSize val="0"/>
        </c:dLbls>
        <c:axId val="287535488"/>
        <c:axId val="287537408"/>
      </c:scatterChart>
      <c:valAx>
        <c:axId val="287535488"/>
        <c:scaling>
          <c:orientation val="minMax"/>
          <c:max val="64"/>
          <c:min val="10"/>
        </c:scaling>
        <c:delete val="0"/>
        <c:axPos val="b"/>
        <c:title>
          <c:tx>
            <c:rich>
              <a:bodyPr/>
              <a:lstStyle/>
              <a:p>
                <a:pPr>
                  <a:defRPr/>
                </a:pPr>
                <a:r>
                  <a:rPr lang="en-GB" b="0"/>
                  <a:t>dental score</a:t>
                </a:r>
              </a:p>
            </c:rich>
          </c:tx>
          <c:overlay val="0"/>
        </c:title>
        <c:numFmt formatCode="General" sourceLinked="1"/>
        <c:majorTickMark val="none"/>
        <c:minorTickMark val="none"/>
        <c:tickLblPos val="nextTo"/>
        <c:crossAx val="287537408"/>
        <c:crosses val="autoZero"/>
        <c:crossBetween val="midCat"/>
        <c:majorUnit val="5"/>
      </c:valAx>
      <c:valAx>
        <c:axId val="287537408"/>
        <c:scaling>
          <c:orientation val="minMax"/>
          <c:max val="350"/>
          <c:min val="100"/>
        </c:scaling>
        <c:delete val="0"/>
        <c:axPos val="l"/>
        <c:majorGridlines/>
        <c:title>
          <c:tx>
            <c:rich>
              <a:bodyPr/>
              <a:lstStyle/>
              <a:p>
                <a:pPr>
                  <a:defRPr/>
                </a:pPr>
                <a:r>
                  <a:rPr lang="en-GB" b="0"/>
                  <a:t>length</a:t>
                </a:r>
                <a:r>
                  <a:rPr lang="en-GB" b="0" baseline="0"/>
                  <a:t> (mm)</a:t>
                </a:r>
                <a:endParaRPr lang="en-GB" b="0"/>
              </a:p>
            </c:rich>
          </c:tx>
          <c:overlay val="0"/>
        </c:title>
        <c:numFmt formatCode="General" sourceLinked="1"/>
        <c:majorTickMark val="none"/>
        <c:minorTickMark val="none"/>
        <c:tickLblPos val="nextTo"/>
        <c:crossAx val="287535488"/>
        <c:crosses val="autoZero"/>
        <c:crossBetween val="midCat"/>
      </c:valAx>
    </c:plotArea>
    <c:plotVisOnly val="1"/>
    <c:dispBlanksAs val="gap"/>
    <c:showDLblsOverMax val="0"/>
  </c:chart>
  <c:txPr>
    <a:bodyPr/>
    <a:lstStyle/>
    <a:p>
      <a:pPr>
        <a:defRPr sz="1100" baseline="0">
          <a:latin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0" baseline="0"/>
              <a:t>Comparison of Kuykendall's (1996) regression for 8 teeth to calendar years</a:t>
            </a:r>
          </a:p>
        </c:rich>
      </c:tx>
      <c:layout>
        <c:manualLayout>
          <c:xMode val="edge"/>
          <c:yMode val="edge"/>
          <c:x val="0.12319444444444452"/>
          <c:y val="1.38888888888889E-2"/>
        </c:manualLayout>
      </c:layout>
      <c:overlay val="0"/>
    </c:title>
    <c:autoTitleDeleted val="0"/>
    <c:plotArea>
      <c:layout>
        <c:manualLayout>
          <c:layoutTarget val="inner"/>
          <c:xMode val="edge"/>
          <c:yMode val="edge"/>
          <c:x val="0.1264096675415573"/>
          <c:y val="0.14798067632850237"/>
          <c:w val="0.79859033245844302"/>
          <c:h val="0.68191289132336719"/>
        </c:manualLayout>
      </c:layout>
      <c:scatterChart>
        <c:scatterStyle val="lineMarker"/>
        <c:varyColors val="0"/>
        <c:ser>
          <c:idx val="0"/>
          <c:order val="0"/>
          <c:spPr>
            <a:ln w="28575">
              <a:noFill/>
            </a:ln>
          </c:spPr>
          <c:marker>
            <c:symbol val="none"/>
          </c:marker>
          <c:trendline>
            <c:spPr>
              <a:ln w="22225">
                <a:solidFill>
                  <a:schemeClr val="accent1"/>
                </a:solidFill>
              </a:ln>
            </c:spPr>
            <c:trendlineType val="poly"/>
            <c:order val="3"/>
            <c:dispRSqr val="0"/>
            <c:dispEq val="0"/>
          </c:trendline>
          <c:xVal>
            <c:numRef>
              <c:f>Sheet1!$F$1:$F$64</c:f>
              <c:numCache>
                <c:formatCode>General</c:formatCode>
                <c:ptCount val="64"/>
                <c:pt idx="0">
                  <c:v>6.6000000000000003E-2</c:v>
                </c:pt>
                <c:pt idx="1">
                  <c:v>0.15300000000000011</c:v>
                </c:pt>
                <c:pt idx="2">
                  <c:v>0.2420000000000001</c:v>
                </c:pt>
                <c:pt idx="3">
                  <c:v>0.33300000000000024</c:v>
                </c:pt>
                <c:pt idx="4">
                  <c:v>0.42600000000000021</c:v>
                </c:pt>
                <c:pt idx="5">
                  <c:v>0.52100000000000002</c:v>
                </c:pt>
                <c:pt idx="6">
                  <c:v>0.61800000000000044</c:v>
                </c:pt>
                <c:pt idx="7">
                  <c:v>0.7170000000000003</c:v>
                </c:pt>
                <c:pt idx="8">
                  <c:v>0.81799999999999995</c:v>
                </c:pt>
                <c:pt idx="9">
                  <c:v>0.92100000000000004</c:v>
                </c:pt>
                <c:pt idx="10">
                  <c:v>1.026</c:v>
                </c:pt>
                <c:pt idx="11">
                  <c:v>1.1330000000000002</c:v>
                </c:pt>
                <c:pt idx="12">
                  <c:v>1.2420000000000002</c:v>
                </c:pt>
                <c:pt idx="13">
                  <c:v>1.3530000000000002</c:v>
                </c:pt>
                <c:pt idx="14">
                  <c:v>1.4660000000000002</c:v>
                </c:pt>
                <c:pt idx="15">
                  <c:v>1.5810000000000002</c:v>
                </c:pt>
                <c:pt idx="16">
                  <c:v>1.6980000000000008</c:v>
                </c:pt>
                <c:pt idx="17">
                  <c:v>1.8170000000000002</c:v>
                </c:pt>
                <c:pt idx="18">
                  <c:v>1.9380000000000008</c:v>
                </c:pt>
                <c:pt idx="19">
                  <c:v>2.0609999999999999</c:v>
                </c:pt>
                <c:pt idx="20">
                  <c:v>2.1859999999999999</c:v>
                </c:pt>
                <c:pt idx="21">
                  <c:v>2.3129999999999984</c:v>
                </c:pt>
                <c:pt idx="22">
                  <c:v>2.4419999999999997</c:v>
                </c:pt>
                <c:pt idx="23">
                  <c:v>2.573</c:v>
                </c:pt>
                <c:pt idx="24">
                  <c:v>2.706</c:v>
                </c:pt>
                <c:pt idx="25">
                  <c:v>2.8409999999999997</c:v>
                </c:pt>
                <c:pt idx="26">
                  <c:v>2.9779999999999998</c:v>
                </c:pt>
                <c:pt idx="27">
                  <c:v>3.117</c:v>
                </c:pt>
                <c:pt idx="28">
                  <c:v>3.258</c:v>
                </c:pt>
                <c:pt idx="29">
                  <c:v>3.4009999999999998</c:v>
                </c:pt>
                <c:pt idx="30">
                  <c:v>3.5459999999999998</c:v>
                </c:pt>
                <c:pt idx="31">
                  <c:v>3.6930000000000001</c:v>
                </c:pt>
                <c:pt idx="32">
                  <c:v>3.8419999999999987</c:v>
                </c:pt>
                <c:pt idx="33">
                  <c:v>3.9930000000000003</c:v>
                </c:pt>
                <c:pt idx="34">
                  <c:v>4.1460000000000008</c:v>
                </c:pt>
                <c:pt idx="35">
                  <c:v>4.3010000000000002</c:v>
                </c:pt>
                <c:pt idx="36">
                  <c:v>4.4580000000000002</c:v>
                </c:pt>
                <c:pt idx="37">
                  <c:v>4.6169999999999973</c:v>
                </c:pt>
                <c:pt idx="38">
                  <c:v>4.7780000000000014</c:v>
                </c:pt>
                <c:pt idx="39">
                  <c:v>4.9410000000000034</c:v>
                </c:pt>
                <c:pt idx="40">
                  <c:v>5.1059999999999972</c:v>
                </c:pt>
                <c:pt idx="41">
                  <c:v>5.2729999999999997</c:v>
                </c:pt>
                <c:pt idx="42">
                  <c:v>5.4420000000000002</c:v>
                </c:pt>
                <c:pt idx="43">
                  <c:v>5.6129999999999969</c:v>
                </c:pt>
                <c:pt idx="44">
                  <c:v>5.7859999999999996</c:v>
                </c:pt>
                <c:pt idx="45">
                  <c:v>5.9610000000000003</c:v>
                </c:pt>
                <c:pt idx="46">
                  <c:v>6.1379999999999972</c:v>
                </c:pt>
                <c:pt idx="47">
                  <c:v>6.3169999999999975</c:v>
                </c:pt>
                <c:pt idx="48">
                  <c:v>6.4980000000000011</c:v>
                </c:pt>
                <c:pt idx="49">
                  <c:v>6.681</c:v>
                </c:pt>
                <c:pt idx="50">
                  <c:v>6.8660000000000005</c:v>
                </c:pt>
                <c:pt idx="51">
                  <c:v>7.0530000000000008</c:v>
                </c:pt>
                <c:pt idx="52">
                  <c:v>7.242</c:v>
                </c:pt>
                <c:pt idx="53">
                  <c:v>7.4329999999999998</c:v>
                </c:pt>
                <c:pt idx="54">
                  <c:v>7.6259999999999959</c:v>
                </c:pt>
                <c:pt idx="55">
                  <c:v>7.8210000000000006</c:v>
                </c:pt>
                <c:pt idx="56">
                  <c:v>8.0180000000000007</c:v>
                </c:pt>
                <c:pt idx="57">
                  <c:v>8.2169999999999987</c:v>
                </c:pt>
                <c:pt idx="58">
                  <c:v>8.418000000000001</c:v>
                </c:pt>
                <c:pt idx="59">
                  <c:v>8.6209999999999987</c:v>
                </c:pt>
                <c:pt idx="60">
                  <c:v>8.8260000000000005</c:v>
                </c:pt>
                <c:pt idx="61">
                  <c:v>9.0330000000000013</c:v>
                </c:pt>
                <c:pt idx="62">
                  <c:v>9.2420000000000009</c:v>
                </c:pt>
                <c:pt idx="63">
                  <c:v>9.4530000000000047</c:v>
                </c:pt>
              </c:numCache>
            </c:numRef>
          </c:xVal>
          <c:yVal>
            <c:numRef>
              <c:f>Sheet1!$G$1:$G$64</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yVal>
          <c:smooth val="0"/>
        </c:ser>
        <c:dLbls>
          <c:showLegendKey val="0"/>
          <c:showVal val="0"/>
          <c:showCatName val="0"/>
          <c:showSerName val="0"/>
          <c:showPercent val="0"/>
          <c:showBubbleSize val="0"/>
        </c:dLbls>
        <c:axId val="287656960"/>
        <c:axId val="287667328"/>
      </c:scatterChart>
      <c:valAx>
        <c:axId val="287656960"/>
        <c:scaling>
          <c:orientation val="minMax"/>
          <c:max val="10"/>
          <c:min val="0"/>
        </c:scaling>
        <c:delete val="0"/>
        <c:axPos val="b"/>
        <c:title>
          <c:tx>
            <c:rich>
              <a:bodyPr/>
              <a:lstStyle/>
              <a:p>
                <a:pPr>
                  <a:defRPr/>
                </a:pPr>
                <a:r>
                  <a:rPr lang="en-GB" b="0"/>
                  <a:t>age in years</a:t>
                </a:r>
              </a:p>
            </c:rich>
          </c:tx>
          <c:overlay val="0"/>
        </c:title>
        <c:numFmt formatCode="General" sourceLinked="1"/>
        <c:majorTickMark val="none"/>
        <c:minorTickMark val="none"/>
        <c:tickLblPos val="nextTo"/>
        <c:crossAx val="287667328"/>
        <c:crosses val="autoZero"/>
        <c:crossBetween val="midCat"/>
        <c:majorUnit val="1"/>
      </c:valAx>
      <c:valAx>
        <c:axId val="287667328"/>
        <c:scaling>
          <c:orientation val="minMax"/>
          <c:max val="65"/>
          <c:min val="0"/>
        </c:scaling>
        <c:delete val="0"/>
        <c:axPos val="l"/>
        <c:majorGridlines/>
        <c:title>
          <c:tx>
            <c:rich>
              <a:bodyPr/>
              <a:lstStyle/>
              <a:p>
                <a:pPr>
                  <a:defRPr/>
                </a:pPr>
                <a:r>
                  <a:rPr lang="en-GB" b="0"/>
                  <a:t>summary</a:t>
                </a:r>
                <a:r>
                  <a:rPr lang="en-GB" b="0" baseline="0"/>
                  <a:t> dental score</a:t>
                </a:r>
                <a:endParaRPr lang="en-GB" b="0"/>
              </a:p>
            </c:rich>
          </c:tx>
          <c:overlay val="0"/>
        </c:title>
        <c:numFmt formatCode="General" sourceLinked="1"/>
        <c:majorTickMark val="none"/>
        <c:minorTickMark val="none"/>
        <c:tickLblPos val="nextTo"/>
        <c:crossAx val="287656960"/>
        <c:crosses val="autoZero"/>
        <c:crossBetween val="midCat"/>
        <c:majorUnit val="5"/>
      </c:valAx>
    </c:plotArea>
    <c:plotVisOnly val="1"/>
    <c:dispBlanksAs val="gap"/>
    <c:showDLblsOverMax val="0"/>
  </c:chart>
  <c:txPr>
    <a:bodyPr/>
    <a:lstStyle/>
    <a:p>
      <a:pPr>
        <a:defRPr baseline="0">
          <a:latin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A0035-063A-4B02-AF12-208B04DDF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274</Pages>
  <Words>82774</Words>
  <Characters>471815</Characters>
  <Application>Microsoft Office Word</Application>
  <DocSecurity>0</DocSecurity>
  <Lines>3931</Lines>
  <Paragraphs>1106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Conrad S Brimacombe</dc:creator>
  <cp:lastModifiedBy>Conrad S Brimacombe</cp:lastModifiedBy>
  <cp:revision>32</cp:revision>
  <cp:lastPrinted>2013-11-29T10:14:00Z</cp:lastPrinted>
  <dcterms:created xsi:type="dcterms:W3CDTF">2014-05-12T21:04:00Z</dcterms:created>
  <dcterms:modified xsi:type="dcterms:W3CDTF">2014-05-12T22:09:00Z</dcterms:modified>
</cp:coreProperties>
</file>